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B04898" w14:textId="029F4E13" w:rsidR="00647667" w:rsidRPr="00A83B42" w:rsidRDefault="00622117" w:rsidP="002D51B3">
      <w:pPr>
        <w:tabs>
          <w:tab w:val="right" w:pos="706"/>
        </w:tabs>
        <w:spacing w:line="360" w:lineRule="auto"/>
        <w:ind w:left="-2"/>
        <w:rPr>
          <w:rFonts w:ascii="Arabic Transparent" w:hAnsi="Arabic Transparent" w:cs="Arabic Transparent"/>
          <w:b/>
          <w:bCs/>
          <w:sz w:val="32"/>
          <w:szCs w:val="32"/>
          <w:rtl/>
          <w:lang w:bidi="ar-JO"/>
        </w:rPr>
      </w:pPr>
      <w:bookmarkStart w:id="0" w:name="_GoBack"/>
      <w:bookmarkEnd w:id="0"/>
      <w:r>
        <w:rPr>
          <w:noProof/>
        </w:rPr>
        <w:drawing>
          <wp:anchor distT="0" distB="0" distL="114300" distR="114300" simplePos="0" relativeHeight="251656704" behindDoc="0" locked="0" layoutInCell="1" allowOverlap="1" wp14:anchorId="70C8C91C" wp14:editId="7956664B">
            <wp:simplePos x="0" y="0"/>
            <wp:positionH relativeFrom="column">
              <wp:posOffset>-147955</wp:posOffset>
            </wp:positionH>
            <wp:positionV relativeFrom="paragraph">
              <wp:posOffset>-71755</wp:posOffset>
            </wp:positionV>
            <wp:extent cx="1395730" cy="1461135"/>
            <wp:effectExtent l="0" t="0" r="0" b="0"/>
            <wp:wrapNone/>
            <wp:docPr id="5"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5730" cy="1461135"/>
                    </a:xfrm>
                    <a:prstGeom prst="rect">
                      <a:avLst/>
                    </a:prstGeom>
                    <a:noFill/>
                    <a:ln>
                      <a:noFill/>
                    </a:ln>
                  </pic:spPr>
                </pic:pic>
              </a:graphicData>
            </a:graphic>
            <wp14:sizeRelH relativeFrom="page">
              <wp14:pctWidth>0</wp14:pctWidth>
            </wp14:sizeRelH>
            <wp14:sizeRelV relativeFrom="page">
              <wp14:pctHeight>0</wp14:pctHeight>
            </wp14:sizeRelV>
          </wp:anchor>
        </w:drawing>
      </w:r>
      <w:r w:rsidR="00647667" w:rsidRPr="00A83B42">
        <w:rPr>
          <w:rFonts w:ascii="Arabic Transparent" w:hAnsi="Arabic Transparent" w:cs="Arabic Transparent" w:hint="cs"/>
          <w:b/>
          <w:bCs/>
          <w:sz w:val="32"/>
          <w:szCs w:val="32"/>
          <w:rtl/>
        </w:rPr>
        <w:t>جامعة العلوم الإسلامية العالمية</w:t>
      </w:r>
    </w:p>
    <w:p w14:paraId="3CDDAE4F" w14:textId="180EFE60" w:rsidR="00647667" w:rsidRPr="00A83B42" w:rsidRDefault="00647667" w:rsidP="002D51B3">
      <w:pPr>
        <w:tabs>
          <w:tab w:val="right" w:pos="706"/>
        </w:tabs>
        <w:spacing w:line="360" w:lineRule="auto"/>
        <w:ind w:left="-2"/>
        <w:rPr>
          <w:rFonts w:ascii="Arabic Transparent" w:hAnsi="Arabic Transparent" w:cs="Arabic Transparent"/>
          <w:b/>
          <w:bCs/>
          <w:sz w:val="32"/>
          <w:szCs w:val="32"/>
          <w:rtl/>
        </w:rPr>
      </w:pPr>
      <w:r w:rsidRPr="00A83B42">
        <w:rPr>
          <w:rFonts w:ascii="Arabic Transparent" w:hAnsi="Arabic Transparent" w:cs="Arabic Transparent" w:hint="cs"/>
          <w:b/>
          <w:bCs/>
          <w:sz w:val="32"/>
          <w:szCs w:val="32"/>
          <w:rtl/>
        </w:rPr>
        <w:t>ك</w:t>
      </w:r>
      <w:r w:rsidR="00A83B42" w:rsidRPr="00A83B42">
        <w:rPr>
          <w:rFonts w:ascii="Arabic Transparent" w:hAnsi="Arabic Transparent" w:cs="Arabic Transparent" w:hint="cs"/>
          <w:b/>
          <w:bCs/>
          <w:sz w:val="32"/>
          <w:szCs w:val="32"/>
          <w:rtl/>
        </w:rPr>
        <w:t>ــ</w:t>
      </w:r>
      <w:r w:rsidRPr="00A83B42">
        <w:rPr>
          <w:rFonts w:ascii="Arabic Transparent" w:hAnsi="Arabic Transparent" w:cs="Arabic Transparent" w:hint="cs"/>
          <w:b/>
          <w:bCs/>
          <w:sz w:val="32"/>
          <w:szCs w:val="32"/>
          <w:rtl/>
        </w:rPr>
        <w:t>لي</w:t>
      </w:r>
      <w:r w:rsidR="00A83B42">
        <w:rPr>
          <w:rFonts w:ascii="Arabic Transparent" w:hAnsi="Arabic Transparent" w:cs="Arabic Transparent" w:hint="cs"/>
          <w:b/>
          <w:bCs/>
          <w:sz w:val="32"/>
          <w:szCs w:val="32"/>
          <w:rtl/>
        </w:rPr>
        <w:t>ـــــ</w:t>
      </w:r>
      <w:r w:rsidRPr="00A83B42">
        <w:rPr>
          <w:rFonts w:ascii="Arabic Transparent" w:hAnsi="Arabic Transparent" w:cs="Arabic Transparent" w:hint="cs"/>
          <w:b/>
          <w:bCs/>
          <w:sz w:val="32"/>
          <w:szCs w:val="32"/>
          <w:rtl/>
        </w:rPr>
        <w:t>ة الدراس</w:t>
      </w:r>
      <w:r w:rsidR="00A83B42" w:rsidRPr="00A83B42">
        <w:rPr>
          <w:rFonts w:ascii="Arabic Transparent" w:hAnsi="Arabic Transparent" w:cs="Arabic Transparent" w:hint="cs"/>
          <w:b/>
          <w:bCs/>
          <w:sz w:val="32"/>
          <w:szCs w:val="32"/>
          <w:rtl/>
        </w:rPr>
        <w:t>ـ</w:t>
      </w:r>
      <w:r w:rsidR="00A83B42">
        <w:rPr>
          <w:rFonts w:ascii="Arabic Transparent" w:hAnsi="Arabic Transparent" w:cs="Arabic Transparent" w:hint="cs"/>
          <w:b/>
          <w:bCs/>
          <w:sz w:val="32"/>
          <w:szCs w:val="32"/>
          <w:rtl/>
        </w:rPr>
        <w:t>ـــــ</w:t>
      </w:r>
      <w:r w:rsidRPr="00A83B42">
        <w:rPr>
          <w:rFonts w:ascii="Arabic Transparent" w:hAnsi="Arabic Transparent" w:cs="Arabic Transparent" w:hint="cs"/>
          <w:b/>
          <w:bCs/>
          <w:sz w:val="32"/>
          <w:szCs w:val="32"/>
          <w:rtl/>
        </w:rPr>
        <w:t>ات الع</w:t>
      </w:r>
      <w:r w:rsidR="00A02534" w:rsidRPr="00A83B42">
        <w:rPr>
          <w:rFonts w:ascii="Arabic Transparent" w:hAnsi="Arabic Transparent" w:cs="Arabic Transparent" w:hint="cs"/>
          <w:b/>
          <w:bCs/>
          <w:sz w:val="32"/>
          <w:szCs w:val="32"/>
          <w:rtl/>
        </w:rPr>
        <w:t>ل</w:t>
      </w:r>
      <w:r w:rsidRPr="00A83B42">
        <w:rPr>
          <w:rFonts w:ascii="Arabic Transparent" w:hAnsi="Arabic Transparent" w:cs="Arabic Transparent" w:hint="cs"/>
          <w:b/>
          <w:bCs/>
          <w:sz w:val="32"/>
          <w:szCs w:val="32"/>
          <w:rtl/>
        </w:rPr>
        <w:t>ي</w:t>
      </w:r>
      <w:r w:rsidR="00A83B42" w:rsidRPr="00A83B42">
        <w:rPr>
          <w:rFonts w:ascii="Arabic Transparent" w:hAnsi="Arabic Transparent" w:cs="Arabic Transparent" w:hint="cs"/>
          <w:b/>
          <w:bCs/>
          <w:sz w:val="32"/>
          <w:szCs w:val="32"/>
          <w:rtl/>
        </w:rPr>
        <w:t>ـ</w:t>
      </w:r>
      <w:r w:rsidR="00A83B42">
        <w:rPr>
          <w:rFonts w:ascii="Arabic Transparent" w:hAnsi="Arabic Transparent" w:cs="Arabic Transparent" w:hint="cs"/>
          <w:b/>
          <w:bCs/>
          <w:sz w:val="32"/>
          <w:szCs w:val="32"/>
          <w:rtl/>
        </w:rPr>
        <w:t>ــ</w:t>
      </w:r>
      <w:r w:rsidR="00A83B42" w:rsidRPr="00A83B42">
        <w:rPr>
          <w:rFonts w:ascii="Arabic Transparent" w:hAnsi="Arabic Transparent" w:cs="Arabic Transparent" w:hint="cs"/>
          <w:b/>
          <w:bCs/>
          <w:sz w:val="32"/>
          <w:szCs w:val="32"/>
          <w:rtl/>
        </w:rPr>
        <w:t>ـ</w:t>
      </w:r>
      <w:r w:rsidRPr="00A83B42">
        <w:rPr>
          <w:rFonts w:ascii="Arabic Transparent" w:hAnsi="Arabic Transparent" w:cs="Arabic Transparent" w:hint="cs"/>
          <w:b/>
          <w:bCs/>
          <w:sz w:val="32"/>
          <w:szCs w:val="32"/>
          <w:rtl/>
        </w:rPr>
        <w:t>ا</w:t>
      </w:r>
    </w:p>
    <w:p w14:paraId="1F74E44B" w14:textId="17BC2F6D" w:rsidR="00647667" w:rsidRPr="00827CC8" w:rsidRDefault="00647667" w:rsidP="005F6E80">
      <w:pPr>
        <w:tabs>
          <w:tab w:val="right" w:pos="706"/>
          <w:tab w:val="left" w:pos="2970"/>
          <w:tab w:val="left" w:pos="3167"/>
          <w:tab w:val="left" w:pos="3330"/>
        </w:tabs>
        <w:spacing w:line="360" w:lineRule="auto"/>
        <w:ind w:left="-2"/>
        <w:rPr>
          <w:rFonts w:ascii="Arabic Transparent" w:hAnsi="Arabic Transparent" w:cs="Arabic Transparent"/>
          <w:sz w:val="32"/>
          <w:szCs w:val="32"/>
          <w:rtl/>
          <w:lang w:bidi="ar-JO"/>
        </w:rPr>
      </w:pPr>
      <w:r w:rsidRPr="00A83B42">
        <w:rPr>
          <w:rFonts w:ascii="Arabic Transparent" w:hAnsi="Arabic Transparent" w:cs="Arabic Transparent" w:hint="cs"/>
          <w:b/>
          <w:bCs/>
          <w:sz w:val="32"/>
          <w:szCs w:val="32"/>
          <w:rtl/>
        </w:rPr>
        <w:t>قس</w:t>
      </w:r>
      <w:r w:rsidR="00A83B42" w:rsidRPr="00A83B42">
        <w:rPr>
          <w:rFonts w:ascii="Arabic Transparent" w:hAnsi="Arabic Transparent" w:cs="Arabic Transparent" w:hint="cs"/>
          <w:b/>
          <w:bCs/>
          <w:sz w:val="32"/>
          <w:szCs w:val="32"/>
          <w:rtl/>
        </w:rPr>
        <w:t>ـ</w:t>
      </w:r>
      <w:r w:rsidR="00A83B42">
        <w:rPr>
          <w:rFonts w:ascii="Arabic Transparent" w:hAnsi="Arabic Transparent" w:cs="Arabic Transparent" w:hint="cs"/>
          <w:b/>
          <w:bCs/>
          <w:sz w:val="32"/>
          <w:szCs w:val="32"/>
          <w:rtl/>
        </w:rPr>
        <w:t>ــ</w:t>
      </w:r>
      <w:r w:rsidR="00A83B42" w:rsidRPr="00A83B42">
        <w:rPr>
          <w:rFonts w:ascii="Arabic Transparent" w:hAnsi="Arabic Transparent" w:cs="Arabic Transparent" w:hint="cs"/>
          <w:b/>
          <w:bCs/>
          <w:sz w:val="32"/>
          <w:szCs w:val="32"/>
          <w:rtl/>
        </w:rPr>
        <w:t>ـ</w:t>
      </w:r>
      <w:r w:rsidR="00A83B42">
        <w:rPr>
          <w:rFonts w:ascii="Arabic Transparent" w:hAnsi="Arabic Transparent" w:cs="Arabic Transparent" w:hint="cs"/>
          <w:b/>
          <w:bCs/>
          <w:sz w:val="32"/>
          <w:szCs w:val="32"/>
          <w:rtl/>
        </w:rPr>
        <w:t>ــ</w:t>
      </w:r>
      <w:r w:rsidR="00A83B42" w:rsidRPr="00A83B42">
        <w:rPr>
          <w:rFonts w:ascii="Arabic Transparent" w:hAnsi="Arabic Transparent" w:cs="Arabic Transparent" w:hint="cs"/>
          <w:b/>
          <w:bCs/>
          <w:sz w:val="32"/>
          <w:szCs w:val="32"/>
          <w:rtl/>
        </w:rPr>
        <w:t>ـ</w:t>
      </w:r>
      <w:r w:rsidRPr="00A83B42">
        <w:rPr>
          <w:rFonts w:ascii="Arabic Transparent" w:hAnsi="Arabic Transparent" w:cs="Arabic Transparent" w:hint="cs"/>
          <w:b/>
          <w:bCs/>
          <w:sz w:val="32"/>
          <w:szCs w:val="32"/>
          <w:rtl/>
        </w:rPr>
        <w:t>م الفق</w:t>
      </w:r>
      <w:r w:rsidR="00A83B42" w:rsidRPr="00A83B42">
        <w:rPr>
          <w:rFonts w:ascii="Arabic Transparent" w:hAnsi="Arabic Transparent" w:cs="Arabic Transparent" w:hint="cs"/>
          <w:b/>
          <w:bCs/>
          <w:sz w:val="32"/>
          <w:szCs w:val="32"/>
          <w:rtl/>
        </w:rPr>
        <w:t>ـ</w:t>
      </w:r>
      <w:r w:rsidR="00A83B42">
        <w:rPr>
          <w:rFonts w:ascii="Arabic Transparent" w:hAnsi="Arabic Transparent" w:cs="Arabic Transparent" w:hint="cs"/>
          <w:b/>
          <w:bCs/>
          <w:sz w:val="32"/>
          <w:szCs w:val="32"/>
          <w:rtl/>
        </w:rPr>
        <w:t>ــــ</w:t>
      </w:r>
      <w:r w:rsidRPr="00A83B42">
        <w:rPr>
          <w:rFonts w:ascii="Arabic Transparent" w:hAnsi="Arabic Transparent" w:cs="Arabic Transparent" w:hint="cs"/>
          <w:b/>
          <w:bCs/>
          <w:sz w:val="32"/>
          <w:szCs w:val="32"/>
          <w:rtl/>
        </w:rPr>
        <w:t>ه وأصول</w:t>
      </w:r>
      <w:r w:rsidR="00A83B42" w:rsidRPr="00A83B42">
        <w:rPr>
          <w:rFonts w:ascii="Arabic Transparent" w:hAnsi="Arabic Transparent" w:cs="Arabic Transparent" w:hint="cs"/>
          <w:b/>
          <w:bCs/>
          <w:sz w:val="32"/>
          <w:szCs w:val="32"/>
          <w:rtl/>
        </w:rPr>
        <w:t>ــ</w:t>
      </w:r>
      <w:r w:rsidR="00A83B42">
        <w:rPr>
          <w:rFonts w:ascii="Arabic Transparent" w:hAnsi="Arabic Transparent" w:cs="Arabic Transparent" w:hint="cs"/>
          <w:b/>
          <w:bCs/>
          <w:sz w:val="32"/>
          <w:szCs w:val="32"/>
          <w:rtl/>
        </w:rPr>
        <w:t>ـــ</w:t>
      </w:r>
      <w:r w:rsidR="005F6E80">
        <w:rPr>
          <w:rFonts w:ascii="Arabic Transparent" w:hAnsi="Arabic Transparent" w:cs="Arabic Transparent" w:hint="cs"/>
          <w:b/>
          <w:bCs/>
          <w:sz w:val="32"/>
          <w:szCs w:val="32"/>
          <w:rtl/>
        </w:rPr>
        <w:t>ــ</w:t>
      </w:r>
      <w:r w:rsidR="00A83B42">
        <w:rPr>
          <w:rFonts w:ascii="Arabic Transparent" w:hAnsi="Arabic Transparent" w:cs="Arabic Transparent" w:hint="cs"/>
          <w:b/>
          <w:bCs/>
          <w:sz w:val="32"/>
          <w:szCs w:val="32"/>
          <w:rtl/>
        </w:rPr>
        <w:t>ـ</w:t>
      </w:r>
      <w:r w:rsidR="00A02534" w:rsidRPr="00A83B42">
        <w:rPr>
          <w:rFonts w:ascii="Arabic Transparent" w:hAnsi="Arabic Transparent" w:cs="Arabic Transparent" w:hint="cs"/>
          <w:b/>
          <w:bCs/>
          <w:sz w:val="32"/>
          <w:szCs w:val="32"/>
          <w:rtl/>
        </w:rPr>
        <w:t>ه</w:t>
      </w:r>
    </w:p>
    <w:p w14:paraId="6266D1AF" w14:textId="77777777" w:rsidR="00647667" w:rsidRPr="00827CC8" w:rsidRDefault="00647667" w:rsidP="002D51B3">
      <w:pPr>
        <w:tabs>
          <w:tab w:val="right" w:pos="706"/>
        </w:tabs>
        <w:spacing w:line="360" w:lineRule="auto"/>
        <w:ind w:left="-2"/>
        <w:jc w:val="both"/>
        <w:rPr>
          <w:rFonts w:ascii="Arabic Transparent" w:hAnsi="Arabic Transparent" w:cs="Arabic Transparent"/>
          <w:sz w:val="32"/>
          <w:szCs w:val="32"/>
          <w:rtl/>
          <w:lang w:bidi="ar-JO"/>
        </w:rPr>
      </w:pPr>
      <w:r w:rsidRPr="00827CC8">
        <w:rPr>
          <w:rFonts w:ascii="Arabic Transparent" w:hAnsi="Arabic Transparent" w:cs="Arabic Transparent" w:hint="cs"/>
          <w:sz w:val="32"/>
          <w:szCs w:val="32"/>
          <w:rtl/>
        </w:rPr>
        <w:t xml:space="preserve"> </w:t>
      </w:r>
    </w:p>
    <w:p w14:paraId="1D870882" w14:textId="77777777" w:rsidR="00EF20F9" w:rsidRPr="00625C31" w:rsidRDefault="000553E8" w:rsidP="002D51B3">
      <w:pPr>
        <w:spacing w:after="0" w:line="360" w:lineRule="auto"/>
        <w:ind w:left="34"/>
        <w:jc w:val="center"/>
        <w:rPr>
          <w:rFonts w:ascii="Arabic Transparent" w:hAnsi="Arabic Transparent" w:cs="Arabic Transparent"/>
          <w:b/>
          <w:bCs/>
          <w:sz w:val="40"/>
          <w:szCs w:val="40"/>
          <w:rtl/>
          <w:lang w:bidi="ar-JO"/>
        </w:rPr>
      </w:pPr>
      <w:bookmarkStart w:id="1" w:name="_Hlk197420243"/>
      <w:r w:rsidRPr="00625C31">
        <w:rPr>
          <w:rFonts w:ascii="Arabic Transparent" w:hAnsi="Arabic Transparent" w:cs="Arabic Transparent" w:hint="cs"/>
          <w:b/>
          <w:bCs/>
          <w:sz w:val="40"/>
          <w:szCs w:val="40"/>
          <w:rtl/>
          <w:lang w:bidi="ar-JO"/>
        </w:rPr>
        <w:t xml:space="preserve"> التفاوت في تحقيق المناط الخاص وتطبيقاته في ال</w:t>
      </w:r>
      <w:r w:rsidR="003C38A4" w:rsidRPr="00625C31">
        <w:rPr>
          <w:rFonts w:ascii="Arabic Transparent" w:hAnsi="Arabic Transparent" w:cs="Arabic Transparent" w:hint="cs"/>
          <w:b/>
          <w:bCs/>
          <w:sz w:val="40"/>
          <w:szCs w:val="40"/>
          <w:rtl/>
          <w:lang w:bidi="ar-JO"/>
        </w:rPr>
        <w:t>معاملات</w:t>
      </w:r>
      <w:r w:rsidRPr="00625C31">
        <w:rPr>
          <w:rFonts w:ascii="Arabic Transparent" w:hAnsi="Arabic Transparent" w:cs="Arabic Transparent" w:hint="cs"/>
          <w:b/>
          <w:bCs/>
          <w:sz w:val="40"/>
          <w:szCs w:val="40"/>
          <w:rtl/>
          <w:lang w:bidi="ar-JO"/>
        </w:rPr>
        <w:t xml:space="preserve"> المالية المعاصرة</w:t>
      </w:r>
    </w:p>
    <w:bookmarkEnd w:id="1"/>
    <w:p w14:paraId="605E2636" w14:textId="77777777" w:rsidR="00270946" w:rsidRPr="00827CC8" w:rsidRDefault="00270946" w:rsidP="002D51B3">
      <w:pPr>
        <w:spacing w:after="0" w:line="360" w:lineRule="auto"/>
        <w:ind w:left="34"/>
        <w:jc w:val="both"/>
        <w:rPr>
          <w:rFonts w:ascii="Arabic Transparent" w:hAnsi="Arabic Transparent" w:cs="Arabic Transparent"/>
          <w:sz w:val="4"/>
          <w:szCs w:val="4"/>
          <w:rtl/>
          <w:lang w:bidi="ar-JO"/>
        </w:rPr>
      </w:pPr>
    </w:p>
    <w:p w14:paraId="16ECCE4B" w14:textId="683EB046" w:rsidR="00BD0E7E" w:rsidRPr="00625C31" w:rsidRDefault="00BD0E7E" w:rsidP="00F10541">
      <w:pPr>
        <w:spacing w:after="0" w:line="360" w:lineRule="auto"/>
        <w:ind w:left="34"/>
        <w:jc w:val="center"/>
        <w:rPr>
          <w:rFonts w:ascii="Times New Roman" w:hAnsi="Times New Roman" w:cs="Times New Roman"/>
          <w:b/>
          <w:bCs/>
          <w:sz w:val="40"/>
          <w:szCs w:val="40"/>
          <w:rtl/>
          <w:lang w:bidi="ar-JO"/>
        </w:rPr>
      </w:pPr>
      <w:r w:rsidRPr="00625C31">
        <w:rPr>
          <w:rFonts w:ascii="Times New Roman" w:hAnsi="Times New Roman" w:cs="Times New Roman"/>
          <w:b/>
          <w:bCs/>
          <w:sz w:val="40"/>
          <w:szCs w:val="40"/>
        </w:rPr>
        <w:t>Difference in Ascertaining the Specific Effective Ca</w:t>
      </w:r>
      <w:r w:rsidR="008728AE">
        <w:rPr>
          <w:rFonts w:ascii="Times New Roman" w:hAnsi="Times New Roman" w:cs="Times New Roman"/>
          <w:b/>
          <w:bCs/>
          <w:sz w:val="40"/>
          <w:szCs w:val="40"/>
        </w:rPr>
        <w:t>s</w:t>
      </w:r>
      <w:r w:rsidRPr="00625C31">
        <w:rPr>
          <w:rFonts w:ascii="Times New Roman" w:hAnsi="Times New Roman" w:cs="Times New Roman"/>
          <w:b/>
          <w:bCs/>
          <w:sz w:val="40"/>
          <w:szCs w:val="40"/>
        </w:rPr>
        <w:t>use, and its Applications in Contemporary Financial Transaction</w:t>
      </w:r>
      <w:r w:rsidR="008728AE">
        <w:rPr>
          <w:rFonts w:ascii="Times New Roman" w:hAnsi="Times New Roman" w:cs="Times New Roman"/>
          <w:b/>
          <w:bCs/>
          <w:sz w:val="40"/>
          <w:szCs w:val="40"/>
        </w:rPr>
        <w:t>s</w:t>
      </w:r>
    </w:p>
    <w:p w14:paraId="15B2E392" w14:textId="77777777" w:rsidR="00BD0E7E" w:rsidRPr="00827CC8" w:rsidRDefault="00BD0E7E" w:rsidP="002D51B3">
      <w:pPr>
        <w:spacing w:after="0" w:line="360" w:lineRule="auto"/>
        <w:ind w:left="34"/>
        <w:jc w:val="center"/>
        <w:rPr>
          <w:rFonts w:ascii="Arabic Transparent" w:hAnsi="Arabic Transparent" w:cs="Arabic Transparent"/>
          <w:sz w:val="36"/>
          <w:szCs w:val="36"/>
        </w:rPr>
      </w:pPr>
    </w:p>
    <w:p w14:paraId="0AD12718" w14:textId="77777777" w:rsidR="00066A9E" w:rsidRPr="00A83B42" w:rsidRDefault="00066A9E" w:rsidP="002D51B3">
      <w:pPr>
        <w:spacing w:after="0" w:line="360" w:lineRule="auto"/>
        <w:ind w:left="34"/>
        <w:jc w:val="center"/>
        <w:rPr>
          <w:rFonts w:ascii="Arabic Transparent" w:hAnsi="Arabic Transparent" w:cs="Arabic Transparent"/>
          <w:b/>
          <w:bCs/>
          <w:sz w:val="36"/>
          <w:szCs w:val="36"/>
          <w:rtl/>
          <w:lang w:bidi="ar-JO"/>
        </w:rPr>
      </w:pPr>
      <w:r w:rsidRPr="00A83B42">
        <w:rPr>
          <w:rFonts w:ascii="Arabic Transparent" w:hAnsi="Arabic Transparent" w:cs="Arabic Transparent" w:hint="cs"/>
          <w:b/>
          <w:bCs/>
          <w:sz w:val="36"/>
          <w:szCs w:val="36"/>
          <w:rtl/>
        </w:rPr>
        <w:t xml:space="preserve">إعداد </w:t>
      </w:r>
    </w:p>
    <w:p w14:paraId="14D56909" w14:textId="77777777" w:rsidR="00066A9E" w:rsidRPr="00A83B42" w:rsidRDefault="00647667" w:rsidP="002D51B3">
      <w:pPr>
        <w:spacing w:after="0" w:line="360" w:lineRule="auto"/>
        <w:ind w:left="34"/>
        <w:jc w:val="center"/>
        <w:rPr>
          <w:rFonts w:ascii="Arabic Transparent" w:hAnsi="Arabic Transparent" w:cs="Arabic Transparent"/>
          <w:b/>
          <w:bCs/>
          <w:sz w:val="36"/>
          <w:szCs w:val="36"/>
          <w:rtl/>
          <w:lang w:bidi="ar-JO"/>
        </w:rPr>
      </w:pPr>
      <w:r w:rsidRPr="00A83B42">
        <w:rPr>
          <w:rFonts w:ascii="Arabic Transparent" w:hAnsi="Arabic Transparent" w:cs="Arabic Transparent" w:hint="cs"/>
          <w:b/>
          <w:bCs/>
          <w:sz w:val="36"/>
          <w:szCs w:val="36"/>
          <w:rtl/>
          <w:lang w:bidi="ar-JO"/>
        </w:rPr>
        <w:t xml:space="preserve">حمزة نعيم حسين مسلم </w:t>
      </w:r>
    </w:p>
    <w:p w14:paraId="5A2B4347" w14:textId="77777777" w:rsidR="00066A9E" w:rsidRPr="00A83B42" w:rsidRDefault="00066A9E" w:rsidP="002D51B3">
      <w:pPr>
        <w:spacing w:after="0" w:line="360" w:lineRule="auto"/>
        <w:ind w:left="34"/>
        <w:jc w:val="center"/>
        <w:rPr>
          <w:rFonts w:ascii="Arabic Transparent" w:hAnsi="Arabic Transparent" w:cs="Arabic Transparent"/>
          <w:b/>
          <w:bCs/>
          <w:sz w:val="16"/>
          <w:szCs w:val="16"/>
          <w:lang w:bidi="ar-JO"/>
        </w:rPr>
      </w:pPr>
    </w:p>
    <w:p w14:paraId="48C0DFCC" w14:textId="77777777" w:rsidR="00066A9E" w:rsidRPr="00A83B42" w:rsidRDefault="00066A9E" w:rsidP="002D51B3">
      <w:pPr>
        <w:spacing w:after="0" w:line="360" w:lineRule="auto"/>
        <w:ind w:left="34"/>
        <w:jc w:val="center"/>
        <w:rPr>
          <w:rFonts w:ascii="Arabic Transparent" w:hAnsi="Arabic Transparent" w:cs="Arabic Transparent"/>
          <w:b/>
          <w:bCs/>
          <w:sz w:val="36"/>
          <w:szCs w:val="36"/>
          <w:rtl/>
        </w:rPr>
      </w:pPr>
      <w:r w:rsidRPr="00A83B42">
        <w:rPr>
          <w:rFonts w:ascii="Arabic Transparent" w:hAnsi="Arabic Transparent" w:cs="Arabic Transparent" w:hint="cs"/>
          <w:b/>
          <w:bCs/>
          <w:sz w:val="36"/>
          <w:szCs w:val="36"/>
          <w:rtl/>
        </w:rPr>
        <w:t>إشراف</w:t>
      </w:r>
    </w:p>
    <w:p w14:paraId="2A566941" w14:textId="5AFD800A" w:rsidR="00800002" w:rsidRPr="00A83B42" w:rsidRDefault="00A02534" w:rsidP="002D51B3">
      <w:pPr>
        <w:spacing w:after="0" w:line="360" w:lineRule="auto"/>
        <w:ind w:left="-316" w:right="-360"/>
        <w:jc w:val="center"/>
        <w:rPr>
          <w:rFonts w:ascii="Arabic Transparent" w:hAnsi="Arabic Transparent" w:cs="Arabic Transparent"/>
          <w:b/>
          <w:bCs/>
          <w:sz w:val="36"/>
          <w:szCs w:val="36"/>
          <w:rtl/>
        </w:rPr>
      </w:pPr>
      <w:r w:rsidRPr="00A83B42">
        <w:rPr>
          <w:rFonts w:ascii="Arabic Transparent" w:hAnsi="Arabic Transparent" w:cs="Arabic Transparent" w:hint="cs"/>
          <w:b/>
          <w:bCs/>
          <w:sz w:val="36"/>
          <w:szCs w:val="36"/>
          <w:rtl/>
        </w:rPr>
        <w:t>أ</w:t>
      </w:r>
      <w:r w:rsidR="00800002" w:rsidRPr="00A83B42">
        <w:rPr>
          <w:rFonts w:ascii="Arabic Transparent" w:hAnsi="Arabic Transparent" w:cs="Arabic Transparent" w:hint="cs"/>
          <w:b/>
          <w:bCs/>
          <w:sz w:val="36"/>
          <w:szCs w:val="36"/>
          <w:rtl/>
        </w:rPr>
        <w:t>.د أنس</w:t>
      </w:r>
      <w:r w:rsidR="002D2BF8" w:rsidRPr="00A83B42">
        <w:rPr>
          <w:rFonts w:ascii="Arabic Transparent" w:hAnsi="Arabic Transparent" w:cs="Arabic Transparent" w:hint="cs"/>
          <w:b/>
          <w:bCs/>
          <w:sz w:val="36"/>
          <w:szCs w:val="36"/>
          <w:rtl/>
        </w:rPr>
        <w:t xml:space="preserve"> عبد</w:t>
      </w:r>
      <w:r w:rsidR="00A83B42">
        <w:rPr>
          <w:rFonts w:ascii="Arabic Transparent" w:hAnsi="Arabic Transparent" w:cs="Arabic Transparent" w:hint="cs"/>
          <w:b/>
          <w:bCs/>
          <w:sz w:val="36"/>
          <w:szCs w:val="36"/>
          <w:rtl/>
        </w:rPr>
        <w:t xml:space="preserve"> </w:t>
      </w:r>
      <w:r w:rsidR="002D2BF8" w:rsidRPr="00A83B42">
        <w:rPr>
          <w:rFonts w:ascii="Arabic Transparent" w:hAnsi="Arabic Transparent" w:cs="Arabic Transparent" w:hint="cs"/>
          <w:b/>
          <w:bCs/>
          <w:sz w:val="36"/>
          <w:szCs w:val="36"/>
          <w:rtl/>
        </w:rPr>
        <w:t>الواحد</w:t>
      </w:r>
      <w:r w:rsidR="00800002" w:rsidRPr="00A83B42">
        <w:rPr>
          <w:rFonts w:ascii="Arabic Transparent" w:hAnsi="Arabic Transparent" w:cs="Arabic Transparent" w:hint="cs"/>
          <w:b/>
          <w:bCs/>
          <w:sz w:val="36"/>
          <w:szCs w:val="36"/>
          <w:rtl/>
        </w:rPr>
        <w:t xml:space="preserve"> الجابر</w:t>
      </w:r>
    </w:p>
    <w:p w14:paraId="5010BBC7" w14:textId="77777777" w:rsidR="00800002" w:rsidRPr="00A83B42" w:rsidRDefault="00800002" w:rsidP="002D51B3">
      <w:pPr>
        <w:spacing w:after="0" w:line="360" w:lineRule="auto"/>
        <w:ind w:left="-316" w:right="-360"/>
        <w:jc w:val="center"/>
        <w:rPr>
          <w:rFonts w:ascii="Arabic Transparent" w:hAnsi="Arabic Transparent" w:cs="Arabic Transparent"/>
          <w:b/>
          <w:bCs/>
          <w:sz w:val="36"/>
          <w:szCs w:val="36"/>
          <w:rtl/>
        </w:rPr>
      </w:pPr>
    </w:p>
    <w:p w14:paraId="2D00A0FA" w14:textId="488247AC" w:rsidR="0035611A" w:rsidRPr="00A83B42" w:rsidRDefault="0035611A" w:rsidP="002D51B3">
      <w:pPr>
        <w:tabs>
          <w:tab w:val="right" w:pos="706"/>
        </w:tabs>
        <w:spacing w:line="360" w:lineRule="auto"/>
        <w:jc w:val="center"/>
        <w:rPr>
          <w:rFonts w:ascii="Arabic Transparent" w:hAnsi="Arabic Transparent" w:cs="Arabic Transparent"/>
          <w:b/>
          <w:bCs/>
          <w:sz w:val="32"/>
          <w:szCs w:val="32"/>
          <w:rtl/>
          <w:lang w:bidi="ar-JO"/>
        </w:rPr>
      </w:pPr>
      <w:r w:rsidRPr="00A83B42">
        <w:rPr>
          <w:rFonts w:ascii="Arabic Transparent" w:hAnsi="Arabic Transparent" w:cs="Arabic Transparent" w:hint="cs"/>
          <w:b/>
          <w:bCs/>
          <w:sz w:val="32"/>
          <w:szCs w:val="32"/>
          <w:rtl/>
        </w:rPr>
        <w:t>قُدِّمت هذه الأطروحة استكمالاً لمتطلبات درجة دكتورا</w:t>
      </w:r>
      <w:r w:rsidR="00E61D51" w:rsidRPr="00A83B42">
        <w:rPr>
          <w:rFonts w:ascii="Arabic Transparent" w:hAnsi="Arabic Transparent" w:cs="Arabic Transparent" w:hint="cs"/>
          <w:b/>
          <w:bCs/>
          <w:sz w:val="32"/>
          <w:szCs w:val="32"/>
          <w:rtl/>
        </w:rPr>
        <w:t>ة</w:t>
      </w:r>
      <w:r w:rsidRPr="00A83B42">
        <w:rPr>
          <w:rFonts w:ascii="Arabic Transparent" w:hAnsi="Arabic Transparent" w:cs="Arabic Transparent" w:hint="cs"/>
          <w:b/>
          <w:bCs/>
          <w:sz w:val="32"/>
          <w:szCs w:val="32"/>
          <w:rtl/>
        </w:rPr>
        <w:t xml:space="preserve"> الفلسفة (</w:t>
      </w:r>
      <w:r w:rsidRPr="00A83B42">
        <w:rPr>
          <w:rFonts w:ascii="Arabic Transparent" w:hAnsi="Arabic Transparent" w:cs="Arabic Transparent" w:hint="cs"/>
          <w:b/>
          <w:bCs/>
          <w:sz w:val="32"/>
          <w:szCs w:val="32"/>
          <w:lang w:bidi="ar-JO"/>
        </w:rPr>
        <w:t>D</w:t>
      </w:r>
      <w:r w:rsidRPr="00A83B42">
        <w:rPr>
          <w:rFonts w:ascii="Arabic Transparent" w:hAnsi="Arabic Transparent" w:cs="Arabic Transparent" w:hint="cs"/>
          <w:b/>
          <w:bCs/>
          <w:sz w:val="32"/>
          <w:szCs w:val="32"/>
          <w:rtl/>
          <w:lang w:bidi="ar-JO"/>
        </w:rPr>
        <w:t>.</w:t>
      </w:r>
      <w:r w:rsidRPr="00A83B42">
        <w:rPr>
          <w:rFonts w:ascii="Arabic Transparent" w:hAnsi="Arabic Transparent" w:cs="Arabic Transparent" w:hint="cs"/>
          <w:b/>
          <w:bCs/>
          <w:sz w:val="32"/>
          <w:szCs w:val="32"/>
          <w:lang w:bidi="ar-JO"/>
        </w:rPr>
        <w:t xml:space="preserve"> (PH</w:t>
      </w:r>
    </w:p>
    <w:p w14:paraId="0C2C6EF1" w14:textId="77777777" w:rsidR="0035611A" w:rsidRPr="00A83B42" w:rsidRDefault="0035611A" w:rsidP="002D51B3">
      <w:pPr>
        <w:tabs>
          <w:tab w:val="right" w:pos="706"/>
        </w:tabs>
        <w:spacing w:line="360" w:lineRule="auto"/>
        <w:jc w:val="center"/>
        <w:rPr>
          <w:rFonts w:ascii="Arabic Transparent" w:hAnsi="Arabic Transparent" w:cs="Arabic Transparent"/>
          <w:b/>
          <w:bCs/>
          <w:sz w:val="32"/>
          <w:szCs w:val="32"/>
          <w:rtl/>
          <w:lang w:bidi="ar-JO"/>
        </w:rPr>
      </w:pPr>
      <w:r w:rsidRPr="00A83B42">
        <w:rPr>
          <w:rFonts w:ascii="Arabic Transparent" w:hAnsi="Arabic Transparent" w:cs="Arabic Transparent" w:hint="cs"/>
          <w:b/>
          <w:bCs/>
          <w:sz w:val="32"/>
          <w:szCs w:val="32"/>
          <w:rtl/>
          <w:lang w:bidi="ar-JO"/>
        </w:rPr>
        <w:t>في تخصص الفقه وأصوله في جامعة العلوم الإسلامية العالمية.</w:t>
      </w:r>
    </w:p>
    <w:p w14:paraId="351CE0C4" w14:textId="3C44A7BA" w:rsidR="00B93547" w:rsidRDefault="005D7B91" w:rsidP="00B93547">
      <w:pPr>
        <w:tabs>
          <w:tab w:val="right" w:pos="706"/>
        </w:tabs>
        <w:spacing w:line="360" w:lineRule="auto"/>
        <w:jc w:val="center"/>
        <w:rPr>
          <w:rFonts w:ascii="Arabic Transparent" w:hAnsi="Arabic Transparent" w:cs="Arabic Transparent"/>
          <w:sz w:val="36"/>
          <w:szCs w:val="36"/>
          <w:rtl/>
        </w:rPr>
      </w:pPr>
      <w:r>
        <w:rPr>
          <w:rFonts w:ascii="Arabic Transparent" w:hAnsi="Arabic Transparent" w:cs="Arabic Transparent" w:hint="cs"/>
          <w:b/>
          <w:bCs/>
          <w:sz w:val="32"/>
          <w:szCs w:val="32"/>
          <w:rtl/>
          <w:lang w:bidi="ar-JO"/>
        </w:rPr>
        <w:t xml:space="preserve">     </w:t>
      </w:r>
      <w:r w:rsidR="00E13EB1" w:rsidRPr="00A83B42">
        <w:rPr>
          <w:rFonts w:ascii="Arabic Transparent" w:hAnsi="Arabic Transparent" w:cs="Arabic Transparent" w:hint="cs"/>
          <w:b/>
          <w:bCs/>
          <w:sz w:val="32"/>
          <w:szCs w:val="32"/>
          <w:rtl/>
          <w:lang w:bidi="ar-JO"/>
        </w:rPr>
        <w:t xml:space="preserve"> </w:t>
      </w:r>
      <w:r w:rsidR="0035611A" w:rsidRPr="00A83B42">
        <w:rPr>
          <w:rFonts w:ascii="Arabic Transparent" w:hAnsi="Arabic Transparent" w:cs="Arabic Transparent" w:hint="cs"/>
          <w:b/>
          <w:bCs/>
          <w:sz w:val="32"/>
          <w:szCs w:val="32"/>
          <w:rtl/>
          <w:lang w:bidi="ar-JO"/>
        </w:rPr>
        <w:t>تاريخ المناقشة:</w:t>
      </w:r>
      <w:r w:rsidR="002D51B3" w:rsidRPr="00A83B42">
        <w:rPr>
          <w:rFonts w:ascii="Arabic Transparent" w:hAnsi="Arabic Transparent" w:cs="Arabic Transparent" w:hint="cs"/>
          <w:b/>
          <w:bCs/>
          <w:sz w:val="32"/>
          <w:szCs w:val="32"/>
          <w:rtl/>
          <w:lang w:bidi="ar-JO"/>
        </w:rPr>
        <w:t xml:space="preserve"> </w:t>
      </w:r>
      <w:r w:rsidR="00C10042" w:rsidRPr="00A83B42">
        <w:rPr>
          <w:rFonts w:ascii="Arabic Transparent" w:hAnsi="Arabic Transparent" w:cs="Arabic Transparent" w:hint="cs"/>
          <w:b/>
          <w:bCs/>
          <w:sz w:val="32"/>
          <w:szCs w:val="32"/>
          <w:rtl/>
          <w:lang w:bidi="ar-JO"/>
        </w:rPr>
        <w:t>عمان</w:t>
      </w:r>
      <w:r w:rsidR="00591A75" w:rsidRPr="00A83B42">
        <w:rPr>
          <w:rFonts w:ascii="Arabic Transparent" w:hAnsi="Arabic Transparent" w:cs="Arabic Transparent" w:hint="cs"/>
          <w:b/>
          <w:bCs/>
          <w:sz w:val="36"/>
          <w:szCs w:val="36"/>
          <w:rtl/>
        </w:rPr>
        <w:t xml:space="preserve"> -  /  / 2026م.</w:t>
      </w:r>
      <w:r w:rsidR="00B93547">
        <w:rPr>
          <w:rFonts w:ascii="Arabic Transparent" w:hAnsi="Arabic Transparent" w:cs="Arabic Transparent"/>
          <w:sz w:val="36"/>
          <w:szCs w:val="36"/>
          <w:rtl/>
        </w:rPr>
        <w:br w:type="page"/>
      </w:r>
    </w:p>
    <w:p w14:paraId="26A94315" w14:textId="7472C9F5" w:rsidR="00A02534" w:rsidRPr="00A83B42" w:rsidRDefault="00622117" w:rsidP="00A02534">
      <w:pPr>
        <w:tabs>
          <w:tab w:val="right" w:pos="706"/>
        </w:tabs>
        <w:spacing w:line="360" w:lineRule="auto"/>
        <w:ind w:left="-2"/>
        <w:rPr>
          <w:rFonts w:ascii="Arabic Transparent" w:hAnsi="Arabic Transparent" w:cs="Arabic Transparent"/>
          <w:b/>
          <w:bCs/>
          <w:sz w:val="32"/>
          <w:szCs w:val="32"/>
          <w:rtl/>
          <w:lang w:bidi="ar-JO"/>
        </w:rPr>
      </w:pPr>
      <w:r>
        <w:rPr>
          <w:noProof/>
        </w:rPr>
        <w:lastRenderedPageBreak/>
        <w:drawing>
          <wp:anchor distT="0" distB="0" distL="114300" distR="114300" simplePos="0" relativeHeight="251658752" behindDoc="0" locked="0" layoutInCell="1" allowOverlap="1" wp14:anchorId="1A1DDDC9" wp14:editId="3DE0CF05">
            <wp:simplePos x="0" y="0"/>
            <wp:positionH relativeFrom="column">
              <wp:posOffset>-147955</wp:posOffset>
            </wp:positionH>
            <wp:positionV relativeFrom="paragraph">
              <wp:posOffset>-71755</wp:posOffset>
            </wp:positionV>
            <wp:extent cx="1395730" cy="1461135"/>
            <wp:effectExtent l="0" t="0" r="0" b="0"/>
            <wp:wrapNone/>
            <wp:docPr id="4"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5730" cy="1461135"/>
                    </a:xfrm>
                    <a:prstGeom prst="rect">
                      <a:avLst/>
                    </a:prstGeom>
                    <a:noFill/>
                    <a:ln>
                      <a:noFill/>
                    </a:ln>
                  </pic:spPr>
                </pic:pic>
              </a:graphicData>
            </a:graphic>
            <wp14:sizeRelH relativeFrom="page">
              <wp14:pctWidth>0</wp14:pctWidth>
            </wp14:sizeRelH>
            <wp14:sizeRelV relativeFrom="page">
              <wp14:pctHeight>0</wp14:pctHeight>
            </wp14:sizeRelV>
          </wp:anchor>
        </w:drawing>
      </w:r>
      <w:r w:rsidR="00A02534" w:rsidRPr="00A83B42">
        <w:rPr>
          <w:rFonts w:ascii="Arabic Transparent" w:hAnsi="Arabic Transparent" w:cs="Arabic Transparent" w:hint="cs"/>
          <w:b/>
          <w:bCs/>
          <w:sz w:val="32"/>
          <w:szCs w:val="32"/>
          <w:rtl/>
        </w:rPr>
        <w:t>جامعة العلوم الإسلامية العالمية</w:t>
      </w:r>
    </w:p>
    <w:p w14:paraId="467F423D" w14:textId="7BED0A57" w:rsidR="00A02534" w:rsidRPr="00A83B42" w:rsidRDefault="00A02534" w:rsidP="00A02534">
      <w:pPr>
        <w:tabs>
          <w:tab w:val="right" w:pos="706"/>
        </w:tabs>
        <w:spacing w:line="360" w:lineRule="auto"/>
        <w:ind w:left="-2"/>
        <w:rPr>
          <w:rFonts w:ascii="Arabic Transparent" w:hAnsi="Arabic Transparent" w:cs="Arabic Transparent"/>
          <w:b/>
          <w:bCs/>
          <w:sz w:val="32"/>
          <w:szCs w:val="32"/>
          <w:rtl/>
        </w:rPr>
      </w:pPr>
      <w:r w:rsidRPr="00A83B42">
        <w:rPr>
          <w:rFonts w:ascii="Arabic Transparent" w:hAnsi="Arabic Transparent" w:cs="Arabic Transparent" w:hint="cs"/>
          <w:b/>
          <w:bCs/>
          <w:sz w:val="32"/>
          <w:szCs w:val="32"/>
          <w:rtl/>
        </w:rPr>
        <w:t>ك</w:t>
      </w:r>
      <w:r w:rsidR="00A83B42" w:rsidRPr="00A83B42">
        <w:rPr>
          <w:rFonts w:ascii="Arabic Transparent" w:hAnsi="Arabic Transparent" w:cs="Arabic Transparent" w:hint="cs"/>
          <w:b/>
          <w:bCs/>
          <w:sz w:val="32"/>
          <w:szCs w:val="32"/>
          <w:rtl/>
        </w:rPr>
        <w:t>ــ</w:t>
      </w:r>
      <w:r w:rsidRPr="00A83B42">
        <w:rPr>
          <w:rFonts w:ascii="Arabic Transparent" w:hAnsi="Arabic Transparent" w:cs="Arabic Transparent" w:hint="cs"/>
          <w:b/>
          <w:bCs/>
          <w:sz w:val="32"/>
          <w:szCs w:val="32"/>
          <w:rtl/>
        </w:rPr>
        <w:t>لي</w:t>
      </w:r>
      <w:r w:rsidR="00A83B42">
        <w:rPr>
          <w:rFonts w:ascii="Arabic Transparent" w:hAnsi="Arabic Transparent" w:cs="Arabic Transparent" w:hint="cs"/>
          <w:b/>
          <w:bCs/>
          <w:sz w:val="32"/>
          <w:szCs w:val="32"/>
          <w:rtl/>
        </w:rPr>
        <w:t>ـــــــ</w:t>
      </w:r>
      <w:r w:rsidRPr="00A83B42">
        <w:rPr>
          <w:rFonts w:ascii="Arabic Transparent" w:hAnsi="Arabic Transparent" w:cs="Arabic Transparent" w:hint="cs"/>
          <w:b/>
          <w:bCs/>
          <w:sz w:val="32"/>
          <w:szCs w:val="32"/>
          <w:rtl/>
        </w:rPr>
        <w:t>ة الدراس</w:t>
      </w:r>
      <w:r w:rsidR="00A83B42" w:rsidRPr="00A83B42">
        <w:rPr>
          <w:rFonts w:ascii="Arabic Transparent" w:hAnsi="Arabic Transparent" w:cs="Arabic Transparent" w:hint="cs"/>
          <w:b/>
          <w:bCs/>
          <w:sz w:val="32"/>
          <w:szCs w:val="32"/>
          <w:rtl/>
        </w:rPr>
        <w:t>ـ</w:t>
      </w:r>
      <w:r w:rsidR="00A83B42">
        <w:rPr>
          <w:rFonts w:ascii="Arabic Transparent" w:hAnsi="Arabic Transparent" w:cs="Arabic Transparent" w:hint="cs"/>
          <w:b/>
          <w:bCs/>
          <w:sz w:val="32"/>
          <w:szCs w:val="32"/>
          <w:rtl/>
        </w:rPr>
        <w:t>ــ</w:t>
      </w:r>
      <w:r w:rsidRPr="00A83B42">
        <w:rPr>
          <w:rFonts w:ascii="Arabic Transparent" w:hAnsi="Arabic Transparent" w:cs="Arabic Transparent" w:hint="cs"/>
          <w:b/>
          <w:bCs/>
          <w:sz w:val="32"/>
          <w:szCs w:val="32"/>
          <w:rtl/>
        </w:rPr>
        <w:t>ات العلي</w:t>
      </w:r>
      <w:r w:rsidR="00A83B42">
        <w:rPr>
          <w:rFonts w:ascii="Arabic Transparent" w:hAnsi="Arabic Transparent" w:cs="Arabic Transparent" w:hint="cs"/>
          <w:b/>
          <w:bCs/>
          <w:sz w:val="32"/>
          <w:szCs w:val="32"/>
          <w:rtl/>
        </w:rPr>
        <w:t>ـــ</w:t>
      </w:r>
      <w:r w:rsidR="00A83B42" w:rsidRPr="00A83B42">
        <w:rPr>
          <w:rFonts w:ascii="Arabic Transparent" w:hAnsi="Arabic Transparent" w:cs="Arabic Transparent" w:hint="cs"/>
          <w:b/>
          <w:bCs/>
          <w:sz w:val="32"/>
          <w:szCs w:val="32"/>
          <w:rtl/>
        </w:rPr>
        <w:t>ــ</w:t>
      </w:r>
      <w:r w:rsidRPr="00A83B42">
        <w:rPr>
          <w:rFonts w:ascii="Arabic Transparent" w:hAnsi="Arabic Transparent" w:cs="Arabic Transparent" w:hint="cs"/>
          <w:b/>
          <w:bCs/>
          <w:sz w:val="32"/>
          <w:szCs w:val="32"/>
          <w:rtl/>
        </w:rPr>
        <w:t>ا</w:t>
      </w:r>
    </w:p>
    <w:p w14:paraId="1B1CEE30" w14:textId="6800E414" w:rsidR="00A02534" w:rsidRPr="00827CC8" w:rsidRDefault="00A02534" w:rsidP="00A02534">
      <w:pPr>
        <w:tabs>
          <w:tab w:val="right" w:pos="706"/>
          <w:tab w:val="left" w:pos="2970"/>
          <w:tab w:val="left" w:pos="3330"/>
        </w:tabs>
        <w:spacing w:line="360" w:lineRule="auto"/>
        <w:ind w:left="-2"/>
        <w:rPr>
          <w:rFonts w:ascii="Arabic Transparent" w:hAnsi="Arabic Transparent" w:cs="Arabic Transparent"/>
          <w:sz w:val="32"/>
          <w:szCs w:val="32"/>
          <w:rtl/>
        </w:rPr>
      </w:pPr>
      <w:r w:rsidRPr="00A83B42">
        <w:rPr>
          <w:rFonts w:ascii="Arabic Transparent" w:hAnsi="Arabic Transparent" w:cs="Arabic Transparent" w:hint="cs"/>
          <w:b/>
          <w:bCs/>
          <w:sz w:val="32"/>
          <w:szCs w:val="32"/>
          <w:rtl/>
        </w:rPr>
        <w:t>قس</w:t>
      </w:r>
      <w:r w:rsidR="00A83B42" w:rsidRPr="00A83B42">
        <w:rPr>
          <w:rFonts w:ascii="Arabic Transparent" w:hAnsi="Arabic Transparent" w:cs="Arabic Transparent" w:hint="cs"/>
          <w:b/>
          <w:bCs/>
          <w:sz w:val="32"/>
          <w:szCs w:val="32"/>
          <w:rtl/>
        </w:rPr>
        <w:t>ـ</w:t>
      </w:r>
      <w:r w:rsidR="00A83B42">
        <w:rPr>
          <w:rFonts w:ascii="Arabic Transparent" w:hAnsi="Arabic Transparent" w:cs="Arabic Transparent" w:hint="cs"/>
          <w:b/>
          <w:bCs/>
          <w:sz w:val="32"/>
          <w:szCs w:val="32"/>
          <w:rtl/>
        </w:rPr>
        <w:t>ـــ</w:t>
      </w:r>
      <w:r w:rsidR="00A83B42" w:rsidRPr="00A83B42">
        <w:rPr>
          <w:rFonts w:ascii="Arabic Transparent" w:hAnsi="Arabic Transparent" w:cs="Arabic Transparent" w:hint="cs"/>
          <w:b/>
          <w:bCs/>
          <w:sz w:val="32"/>
          <w:szCs w:val="32"/>
          <w:rtl/>
        </w:rPr>
        <w:t>ـ</w:t>
      </w:r>
      <w:r w:rsidR="00A83B42">
        <w:rPr>
          <w:rFonts w:ascii="Arabic Transparent" w:hAnsi="Arabic Transparent" w:cs="Arabic Transparent" w:hint="cs"/>
          <w:b/>
          <w:bCs/>
          <w:sz w:val="32"/>
          <w:szCs w:val="32"/>
          <w:rtl/>
        </w:rPr>
        <w:t>ــ</w:t>
      </w:r>
      <w:r w:rsidRPr="00A83B42">
        <w:rPr>
          <w:rFonts w:ascii="Arabic Transparent" w:hAnsi="Arabic Transparent" w:cs="Arabic Transparent" w:hint="cs"/>
          <w:b/>
          <w:bCs/>
          <w:sz w:val="32"/>
          <w:szCs w:val="32"/>
          <w:rtl/>
        </w:rPr>
        <w:t>م الفق</w:t>
      </w:r>
      <w:r w:rsidR="00A83B42" w:rsidRPr="00A83B42">
        <w:rPr>
          <w:rFonts w:ascii="Arabic Transparent" w:hAnsi="Arabic Transparent" w:cs="Arabic Transparent" w:hint="cs"/>
          <w:b/>
          <w:bCs/>
          <w:sz w:val="32"/>
          <w:szCs w:val="32"/>
          <w:rtl/>
        </w:rPr>
        <w:t>ـ</w:t>
      </w:r>
      <w:r w:rsidR="00A83B42">
        <w:rPr>
          <w:rFonts w:ascii="Arabic Transparent" w:hAnsi="Arabic Transparent" w:cs="Arabic Transparent" w:hint="cs"/>
          <w:b/>
          <w:bCs/>
          <w:sz w:val="32"/>
          <w:szCs w:val="32"/>
          <w:rtl/>
        </w:rPr>
        <w:t>ـــ</w:t>
      </w:r>
      <w:r w:rsidR="00A83B42" w:rsidRPr="00A83B42">
        <w:rPr>
          <w:rFonts w:ascii="Arabic Transparent" w:hAnsi="Arabic Transparent" w:cs="Arabic Transparent" w:hint="cs"/>
          <w:b/>
          <w:bCs/>
          <w:sz w:val="32"/>
          <w:szCs w:val="32"/>
          <w:rtl/>
        </w:rPr>
        <w:t>ـ</w:t>
      </w:r>
      <w:r w:rsidRPr="00A83B42">
        <w:rPr>
          <w:rFonts w:ascii="Arabic Transparent" w:hAnsi="Arabic Transparent" w:cs="Arabic Transparent" w:hint="cs"/>
          <w:b/>
          <w:bCs/>
          <w:sz w:val="32"/>
          <w:szCs w:val="32"/>
          <w:rtl/>
        </w:rPr>
        <w:t>ه وأصول</w:t>
      </w:r>
      <w:r w:rsidR="00A83B42">
        <w:rPr>
          <w:rFonts w:ascii="Arabic Transparent" w:hAnsi="Arabic Transparent" w:cs="Arabic Transparent" w:hint="cs"/>
          <w:b/>
          <w:bCs/>
          <w:sz w:val="32"/>
          <w:szCs w:val="32"/>
          <w:rtl/>
        </w:rPr>
        <w:t>ـــ</w:t>
      </w:r>
      <w:r w:rsidR="005F6E80">
        <w:rPr>
          <w:rFonts w:ascii="Arabic Transparent" w:hAnsi="Arabic Transparent" w:cs="Arabic Transparent" w:hint="cs"/>
          <w:b/>
          <w:bCs/>
          <w:sz w:val="32"/>
          <w:szCs w:val="32"/>
          <w:rtl/>
        </w:rPr>
        <w:t>ــ</w:t>
      </w:r>
      <w:r w:rsidR="00A83B42">
        <w:rPr>
          <w:rFonts w:ascii="Arabic Transparent" w:hAnsi="Arabic Transparent" w:cs="Arabic Transparent" w:hint="cs"/>
          <w:b/>
          <w:bCs/>
          <w:sz w:val="32"/>
          <w:szCs w:val="32"/>
          <w:rtl/>
        </w:rPr>
        <w:t>ـ</w:t>
      </w:r>
      <w:r w:rsidR="00A83B42" w:rsidRPr="00A83B42">
        <w:rPr>
          <w:rFonts w:ascii="Arabic Transparent" w:hAnsi="Arabic Transparent" w:cs="Arabic Transparent" w:hint="cs"/>
          <w:b/>
          <w:bCs/>
          <w:sz w:val="32"/>
          <w:szCs w:val="32"/>
          <w:rtl/>
        </w:rPr>
        <w:t>ــ</w:t>
      </w:r>
      <w:r w:rsidRPr="00A83B42">
        <w:rPr>
          <w:rFonts w:ascii="Arabic Transparent" w:hAnsi="Arabic Transparent" w:cs="Arabic Transparent" w:hint="cs"/>
          <w:b/>
          <w:bCs/>
          <w:sz w:val="32"/>
          <w:szCs w:val="32"/>
          <w:rtl/>
        </w:rPr>
        <w:t>ه</w:t>
      </w:r>
    </w:p>
    <w:p w14:paraId="3FEA5A9D" w14:textId="77777777" w:rsidR="0035611A" w:rsidRPr="00A83B42" w:rsidRDefault="0035611A" w:rsidP="002D51B3">
      <w:pPr>
        <w:tabs>
          <w:tab w:val="right" w:pos="706"/>
        </w:tabs>
        <w:spacing w:line="360" w:lineRule="auto"/>
        <w:ind w:left="-2"/>
        <w:jc w:val="both"/>
        <w:rPr>
          <w:rFonts w:ascii="Arabic Transparent" w:hAnsi="Arabic Transparent" w:cs="Arabic Transparent"/>
          <w:b/>
          <w:bCs/>
          <w:sz w:val="32"/>
          <w:szCs w:val="32"/>
          <w:rtl/>
        </w:rPr>
      </w:pPr>
      <w:r w:rsidRPr="00827CC8">
        <w:rPr>
          <w:rFonts w:ascii="Arabic Transparent" w:hAnsi="Arabic Transparent" w:cs="Arabic Transparent" w:hint="cs"/>
          <w:sz w:val="32"/>
          <w:szCs w:val="32"/>
          <w:rtl/>
        </w:rPr>
        <w:t xml:space="preserve"> </w:t>
      </w:r>
    </w:p>
    <w:p w14:paraId="1CA31533" w14:textId="77777777" w:rsidR="0035611A" w:rsidRPr="00A83B42" w:rsidRDefault="0035611A" w:rsidP="002D51B3">
      <w:pPr>
        <w:spacing w:after="0" w:line="360" w:lineRule="auto"/>
        <w:ind w:left="34"/>
        <w:jc w:val="center"/>
        <w:rPr>
          <w:rFonts w:ascii="Arabic Transparent" w:hAnsi="Arabic Transparent" w:cs="Arabic Transparent"/>
          <w:b/>
          <w:bCs/>
          <w:sz w:val="40"/>
          <w:szCs w:val="40"/>
          <w:rtl/>
          <w:lang w:bidi="ar-JO"/>
        </w:rPr>
      </w:pPr>
      <w:r w:rsidRPr="00A83B42">
        <w:rPr>
          <w:rFonts w:ascii="Arabic Transparent" w:hAnsi="Arabic Transparent" w:cs="Arabic Transparent" w:hint="cs"/>
          <w:b/>
          <w:bCs/>
          <w:sz w:val="40"/>
          <w:szCs w:val="40"/>
          <w:rtl/>
          <w:lang w:bidi="ar-JO"/>
        </w:rPr>
        <w:t xml:space="preserve"> التفاوت في تحقيق المناط الخاص وتطبيقاته في المعاملات المالية المعاصرة</w:t>
      </w:r>
    </w:p>
    <w:p w14:paraId="3771090A" w14:textId="77777777" w:rsidR="0035611A" w:rsidRPr="00827CC8" w:rsidRDefault="0035611A" w:rsidP="002D51B3">
      <w:pPr>
        <w:spacing w:after="0" w:line="360" w:lineRule="auto"/>
        <w:ind w:left="34"/>
        <w:jc w:val="center"/>
        <w:rPr>
          <w:rFonts w:ascii="Arabic Transparent" w:hAnsi="Arabic Transparent" w:cs="Arabic Transparent"/>
          <w:sz w:val="36"/>
          <w:szCs w:val="36"/>
          <w:rtl/>
          <w:lang w:bidi="ar-JO"/>
        </w:rPr>
      </w:pPr>
    </w:p>
    <w:p w14:paraId="0674915D" w14:textId="77777777" w:rsidR="00BA108E" w:rsidRPr="00827CC8" w:rsidRDefault="00BA108E" w:rsidP="002D51B3">
      <w:pPr>
        <w:spacing w:after="0" w:line="360" w:lineRule="auto"/>
        <w:ind w:left="34"/>
        <w:jc w:val="center"/>
        <w:rPr>
          <w:rFonts w:ascii="Arabic Transparent" w:hAnsi="Arabic Transparent" w:cs="Arabic Transparent"/>
          <w:sz w:val="36"/>
          <w:szCs w:val="36"/>
          <w:lang w:bidi="ar-JO"/>
        </w:rPr>
      </w:pPr>
    </w:p>
    <w:p w14:paraId="40F95043" w14:textId="77777777" w:rsidR="0035611A" w:rsidRPr="00A83B42" w:rsidRDefault="0035611A" w:rsidP="002D51B3">
      <w:pPr>
        <w:spacing w:after="0" w:line="360" w:lineRule="auto"/>
        <w:ind w:left="34"/>
        <w:jc w:val="center"/>
        <w:rPr>
          <w:rFonts w:ascii="Arabic Transparent" w:hAnsi="Arabic Transparent" w:cs="Arabic Transparent"/>
          <w:b/>
          <w:bCs/>
          <w:sz w:val="36"/>
          <w:szCs w:val="36"/>
          <w:rtl/>
          <w:lang w:bidi="ar-JO"/>
        </w:rPr>
      </w:pPr>
      <w:r w:rsidRPr="00A83B42">
        <w:rPr>
          <w:rFonts w:ascii="Arabic Transparent" w:hAnsi="Arabic Transparent" w:cs="Arabic Transparent" w:hint="cs"/>
          <w:b/>
          <w:bCs/>
          <w:sz w:val="36"/>
          <w:szCs w:val="36"/>
          <w:rtl/>
        </w:rPr>
        <w:t xml:space="preserve">إعداد </w:t>
      </w:r>
    </w:p>
    <w:p w14:paraId="3788EC03" w14:textId="77777777" w:rsidR="0035611A" w:rsidRPr="00A83B42" w:rsidRDefault="0035611A" w:rsidP="002D51B3">
      <w:pPr>
        <w:spacing w:after="0" w:line="360" w:lineRule="auto"/>
        <w:ind w:left="34"/>
        <w:jc w:val="center"/>
        <w:rPr>
          <w:rFonts w:ascii="Arabic Transparent" w:hAnsi="Arabic Transparent" w:cs="Arabic Transparent"/>
          <w:b/>
          <w:bCs/>
          <w:sz w:val="36"/>
          <w:szCs w:val="36"/>
          <w:rtl/>
          <w:lang w:bidi="ar-JO"/>
        </w:rPr>
      </w:pPr>
      <w:r w:rsidRPr="00A83B42">
        <w:rPr>
          <w:rFonts w:ascii="Arabic Transparent" w:hAnsi="Arabic Transparent" w:cs="Arabic Transparent" w:hint="cs"/>
          <w:b/>
          <w:bCs/>
          <w:sz w:val="36"/>
          <w:szCs w:val="36"/>
          <w:rtl/>
          <w:lang w:bidi="ar-JO"/>
        </w:rPr>
        <w:t xml:space="preserve">حمزة نعيم حسين مسلم </w:t>
      </w:r>
    </w:p>
    <w:p w14:paraId="1AD3087B" w14:textId="77777777" w:rsidR="00BA108E" w:rsidRPr="00A83B42" w:rsidRDefault="00BA108E" w:rsidP="002D51B3">
      <w:pPr>
        <w:spacing w:after="0" w:line="360" w:lineRule="auto"/>
        <w:ind w:left="34"/>
        <w:jc w:val="center"/>
        <w:rPr>
          <w:rFonts w:ascii="Arabic Transparent" w:hAnsi="Arabic Transparent" w:cs="Arabic Transparent"/>
          <w:b/>
          <w:bCs/>
          <w:sz w:val="36"/>
          <w:szCs w:val="36"/>
          <w:rtl/>
          <w:lang w:bidi="ar-JO"/>
        </w:rPr>
      </w:pPr>
    </w:p>
    <w:p w14:paraId="2CF924E9" w14:textId="77777777" w:rsidR="0035611A" w:rsidRPr="00A83B42" w:rsidRDefault="0035611A" w:rsidP="002D51B3">
      <w:pPr>
        <w:spacing w:after="0" w:line="360" w:lineRule="auto"/>
        <w:ind w:left="34"/>
        <w:jc w:val="center"/>
        <w:rPr>
          <w:rFonts w:ascii="Arabic Transparent" w:hAnsi="Arabic Transparent" w:cs="Arabic Transparent"/>
          <w:b/>
          <w:bCs/>
          <w:sz w:val="16"/>
          <w:szCs w:val="16"/>
          <w:lang w:bidi="ar-JO"/>
        </w:rPr>
      </w:pPr>
    </w:p>
    <w:p w14:paraId="6D09CA65" w14:textId="77777777" w:rsidR="0035611A" w:rsidRPr="00A83B42" w:rsidRDefault="0035611A" w:rsidP="002D51B3">
      <w:pPr>
        <w:spacing w:after="0" w:line="360" w:lineRule="auto"/>
        <w:ind w:left="34"/>
        <w:jc w:val="center"/>
        <w:rPr>
          <w:rFonts w:ascii="Arabic Transparent" w:hAnsi="Arabic Transparent" w:cs="Arabic Transparent"/>
          <w:b/>
          <w:bCs/>
          <w:sz w:val="36"/>
          <w:szCs w:val="36"/>
          <w:rtl/>
        </w:rPr>
      </w:pPr>
      <w:r w:rsidRPr="00A83B42">
        <w:rPr>
          <w:rFonts w:ascii="Arabic Transparent" w:hAnsi="Arabic Transparent" w:cs="Arabic Transparent" w:hint="cs"/>
          <w:b/>
          <w:bCs/>
          <w:sz w:val="36"/>
          <w:szCs w:val="36"/>
          <w:rtl/>
        </w:rPr>
        <w:t>إشراف</w:t>
      </w:r>
    </w:p>
    <w:p w14:paraId="2BA67709" w14:textId="24047B5E" w:rsidR="0035611A" w:rsidRPr="00A83B42" w:rsidRDefault="0035611A" w:rsidP="002D51B3">
      <w:pPr>
        <w:spacing w:after="0" w:line="360" w:lineRule="auto"/>
        <w:ind w:left="-316" w:right="-360"/>
        <w:jc w:val="center"/>
        <w:rPr>
          <w:rFonts w:ascii="Arabic Transparent" w:hAnsi="Arabic Transparent" w:cs="Arabic Transparent"/>
          <w:b/>
          <w:bCs/>
          <w:sz w:val="36"/>
          <w:szCs w:val="36"/>
          <w:rtl/>
        </w:rPr>
      </w:pPr>
      <w:r w:rsidRPr="00A83B42">
        <w:rPr>
          <w:rFonts w:ascii="Arabic Transparent" w:hAnsi="Arabic Transparent" w:cs="Arabic Transparent" w:hint="cs"/>
          <w:b/>
          <w:bCs/>
          <w:sz w:val="36"/>
          <w:szCs w:val="36"/>
          <w:rtl/>
        </w:rPr>
        <w:t>ا.د أنس عبد</w:t>
      </w:r>
      <w:r w:rsidR="00A83B42">
        <w:rPr>
          <w:rFonts w:ascii="Arabic Transparent" w:hAnsi="Arabic Transparent" w:cs="Arabic Transparent" w:hint="cs"/>
          <w:b/>
          <w:bCs/>
          <w:sz w:val="36"/>
          <w:szCs w:val="36"/>
          <w:rtl/>
        </w:rPr>
        <w:t xml:space="preserve"> </w:t>
      </w:r>
      <w:r w:rsidRPr="00A83B42">
        <w:rPr>
          <w:rFonts w:ascii="Arabic Transparent" w:hAnsi="Arabic Transparent" w:cs="Arabic Transparent" w:hint="cs"/>
          <w:b/>
          <w:bCs/>
          <w:sz w:val="36"/>
          <w:szCs w:val="36"/>
          <w:rtl/>
        </w:rPr>
        <w:t>الواحد الجابر</w:t>
      </w:r>
    </w:p>
    <w:p w14:paraId="2C314EF1" w14:textId="77777777" w:rsidR="00BA108E" w:rsidRPr="00827CC8" w:rsidRDefault="00BA108E" w:rsidP="002D51B3">
      <w:pPr>
        <w:spacing w:after="0" w:line="360" w:lineRule="auto"/>
        <w:ind w:left="-316" w:right="-360"/>
        <w:jc w:val="center"/>
        <w:rPr>
          <w:rFonts w:ascii="Arabic Transparent" w:hAnsi="Arabic Transparent" w:cs="Arabic Transparent"/>
          <w:sz w:val="36"/>
          <w:szCs w:val="36"/>
          <w:rtl/>
        </w:rPr>
      </w:pPr>
    </w:p>
    <w:p w14:paraId="7AAE2FA4" w14:textId="77777777" w:rsidR="0035611A" w:rsidRPr="00827CC8" w:rsidRDefault="0035611A" w:rsidP="002D51B3">
      <w:pPr>
        <w:spacing w:after="0" w:line="360" w:lineRule="auto"/>
        <w:ind w:left="-316" w:right="-360"/>
        <w:jc w:val="center"/>
        <w:rPr>
          <w:rFonts w:ascii="Arabic Transparent" w:hAnsi="Arabic Transparent" w:cs="Arabic Transparent"/>
          <w:sz w:val="36"/>
          <w:szCs w:val="36"/>
          <w:rtl/>
        </w:rPr>
      </w:pPr>
    </w:p>
    <w:p w14:paraId="07669A59" w14:textId="4BC3C7BC" w:rsidR="0035611A" w:rsidRPr="00A83B42" w:rsidRDefault="0035611A" w:rsidP="002D51B3">
      <w:pPr>
        <w:tabs>
          <w:tab w:val="right" w:pos="706"/>
        </w:tabs>
        <w:spacing w:line="360" w:lineRule="auto"/>
        <w:jc w:val="center"/>
        <w:rPr>
          <w:rFonts w:ascii="Arabic Transparent" w:hAnsi="Arabic Transparent" w:cs="Arabic Transparent"/>
          <w:b/>
          <w:bCs/>
          <w:sz w:val="32"/>
          <w:szCs w:val="32"/>
          <w:rtl/>
          <w:lang w:bidi="ar-JO"/>
        </w:rPr>
      </w:pPr>
      <w:r w:rsidRPr="00A83B42">
        <w:rPr>
          <w:rFonts w:ascii="Arabic Transparent" w:hAnsi="Arabic Transparent" w:cs="Arabic Transparent" w:hint="cs"/>
          <w:b/>
          <w:bCs/>
          <w:sz w:val="32"/>
          <w:szCs w:val="32"/>
          <w:rtl/>
        </w:rPr>
        <w:t>قُدِّمت هذه الأطروحة استكمالاً لمتطلبات درجة دكتورا</w:t>
      </w:r>
      <w:r w:rsidR="00E61D51" w:rsidRPr="00A83B42">
        <w:rPr>
          <w:rFonts w:ascii="Arabic Transparent" w:hAnsi="Arabic Transparent" w:cs="Arabic Transparent" w:hint="cs"/>
          <w:b/>
          <w:bCs/>
          <w:sz w:val="32"/>
          <w:szCs w:val="32"/>
          <w:rtl/>
        </w:rPr>
        <w:t>ة</w:t>
      </w:r>
      <w:r w:rsidRPr="00A83B42">
        <w:rPr>
          <w:rFonts w:ascii="Arabic Transparent" w:hAnsi="Arabic Transparent" w:cs="Arabic Transparent" w:hint="cs"/>
          <w:b/>
          <w:bCs/>
          <w:sz w:val="32"/>
          <w:szCs w:val="32"/>
          <w:rtl/>
        </w:rPr>
        <w:t xml:space="preserve"> الفلسفة (</w:t>
      </w:r>
      <w:r w:rsidRPr="00A83B42">
        <w:rPr>
          <w:rFonts w:ascii="Arabic Transparent" w:hAnsi="Arabic Transparent" w:cs="Arabic Transparent" w:hint="cs"/>
          <w:b/>
          <w:bCs/>
          <w:sz w:val="32"/>
          <w:szCs w:val="32"/>
          <w:lang w:bidi="ar-JO"/>
        </w:rPr>
        <w:t>D</w:t>
      </w:r>
      <w:r w:rsidRPr="00A83B42">
        <w:rPr>
          <w:rFonts w:ascii="Arabic Transparent" w:hAnsi="Arabic Transparent" w:cs="Arabic Transparent" w:hint="cs"/>
          <w:b/>
          <w:bCs/>
          <w:sz w:val="32"/>
          <w:szCs w:val="32"/>
          <w:rtl/>
          <w:lang w:bidi="ar-JO"/>
        </w:rPr>
        <w:t>.</w:t>
      </w:r>
      <w:r w:rsidRPr="00A83B42">
        <w:rPr>
          <w:rFonts w:ascii="Arabic Transparent" w:hAnsi="Arabic Transparent" w:cs="Arabic Transparent" w:hint="cs"/>
          <w:b/>
          <w:bCs/>
          <w:sz w:val="32"/>
          <w:szCs w:val="32"/>
          <w:lang w:bidi="ar-JO"/>
        </w:rPr>
        <w:t xml:space="preserve"> (PH</w:t>
      </w:r>
    </w:p>
    <w:p w14:paraId="44215DED" w14:textId="15A53B4D" w:rsidR="0035611A" w:rsidRPr="00A83B42" w:rsidRDefault="0035611A" w:rsidP="00B93547">
      <w:pPr>
        <w:tabs>
          <w:tab w:val="right" w:pos="706"/>
        </w:tabs>
        <w:spacing w:line="360" w:lineRule="auto"/>
        <w:jc w:val="center"/>
        <w:rPr>
          <w:rFonts w:ascii="Arabic Transparent" w:hAnsi="Arabic Transparent" w:cs="Arabic Transparent"/>
          <w:b/>
          <w:bCs/>
          <w:sz w:val="18"/>
          <w:szCs w:val="18"/>
          <w:rtl/>
          <w:lang w:bidi="ar-JO"/>
        </w:rPr>
      </w:pPr>
      <w:r w:rsidRPr="00A83B42">
        <w:rPr>
          <w:rFonts w:ascii="Arabic Transparent" w:hAnsi="Arabic Transparent" w:cs="Arabic Transparent" w:hint="cs"/>
          <w:b/>
          <w:bCs/>
          <w:sz w:val="32"/>
          <w:szCs w:val="32"/>
          <w:rtl/>
          <w:lang w:bidi="ar-JO"/>
        </w:rPr>
        <w:t>في تخصص الفقه وأصوله في جامعة العلوم الإسلامية العالمية.</w:t>
      </w:r>
    </w:p>
    <w:p w14:paraId="638865A8" w14:textId="369E4916" w:rsidR="00B93547" w:rsidRDefault="00591A75" w:rsidP="00B93547">
      <w:pPr>
        <w:tabs>
          <w:tab w:val="right" w:pos="706"/>
        </w:tabs>
        <w:spacing w:line="360" w:lineRule="auto"/>
        <w:jc w:val="center"/>
        <w:rPr>
          <w:rFonts w:ascii="Arabic Transparent" w:hAnsi="Arabic Transparent" w:cs="Arabic Transparent"/>
          <w:sz w:val="32"/>
          <w:szCs w:val="32"/>
          <w:rtl/>
        </w:rPr>
      </w:pPr>
      <w:r w:rsidRPr="00A83B42">
        <w:rPr>
          <w:rFonts w:ascii="Arabic Transparent" w:hAnsi="Arabic Transparent" w:cs="Arabic Transparent"/>
          <w:b/>
          <w:bCs/>
          <w:sz w:val="32"/>
          <w:szCs w:val="32"/>
          <w:rtl/>
          <w:lang w:bidi="ar-JO"/>
        </w:rPr>
        <w:t>تاريخ المناقشة: عمان -  /  / 2026م.</w:t>
      </w:r>
      <w:r w:rsidR="00B93547">
        <w:rPr>
          <w:rFonts w:ascii="Arabic Transparent" w:hAnsi="Arabic Transparent" w:cs="Arabic Transparent"/>
          <w:sz w:val="32"/>
          <w:szCs w:val="32"/>
          <w:rtl/>
        </w:rPr>
        <w:br w:type="page"/>
      </w:r>
    </w:p>
    <w:p w14:paraId="07EFED6A" w14:textId="77777777" w:rsidR="004E5D9A" w:rsidRPr="00827CC8" w:rsidRDefault="004E5D9A" w:rsidP="00B93547">
      <w:pPr>
        <w:tabs>
          <w:tab w:val="right" w:pos="706"/>
        </w:tabs>
        <w:spacing w:line="360" w:lineRule="auto"/>
        <w:jc w:val="center"/>
        <w:rPr>
          <w:rFonts w:ascii="Arabic Transparent" w:hAnsi="Arabic Transparent" w:cs="Arabic Transparent"/>
          <w:sz w:val="32"/>
          <w:szCs w:val="32"/>
          <w:rtl/>
        </w:rPr>
        <w:sectPr w:rsidR="004E5D9A" w:rsidRPr="00827CC8" w:rsidSect="00A63A85">
          <w:headerReference w:type="default" r:id="rId9"/>
          <w:headerReference w:type="first" r:id="rId10"/>
          <w:pgSz w:w="11906" w:h="16838" w:code="9"/>
          <w:pgMar w:top="1418" w:right="1985" w:bottom="1418" w:left="1418" w:header="720" w:footer="720" w:gutter="0"/>
          <w:pgNumType w:start="1"/>
          <w:cols w:space="720"/>
          <w:docGrid w:linePitch="360"/>
        </w:sectPr>
      </w:pPr>
    </w:p>
    <w:p w14:paraId="5220B10F" w14:textId="77777777" w:rsidR="00A02534" w:rsidRPr="00591A75" w:rsidRDefault="00A02534" w:rsidP="00BA108E">
      <w:pPr>
        <w:spacing w:after="0" w:line="360" w:lineRule="auto"/>
        <w:ind w:left="34"/>
        <w:jc w:val="center"/>
        <w:rPr>
          <w:rFonts w:ascii="Arabic Transparent" w:hAnsi="Arabic Transparent" w:cs="Arabic Transparent"/>
          <w:b/>
          <w:bCs/>
          <w:sz w:val="32"/>
          <w:szCs w:val="32"/>
          <w:rtl/>
          <w:lang w:bidi="ar-JO"/>
        </w:rPr>
      </w:pPr>
      <w:r w:rsidRPr="00591A75">
        <w:rPr>
          <w:rFonts w:ascii="Arabic Transparent" w:hAnsi="Arabic Transparent" w:cs="Arabic Transparent" w:hint="cs"/>
          <w:b/>
          <w:bCs/>
          <w:sz w:val="32"/>
          <w:szCs w:val="32"/>
          <w:rtl/>
          <w:lang w:bidi="ar-JO"/>
        </w:rPr>
        <w:lastRenderedPageBreak/>
        <w:t xml:space="preserve">قرار لجنة المناقشة </w:t>
      </w:r>
    </w:p>
    <w:p w14:paraId="4B357B0B" w14:textId="77777777" w:rsidR="00BA108E" w:rsidRPr="00591A75" w:rsidRDefault="00BA108E" w:rsidP="00591A75">
      <w:pPr>
        <w:spacing w:after="0" w:line="360" w:lineRule="auto"/>
        <w:ind w:left="34"/>
        <w:jc w:val="center"/>
        <w:rPr>
          <w:rFonts w:ascii="Arabic Transparent" w:hAnsi="Arabic Transparent" w:cs="Arabic Transparent"/>
          <w:b/>
          <w:bCs/>
          <w:sz w:val="36"/>
          <w:szCs w:val="36"/>
          <w:rtl/>
          <w:lang w:bidi="ar-JO"/>
        </w:rPr>
      </w:pPr>
      <w:r w:rsidRPr="00591A75">
        <w:rPr>
          <w:rFonts w:ascii="Arabic Transparent" w:hAnsi="Arabic Transparent" w:cs="Arabic Transparent" w:hint="cs"/>
          <w:b/>
          <w:bCs/>
          <w:sz w:val="36"/>
          <w:szCs w:val="36"/>
          <w:rtl/>
          <w:lang w:bidi="ar-JO"/>
        </w:rPr>
        <w:t>التفاوت في تحقيق المناط الخاص وتطبيقاته في المعاملات المالية المعاصرة</w:t>
      </w:r>
    </w:p>
    <w:p w14:paraId="5DBE32BB" w14:textId="77777777" w:rsidR="00BA108E" w:rsidRPr="00591A75" w:rsidRDefault="00BA108E" w:rsidP="00591A75">
      <w:pPr>
        <w:spacing w:after="0" w:line="360" w:lineRule="auto"/>
        <w:ind w:left="34"/>
        <w:jc w:val="center"/>
        <w:rPr>
          <w:rFonts w:ascii="Arabic Transparent" w:hAnsi="Arabic Transparent" w:cs="Arabic Transparent"/>
          <w:b/>
          <w:bCs/>
          <w:sz w:val="2"/>
          <w:szCs w:val="2"/>
          <w:rtl/>
          <w:lang w:bidi="ar-JO"/>
        </w:rPr>
      </w:pPr>
    </w:p>
    <w:p w14:paraId="64AD12B0" w14:textId="5E5B68EE" w:rsidR="00BA108E" w:rsidRPr="00591A75" w:rsidRDefault="00BA108E" w:rsidP="00591A75">
      <w:pPr>
        <w:spacing w:after="0" w:line="360" w:lineRule="auto"/>
        <w:ind w:left="34"/>
        <w:jc w:val="center"/>
        <w:rPr>
          <w:rFonts w:ascii="Times New Roman" w:hAnsi="Times New Roman" w:cs="Times New Roman"/>
          <w:b/>
          <w:bCs/>
          <w:sz w:val="36"/>
          <w:szCs w:val="36"/>
          <w:rtl/>
          <w:lang w:bidi="ar-JO"/>
        </w:rPr>
      </w:pPr>
      <w:r w:rsidRPr="00591A75">
        <w:rPr>
          <w:rFonts w:ascii="Times New Roman" w:hAnsi="Times New Roman" w:cs="Times New Roman"/>
          <w:b/>
          <w:bCs/>
          <w:sz w:val="36"/>
          <w:szCs w:val="36"/>
        </w:rPr>
        <w:t>Difference in Ascertaining the Specific Effective Ca</w:t>
      </w:r>
      <w:r w:rsidR="008728AE">
        <w:rPr>
          <w:rFonts w:ascii="Times New Roman" w:hAnsi="Times New Roman" w:cs="Times New Roman"/>
          <w:b/>
          <w:bCs/>
          <w:sz w:val="36"/>
          <w:szCs w:val="36"/>
        </w:rPr>
        <w:t>s</w:t>
      </w:r>
      <w:r w:rsidRPr="00591A75">
        <w:rPr>
          <w:rFonts w:ascii="Times New Roman" w:hAnsi="Times New Roman" w:cs="Times New Roman"/>
          <w:b/>
          <w:bCs/>
          <w:sz w:val="36"/>
          <w:szCs w:val="36"/>
        </w:rPr>
        <w:t>use, and its Applications in Contemporary Financial Transaction</w:t>
      </w:r>
      <w:r w:rsidR="008728AE">
        <w:rPr>
          <w:rFonts w:ascii="Times New Roman" w:hAnsi="Times New Roman" w:cs="Times New Roman"/>
          <w:b/>
          <w:bCs/>
          <w:sz w:val="36"/>
          <w:szCs w:val="36"/>
        </w:rPr>
        <w:t>s</w:t>
      </w:r>
    </w:p>
    <w:p w14:paraId="5EB2D336" w14:textId="77777777" w:rsidR="00BA108E" w:rsidRPr="00591A75" w:rsidRDefault="00BA108E" w:rsidP="00BA108E">
      <w:pPr>
        <w:spacing w:after="0" w:line="360" w:lineRule="auto"/>
        <w:ind w:left="34"/>
        <w:jc w:val="center"/>
        <w:rPr>
          <w:rFonts w:ascii="Arabic Transparent" w:hAnsi="Arabic Transparent" w:cs="Arabic Transparent"/>
          <w:b/>
          <w:bCs/>
          <w:sz w:val="32"/>
          <w:szCs w:val="32"/>
          <w:rtl/>
          <w:lang w:bidi="ar-JO"/>
        </w:rPr>
      </w:pPr>
      <w:r w:rsidRPr="00591A75">
        <w:rPr>
          <w:rFonts w:ascii="Arabic Transparent" w:hAnsi="Arabic Transparent" w:cs="Arabic Transparent" w:hint="cs"/>
          <w:b/>
          <w:bCs/>
          <w:sz w:val="32"/>
          <w:szCs w:val="32"/>
          <w:rtl/>
        </w:rPr>
        <w:t xml:space="preserve">إعداد </w:t>
      </w:r>
    </w:p>
    <w:p w14:paraId="0D5DA054" w14:textId="77777777" w:rsidR="00BA108E" w:rsidRPr="00591A75" w:rsidRDefault="00BA108E" w:rsidP="00BA108E">
      <w:pPr>
        <w:spacing w:after="0" w:line="360" w:lineRule="auto"/>
        <w:ind w:left="34"/>
        <w:jc w:val="center"/>
        <w:rPr>
          <w:rFonts w:ascii="Arabic Transparent" w:hAnsi="Arabic Transparent" w:cs="Arabic Transparent"/>
          <w:b/>
          <w:bCs/>
          <w:sz w:val="32"/>
          <w:szCs w:val="32"/>
          <w:rtl/>
          <w:lang w:bidi="ar-JO"/>
        </w:rPr>
      </w:pPr>
      <w:r w:rsidRPr="00591A75">
        <w:rPr>
          <w:rFonts w:ascii="Arabic Transparent" w:hAnsi="Arabic Transparent" w:cs="Arabic Transparent" w:hint="cs"/>
          <w:b/>
          <w:bCs/>
          <w:sz w:val="32"/>
          <w:szCs w:val="32"/>
          <w:rtl/>
          <w:lang w:bidi="ar-JO"/>
        </w:rPr>
        <w:t xml:space="preserve">حمزة نعيم حسين مسلم </w:t>
      </w:r>
    </w:p>
    <w:p w14:paraId="310C1042" w14:textId="77777777" w:rsidR="00BA108E" w:rsidRPr="00591A75" w:rsidRDefault="00BA108E" w:rsidP="00BA108E">
      <w:pPr>
        <w:spacing w:after="0" w:line="360" w:lineRule="auto"/>
        <w:ind w:left="34"/>
        <w:jc w:val="center"/>
        <w:rPr>
          <w:rFonts w:ascii="Arabic Transparent" w:hAnsi="Arabic Transparent" w:cs="Arabic Transparent"/>
          <w:b/>
          <w:bCs/>
          <w:sz w:val="28"/>
          <w:szCs w:val="28"/>
          <w:rtl/>
        </w:rPr>
      </w:pPr>
      <w:r w:rsidRPr="00591A75">
        <w:rPr>
          <w:rFonts w:ascii="Arabic Transparent" w:hAnsi="Arabic Transparent" w:cs="Arabic Transparent" w:hint="cs"/>
          <w:b/>
          <w:bCs/>
          <w:sz w:val="28"/>
          <w:szCs w:val="28"/>
          <w:rtl/>
        </w:rPr>
        <w:t>إشراف</w:t>
      </w:r>
    </w:p>
    <w:p w14:paraId="36D8832D" w14:textId="4FB2A1EB" w:rsidR="00BA108E" w:rsidRPr="00591A75" w:rsidRDefault="00591A75" w:rsidP="00BA108E">
      <w:pPr>
        <w:spacing w:after="0" w:line="360" w:lineRule="auto"/>
        <w:ind w:left="-316" w:right="-360"/>
        <w:jc w:val="center"/>
        <w:rPr>
          <w:rFonts w:ascii="Arabic Transparent" w:hAnsi="Arabic Transparent" w:cs="Arabic Transparent"/>
          <w:b/>
          <w:bCs/>
          <w:sz w:val="28"/>
          <w:szCs w:val="28"/>
          <w:rtl/>
        </w:rPr>
      </w:pPr>
      <w:r>
        <w:rPr>
          <w:rFonts w:ascii="Arabic Transparent" w:hAnsi="Arabic Transparent" w:cs="Arabic Transparent" w:hint="cs"/>
          <w:b/>
          <w:bCs/>
          <w:sz w:val="28"/>
          <w:szCs w:val="28"/>
          <w:rtl/>
        </w:rPr>
        <w:t>أ</w:t>
      </w:r>
      <w:r w:rsidR="00BA108E" w:rsidRPr="00591A75">
        <w:rPr>
          <w:rFonts w:ascii="Arabic Transparent" w:hAnsi="Arabic Transparent" w:cs="Arabic Transparent" w:hint="cs"/>
          <w:b/>
          <w:bCs/>
          <w:sz w:val="28"/>
          <w:szCs w:val="28"/>
          <w:rtl/>
        </w:rPr>
        <w:t>.د أنس عبد</w:t>
      </w:r>
      <w:r w:rsidR="00A83B42">
        <w:rPr>
          <w:rFonts w:ascii="Arabic Transparent" w:hAnsi="Arabic Transparent" w:cs="Arabic Transparent" w:hint="cs"/>
          <w:b/>
          <w:bCs/>
          <w:sz w:val="28"/>
          <w:szCs w:val="28"/>
          <w:rtl/>
        </w:rPr>
        <w:t xml:space="preserve"> </w:t>
      </w:r>
      <w:r w:rsidR="00BA108E" w:rsidRPr="00591A75">
        <w:rPr>
          <w:rFonts w:ascii="Arabic Transparent" w:hAnsi="Arabic Transparent" w:cs="Arabic Transparent" w:hint="cs"/>
          <w:b/>
          <w:bCs/>
          <w:sz w:val="28"/>
          <w:szCs w:val="28"/>
          <w:rtl/>
        </w:rPr>
        <w:t>الواحد الجابر</w:t>
      </w:r>
    </w:p>
    <w:p w14:paraId="7F6F767E" w14:textId="1D1A5A06" w:rsidR="00BA108E" w:rsidRPr="00591A75" w:rsidRDefault="00BA108E" w:rsidP="00BA108E">
      <w:pPr>
        <w:tabs>
          <w:tab w:val="right" w:pos="706"/>
        </w:tabs>
        <w:spacing w:line="360" w:lineRule="auto"/>
        <w:jc w:val="center"/>
        <w:rPr>
          <w:rFonts w:ascii="Arabic Transparent" w:hAnsi="Arabic Transparent" w:cs="Arabic Transparent"/>
          <w:b/>
          <w:bCs/>
          <w:sz w:val="24"/>
          <w:szCs w:val="24"/>
          <w:rtl/>
        </w:rPr>
      </w:pPr>
      <w:r w:rsidRPr="00591A75">
        <w:rPr>
          <w:rFonts w:ascii="Arabic Transparent" w:hAnsi="Arabic Transparent" w:cs="Arabic Transparent" w:hint="cs"/>
          <w:b/>
          <w:bCs/>
          <w:sz w:val="28"/>
          <w:szCs w:val="28"/>
          <w:rtl/>
        </w:rPr>
        <w:t>نوقشت هذه الأطروحة وأجيزت بتاريخ (</w:t>
      </w:r>
      <w:r w:rsidR="00591A75">
        <w:rPr>
          <w:rFonts w:ascii="Arabic Transparent" w:hAnsi="Arabic Transparent" w:cs="Arabic Transparent" w:hint="cs"/>
          <w:b/>
          <w:bCs/>
          <w:sz w:val="28"/>
          <w:szCs w:val="28"/>
          <w:rtl/>
        </w:rPr>
        <w:t>/</w:t>
      </w:r>
      <w:r w:rsidR="005D7B91">
        <w:rPr>
          <w:rFonts w:ascii="Arabic Transparent" w:hAnsi="Arabic Transparent" w:cs="Arabic Transparent" w:hint="cs"/>
          <w:b/>
          <w:bCs/>
          <w:sz w:val="28"/>
          <w:szCs w:val="28"/>
          <w:rtl/>
        </w:rPr>
        <w:t xml:space="preserve">     </w:t>
      </w:r>
      <w:r w:rsidR="00591A75">
        <w:rPr>
          <w:rFonts w:ascii="Arabic Transparent" w:hAnsi="Arabic Transparent" w:cs="Arabic Transparent" w:hint="cs"/>
          <w:b/>
          <w:bCs/>
          <w:sz w:val="28"/>
          <w:szCs w:val="28"/>
          <w:rtl/>
        </w:rPr>
        <w:t>/</w:t>
      </w:r>
      <w:r w:rsidR="005D7B91">
        <w:rPr>
          <w:rFonts w:ascii="Arabic Transparent" w:hAnsi="Arabic Transparent" w:cs="Arabic Transparent" w:hint="cs"/>
          <w:b/>
          <w:bCs/>
          <w:sz w:val="28"/>
          <w:szCs w:val="28"/>
          <w:rtl/>
        </w:rPr>
        <w:t xml:space="preserve">     </w:t>
      </w:r>
      <w:r w:rsidR="00591A75">
        <w:rPr>
          <w:rFonts w:ascii="Arabic Transparent" w:hAnsi="Arabic Transparent" w:cs="Arabic Transparent" w:hint="cs"/>
          <w:b/>
          <w:bCs/>
          <w:sz w:val="28"/>
          <w:szCs w:val="28"/>
          <w:rtl/>
        </w:rPr>
        <w:t xml:space="preserve"> /2026م</w:t>
      </w:r>
      <w:r w:rsidRPr="00591A75">
        <w:rPr>
          <w:rFonts w:ascii="Arabic Transparent" w:hAnsi="Arabic Transparent" w:cs="Arabic Transparent" w:hint="cs"/>
          <w:b/>
          <w:bCs/>
          <w:sz w:val="28"/>
          <w:szCs w:val="28"/>
          <w:rtl/>
        </w:rPr>
        <w:t>)</w:t>
      </w:r>
    </w:p>
    <w:tbl>
      <w:tblPr>
        <w:tblpPr w:leftFromText="180" w:rightFromText="180" w:vertAnchor="text" w:horzAnchor="margin" w:tblpY="779"/>
        <w:bidiVisual/>
        <w:tblW w:w="9656" w:type="dxa"/>
        <w:tblLook w:val="04A0" w:firstRow="1" w:lastRow="0" w:firstColumn="1" w:lastColumn="0" w:noHBand="0" w:noVBand="1"/>
      </w:tblPr>
      <w:tblGrid>
        <w:gridCol w:w="3349"/>
        <w:gridCol w:w="1478"/>
        <w:gridCol w:w="2728"/>
        <w:gridCol w:w="2101"/>
      </w:tblGrid>
      <w:tr w:rsidR="00001A51" w:rsidRPr="00BF2E0A" w14:paraId="5BD57723" w14:textId="77777777" w:rsidTr="00001A51">
        <w:trPr>
          <w:trHeight w:val="946"/>
        </w:trPr>
        <w:tc>
          <w:tcPr>
            <w:tcW w:w="3349" w:type="dxa"/>
            <w:shd w:val="clear" w:color="auto" w:fill="auto"/>
          </w:tcPr>
          <w:p w14:paraId="746FC046" w14:textId="77777777" w:rsidR="00BF2E0A" w:rsidRPr="00001A51" w:rsidRDefault="00BF2E0A" w:rsidP="00001A51">
            <w:pPr>
              <w:tabs>
                <w:tab w:val="right" w:pos="706"/>
              </w:tabs>
              <w:spacing w:line="360" w:lineRule="auto"/>
              <w:jc w:val="center"/>
              <w:rPr>
                <w:rFonts w:ascii="Arabic Transparent" w:hAnsi="Arabic Transparent" w:cs="Arabic Transparent"/>
                <w:b/>
                <w:bCs/>
                <w:sz w:val="32"/>
                <w:szCs w:val="32"/>
                <w:u w:val="single"/>
                <w:rtl/>
              </w:rPr>
            </w:pPr>
            <w:r w:rsidRPr="00001A51">
              <w:rPr>
                <w:rFonts w:ascii="Arabic Transparent" w:hAnsi="Arabic Transparent" w:cs="Arabic Transparent" w:hint="cs"/>
                <w:b/>
                <w:bCs/>
                <w:sz w:val="32"/>
                <w:szCs w:val="32"/>
                <w:u w:val="single"/>
                <w:rtl/>
              </w:rPr>
              <w:t>الدكتور</w:t>
            </w:r>
          </w:p>
        </w:tc>
        <w:tc>
          <w:tcPr>
            <w:tcW w:w="1478" w:type="dxa"/>
            <w:shd w:val="clear" w:color="auto" w:fill="auto"/>
          </w:tcPr>
          <w:p w14:paraId="7E304067" w14:textId="77777777" w:rsidR="00BF2E0A" w:rsidRPr="00001A51" w:rsidRDefault="00BF2E0A" w:rsidP="00001A51">
            <w:pPr>
              <w:tabs>
                <w:tab w:val="right" w:pos="706"/>
              </w:tabs>
              <w:spacing w:line="360" w:lineRule="auto"/>
              <w:jc w:val="center"/>
              <w:rPr>
                <w:rFonts w:ascii="Arabic Transparent" w:hAnsi="Arabic Transparent" w:cs="Arabic Transparent"/>
                <w:b/>
                <w:bCs/>
                <w:sz w:val="32"/>
                <w:szCs w:val="32"/>
                <w:u w:val="single"/>
                <w:rtl/>
              </w:rPr>
            </w:pPr>
          </w:p>
        </w:tc>
        <w:tc>
          <w:tcPr>
            <w:tcW w:w="2728" w:type="dxa"/>
            <w:shd w:val="clear" w:color="auto" w:fill="auto"/>
          </w:tcPr>
          <w:p w14:paraId="1C239CBE" w14:textId="77777777" w:rsidR="00BF2E0A" w:rsidRPr="00001A51" w:rsidRDefault="00BF2E0A" w:rsidP="00001A51">
            <w:pPr>
              <w:tabs>
                <w:tab w:val="right" w:pos="706"/>
              </w:tabs>
              <w:spacing w:line="360" w:lineRule="auto"/>
              <w:jc w:val="center"/>
              <w:rPr>
                <w:rFonts w:ascii="Arabic Transparent" w:hAnsi="Arabic Transparent" w:cs="Arabic Transparent"/>
                <w:b/>
                <w:bCs/>
                <w:sz w:val="32"/>
                <w:szCs w:val="32"/>
                <w:u w:val="single"/>
                <w:rtl/>
              </w:rPr>
            </w:pPr>
            <w:r w:rsidRPr="00001A51">
              <w:rPr>
                <w:rFonts w:ascii="Arabic Transparent" w:hAnsi="Arabic Transparent" w:cs="Arabic Transparent" w:hint="cs"/>
                <w:b/>
                <w:bCs/>
                <w:sz w:val="32"/>
                <w:szCs w:val="32"/>
                <w:u w:val="single"/>
                <w:rtl/>
              </w:rPr>
              <w:t>الجامعة</w:t>
            </w:r>
          </w:p>
        </w:tc>
        <w:tc>
          <w:tcPr>
            <w:tcW w:w="2101" w:type="dxa"/>
            <w:shd w:val="clear" w:color="auto" w:fill="auto"/>
          </w:tcPr>
          <w:p w14:paraId="1D40D91A" w14:textId="77777777" w:rsidR="00BF2E0A" w:rsidRPr="00001A51" w:rsidRDefault="00BF2E0A" w:rsidP="00001A51">
            <w:pPr>
              <w:tabs>
                <w:tab w:val="right" w:pos="706"/>
              </w:tabs>
              <w:spacing w:line="360" w:lineRule="auto"/>
              <w:jc w:val="center"/>
              <w:rPr>
                <w:rFonts w:ascii="Arabic Transparent" w:hAnsi="Arabic Transparent" w:cs="Arabic Transparent"/>
                <w:b/>
                <w:bCs/>
                <w:sz w:val="32"/>
                <w:szCs w:val="32"/>
                <w:u w:val="single"/>
                <w:rtl/>
              </w:rPr>
            </w:pPr>
            <w:r w:rsidRPr="00001A51">
              <w:rPr>
                <w:rFonts w:ascii="Arabic Transparent" w:hAnsi="Arabic Transparent" w:cs="Arabic Transparent" w:hint="cs"/>
                <w:b/>
                <w:bCs/>
                <w:sz w:val="32"/>
                <w:szCs w:val="32"/>
                <w:u w:val="single"/>
                <w:rtl/>
              </w:rPr>
              <w:t>التوقيع</w:t>
            </w:r>
          </w:p>
        </w:tc>
      </w:tr>
      <w:tr w:rsidR="00001A51" w:rsidRPr="00C37E8F" w14:paraId="0A362DFC" w14:textId="77777777" w:rsidTr="00001A51">
        <w:trPr>
          <w:trHeight w:val="852"/>
        </w:trPr>
        <w:tc>
          <w:tcPr>
            <w:tcW w:w="3349" w:type="dxa"/>
            <w:shd w:val="clear" w:color="auto" w:fill="auto"/>
          </w:tcPr>
          <w:p w14:paraId="27485880" w14:textId="77777777" w:rsidR="00BF2E0A" w:rsidRPr="00001A51" w:rsidRDefault="00BF2E0A" w:rsidP="00001A51">
            <w:pPr>
              <w:tabs>
                <w:tab w:val="right" w:pos="706"/>
              </w:tabs>
              <w:spacing w:line="360" w:lineRule="auto"/>
              <w:jc w:val="center"/>
              <w:rPr>
                <w:rFonts w:ascii="Arabic Transparent" w:hAnsi="Arabic Transparent" w:cs="Arabic Transparent"/>
                <w:b/>
                <w:bCs/>
                <w:sz w:val="28"/>
                <w:szCs w:val="28"/>
                <w:rtl/>
              </w:rPr>
            </w:pPr>
          </w:p>
        </w:tc>
        <w:tc>
          <w:tcPr>
            <w:tcW w:w="1478" w:type="dxa"/>
            <w:shd w:val="clear" w:color="auto" w:fill="auto"/>
          </w:tcPr>
          <w:p w14:paraId="1D77F7BA" w14:textId="77777777" w:rsidR="00BF2E0A" w:rsidRPr="00001A51" w:rsidRDefault="00BF2E0A" w:rsidP="00001A51">
            <w:pPr>
              <w:tabs>
                <w:tab w:val="right" w:pos="706"/>
              </w:tabs>
              <w:spacing w:line="360" w:lineRule="auto"/>
              <w:jc w:val="center"/>
              <w:rPr>
                <w:rFonts w:ascii="Arabic Transparent" w:hAnsi="Arabic Transparent" w:cs="Arabic Transparent"/>
                <w:b/>
                <w:bCs/>
                <w:sz w:val="28"/>
                <w:szCs w:val="28"/>
                <w:rtl/>
              </w:rPr>
            </w:pPr>
            <w:r w:rsidRPr="00001A51">
              <w:rPr>
                <w:rFonts w:ascii="Arabic Transparent" w:hAnsi="Arabic Transparent" w:cs="Arabic Transparent" w:hint="cs"/>
                <w:b/>
                <w:bCs/>
                <w:sz w:val="28"/>
                <w:szCs w:val="28"/>
                <w:rtl/>
              </w:rPr>
              <w:t>رئيساً</w:t>
            </w:r>
          </w:p>
        </w:tc>
        <w:tc>
          <w:tcPr>
            <w:tcW w:w="2728" w:type="dxa"/>
            <w:shd w:val="clear" w:color="auto" w:fill="auto"/>
          </w:tcPr>
          <w:p w14:paraId="1E674A27" w14:textId="77777777" w:rsidR="00BF2E0A" w:rsidRPr="00001A51" w:rsidRDefault="00BF2E0A" w:rsidP="00001A51">
            <w:pPr>
              <w:tabs>
                <w:tab w:val="right" w:pos="706"/>
              </w:tabs>
              <w:spacing w:line="360" w:lineRule="auto"/>
              <w:jc w:val="center"/>
              <w:rPr>
                <w:rFonts w:ascii="Arabic Transparent" w:hAnsi="Arabic Transparent" w:cs="Arabic Transparent"/>
                <w:b/>
                <w:bCs/>
                <w:sz w:val="28"/>
                <w:szCs w:val="28"/>
                <w:rtl/>
              </w:rPr>
            </w:pPr>
            <w:r w:rsidRPr="00001A51">
              <w:rPr>
                <w:rFonts w:ascii="Arabic Transparent" w:hAnsi="Arabic Transparent" w:cs="Arabic Transparent"/>
                <w:b/>
                <w:bCs/>
                <w:sz w:val="28"/>
                <w:szCs w:val="28"/>
                <w:rtl/>
              </w:rPr>
              <w:t>العلوم الإسلامية العالمية</w:t>
            </w:r>
          </w:p>
        </w:tc>
        <w:tc>
          <w:tcPr>
            <w:tcW w:w="2101" w:type="dxa"/>
            <w:shd w:val="clear" w:color="auto" w:fill="auto"/>
          </w:tcPr>
          <w:p w14:paraId="7B947AC1" w14:textId="77777777" w:rsidR="00BF2E0A" w:rsidRPr="00001A51" w:rsidRDefault="00BF2E0A" w:rsidP="00001A51">
            <w:pPr>
              <w:tabs>
                <w:tab w:val="right" w:pos="706"/>
              </w:tabs>
              <w:spacing w:line="360" w:lineRule="auto"/>
              <w:jc w:val="center"/>
              <w:rPr>
                <w:rFonts w:ascii="Arabic Transparent" w:hAnsi="Arabic Transparent" w:cs="Arabic Transparent"/>
                <w:b/>
                <w:bCs/>
                <w:sz w:val="28"/>
                <w:szCs w:val="28"/>
                <w:rtl/>
              </w:rPr>
            </w:pPr>
            <w:r w:rsidRPr="00001A51">
              <w:rPr>
                <w:rFonts w:ascii="Arabic Transparent" w:hAnsi="Arabic Transparent" w:cs="Arabic Transparent"/>
                <w:b/>
                <w:bCs/>
                <w:sz w:val="28"/>
                <w:szCs w:val="28"/>
                <w:rtl/>
              </w:rPr>
              <w:t>...........</w:t>
            </w:r>
          </w:p>
        </w:tc>
      </w:tr>
      <w:tr w:rsidR="00001A51" w:rsidRPr="00C37E8F" w14:paraId="72F0FFC1" w14:textId="77777777" w:rsidTr="00001A51">
        <w:trPr>
          <w:trHeight w:val="863"/>
        </w:trPr>
        <w:tc>
          <w:tcPr>
            <w:tcW w:w="3349" w:type="dxa"/>
            <w:shd w:val="clear" w:color="auto" w:fill="auto"/>
          </w:tcPr>
          <w:p w14:paraId="5B8ED75D" w14:textId="77777777" w:rsidR="00BF2E0A" w:rsidRPr="00001A51" w:rsidRDefault="00BF2E0A" w:rsidP="00001A51">
            <w:pPr>
              <w:tabs>
                <w:tab w:val="right" w:pos="706"/>
              </w:tabs>
              <w:spacing w:line="360" w:lineRule="auto"/>
              <w:jc w:val="center"/>
              <w:rPr>
                <w:rFonts w:ascii="Arabic Transparent" w:hAnsi="Arabic Transparent" w:cs="Arabic Transparent"/>
                <w:b/>
                <w:bCs/>
                <w:sz w:val="28"/>
                <w:szCs w:val="28"/>
                <w:rtl/>
              </w:rPr>
            </w:pPr>
          </w:p>
        </w:tc>
        <w:tc>
          <w:tcPr>
            <w:tcW w:w="1478" w:type="dxa"/>
            <w:shd w:val="clear" w:color="auto" w:fill="auto"/>
          </w:tcPr>
          <w:p w14:paraId="11E8FB2E" w14:textId="77777777" w:rsidR="00BF2E0A" w:rsidRPr="00001A51" w:rsidRDefault="00BF2E0A" w:rsidP="00001A51">
            <w:pPr>
              <w:tabs>
                <w:tab w:val="right" w:pos="706"/>
              </w:tabs>
              <w:spacing w:line="360" w:lineRule="auto"/>
              <w:jc w:val="center"/>
              <w:rPr>
                <w:rFonts w:ascii="Arabic Transparent" w:hAnsi="Arabic Transparent" w:cs="Arabic Transparent"/>
                <w:b/>
                <w:bCs/>
                <w:sz w:val="28"/>
                <w:szCs w:val="28"/>
                <w:rtl/>
              </w:rPr>
            </w:pPr>
            <w:r w:rsidRPr="00001A51">
              <w:rPr>
                <w:rFonts w:ascii="Arabic Transparent" w:hAnsi="Arabic Transparent" w:cs="Arabic Transparent" w:hint="cs"/>
                <w:b/>
                <w:bCs/>
                <w:sz w:val="28"/>
                <w:szCs w:val="28"/>
                <w:rtl/>
              </w:rPr>
              <w:t>عضواً</w:t>
            </w:r>
          </w:p>
        </w:tc>
        <w:tc>
          <w:tcPr>
            <w:tcW w:w="2728" w:type="dxa"/>
            <w:shd w:val="clear" w:color="auto" w:fill="auto"/>
          </w:tcPr>
          <w:p w14:paraId="31F8D8DF" w14:textId="77777777" w:rsidR="00BF2E0A" w:rsidRPr="00001A51" w:rsidRDefault="00BF2E0A" w:rsidP="00001A51">
            <w:pPr>
              <w:tabs>
                <w:tab w:val="right" w:pos="706"/>
              </w:tabs>
              <w:spacing w:line="360" w:lineRule="auto"/>
              <w:jc w:val="center"/>
              <w:rPr>
                <w:rFonts w:ascii="Arabic Transparent" w:hAnsi="Arabic Transparent" w:cs="Arabic Transparent"/>
                <w:b/>
                <w:bCs/>
                <w:sz w:val="28"/>
                <w:szCs w:val="28"/>
                <w:rtl/>
              </w:rPr>
            </w:pPr>
            <w:r w:rsidRPr="00001A51">
              <w:rPr>
                <w:rFonts w:ascii="Arabic Transparent" w:hAnsi="Arabic Transparent" w:cs="Arabic Transparent"/>
                <w:b/>
                <w:bCs/>
                <w:sz w:val="28"/>
                <w:szCs w:val="28"/>
                <w:rtl/>
              </w:rPr>
              <w:t>العلوم الإسلامية العالمية</w:t>
            </w:r>
          </w:p>
        </w:tc>
        <w:tc>
          <w:tcPr>
            <w:tcW w:w="2101" w:type="dxa"/>
            <w:shd w:val="clear" w:color="auto" w:fill="auto"/>
          </w:tcPr>
          <w:p w14:paraId="32A4AF97" w14:textId="77777777" w:rsidR="00BF2E0A" w:rsidRPr="00001A51" w:rsidRDefault="00BF2E0A" w:rsidP="00001A51">
            <w:pPr>
              <w:tabs>
                <w:tab w:val="right" w:pos="706"/>
              </w:tabs>
              <w:spacing w:line="360" w:lineRule="auto"/>
              <w:jc w:val="center"/>
              <w:rPr>
                <w:rFonts w:ascii="Arabic Transparent" w:hAnsi="Arabic Transparent" w:cs="Arabic Transparent"/>
                <w:b/>
                <w:bCs/>
                <w:sz w:val="28"/>
                <w:szCs w:val="28"/>
                <w:rtl/>
              </w:rPr>
            </w:pPr>
            <w:r w:rsidRPr="00001A51">
              <w:rPr>
                <w:rFonts w:ascii="Arabic Transparent" w:hAnsi="Arabic Transparent" w:cs="Arabic Transparent"/>
                <w:b/>
                <w:bCs/>
                <w:sz w:val="28"/>
                <w:szCs w:val="28"/>
                <w:rtl/>
              </w:rPr>
              <w:t>...........</w:t>
            </w:r>
          </w:p>
        </w:tc>
      </w:tr>
      <w:tr w:rsidR="00001A51" w:rsidRPr="00C37E8F" w14:paraId="3343BE32" w14:textId="77777777" w:rsidTr="00001A51">
        <w:trPr>
          <w:trHeight w:val="852"/>
        </w:trPr>
        <w:tc>
          <w:tcPr>
            <w:tcW w:w="3349" w:type="dxa"/>
            <w:shd w:val="clear" w:color="auto" w:fill="auto"/>
          </w:tcPr>
          <w:p w14:paraId="22908F65" w14:textId="77777777" w:rsidR="00BF2E0A" w:rsidRPr="00001A51" w:rsidRDefault="00BF2E0A" w:rsidP="00001A51">
            <w:pPr>
              <w:tabs>
                <w:tab w:val="right" w:pos="706"/>
              </w:tabs>
              <w:spacing w:line="360" w:lineRule="auto"/>
              <w:jc w:val="center"/>
              <w:rPr>
                <w:rFonts w:ascii="Arabic Transparent" w:hAnsi="Arabic Transparent" w:cs="Arabic Transparent"/>
                <w:b/>
                <w:bCs/>
                <w:sz w:val="28"/>
                <w:szCs w:val="28"/>
                <w:rtl/>
              </w:rPr>
            </w:pPr>
          </w:p>
        </w:tc>
        <w:tc>
          <w:tcPr>
            <w:tcW w:w="1478" w:type="dxa"/>
            <w:shd w:val="clear" w:color="auto" w:fill="auto"/>
          </w:tcPr>
          <w:p w14:paraId="1ED9C7F8" w14:textId="77777777" w:rsidR="00BF2E0A" w:rsidRPr="00001A51" w:rsidRDefault="00BF2E0A" w:rsidP="00001A51">
            <w:pPr>
              <w:tabs>
                <w:tab w:val="right" w:pos="706"/>
              </w:tabs>
              <w:spacing w:line="360" w:lineRule="auto"/>
              <w:jc w:val="center"/>
              <w:rPr>
                <w:rFonts w:ascii="Arabic Transparent" w:hAnsi="Arabic Transparent" w:cs="Arabic Transparent"/>
                <w:b/>
                <w:bCs/>
                <w:sz w:val="28"/>
                <w:szCs w:val="28"/>
                <w:rtl/>
              </w:rPr>
            </w:pPr>
            <w:r w:rsidRPr="00001A51">
              <w:rPr>
                <w:rFonts w:ascii="Arabic Transparent" w:hAnsi="Arabic Transparent" w:cs="Arabic Transparent" w:hint="cs"/>
                <w:b/>
                <w:bCs/>
                <w:sz w:val="28"/>
                <w:szCs w:val="28"/>
                <w:rtl/>
              </w:rPr>
              <w:t>عضواً خارجياً</w:t>
            </w:r>
          </w:p>
        </w:tc>
        <w:tc>
          <w:tcPr>
            <w:tcW w:w="2728" w:type="dxa"/>
            <w:shd w:val="clear" w:color="auto" w:fill="auto"/>
          </w:tcPr>
          <w:p w14:paraId="23D94A5D" w14:textId="77777777" w:rsidR="00BF2E0A" w:rsidRPr="00001A51" w:rsidRDefault="00BF2E0A" w:rsidP="00001A51">
            <w:pPr>
              <w:tabs>
                <w:tab w:val="right" w:pos="706"/>
              </w:tabs>
              <w:spacing w:line="360" w:lineRule="auto"/>
              <w:jc w:val="center"/>
              <w:rPr>
                <w:rFonts w:ascii="Arabic Transparent" w:hAnsi="Arabic Transparent" w:cs="Arabic Transparent"/>
                <w:b/>
                <w:bCs/>
                <w:sz w:val="28"/>
                <w:szCs w:val="28"/>
                <w:rtl/>
              </w:rPr>
            </w:pPr>
          </w:p>
        </w:tc>
        <w:tc>
          <w:tcPr>
            <w:tcW w:w="2101" w:type="dxa"/>
            <w:shd w:val="clear" w:color="auto" w:fill="auto"/>
          </w:tcPr>
          <w:p w14:paraId="6206A062" w14:textId="77777777" w:rsidR="00BF2E0A" w:rsidRPr="00001A51" w:rsidRDefault="00BF2E0A" w:rsidP="00001A51">
            <w:pPr>
              <w:tabs>
                <w:tab w:val="right" w:pos="706"/>
              </w:tabs>
              <w:spacing w:line="360" w:lineRule="auto"/>
              <w:jc w:val="center"/>
              <w:rPr>
                <w:rFonts w:ascii="Arabic Transparent" w:hAnsi="Arabic Transparent" w:cs="Arabic Transparent"/>
                <w:b/>
                <w:bCs/>
                <w:sz w:val="28"/>
                <w:szCs w:val="28"/>
                <w:rtl/>
              </w:rPr>
            </w:pPr>
            <w:r w:rsidRPr="00001A51">
              <w:rPr>
                <w:rFonts w:ascii="Arabic Transparent" w:hAnsi="Arabic Transparent" w:cs="Arabic Transparent"/>
                <w:b/>
                <w:bCs/>
                <w:sz w:val="28"/>
                <w:szCs w:val="28"/>
                <w:rtl/>
              </w:rPr>
              <w:t>...........</w:t>
            </w:r>
          </w:p>
        </w:tc>
      </w:tr>
      <w:tr w:rsidR="00001A51" w:rsidRPr="00C37E8F" w14:paraId="35E61393" w14:textId="77777777" w:rsidTr="00001A51">
        <w:trPr>
          <w:trHeight w:val="1470"/>
        </w:trPr>
        <w:tc>
          <w:tcPr>
            <w:tcW w:w="3349" w:type="dxa"/>
            <w:shd w:val="clear" w:color="auto" w:fill="auto"/>
          </w:tcPr>
          <w:p w14:paraId="48E461E6" w14:textId="77777777" w:rsidR="00BF2E0A" w:rsidRPr="00001A51" w:rsidRDefault="00BF2E0A" w:rsidP="00001A51">
            <w:pPr>
              <w:tabs>
                <w:tab w:val="right" w:pos="706"/>
              </w:tabs>
              <w:spacing w:line="360" w:lineRule="auto"/>
              <w:jc w:val="center"/>
              <w:rPr>
                <w:rFonts w:ascii="Arabic Transparent" w:hAnsi="Arabic Transparent" w:cs="Arabic Transparent"/>
                <w:b/>
                <w:bCs/>
                <w:sz w:val="28"/>
                <w:szCs w:val="28"/>
                <w:rtl/>
              </w:rPr>
            </w:pPr>
            <w:r w:rsidRPr="00001A51">
              <w:rPr>
                <w:rFonts w:ascii="Arabic Transparent" w:hAnsi="Arabic Transparent" w:cs="Arabic Transparent" w:hint="cs"/>
                <w:b/>
                <w:bCs/>
                <w:sz w:val="28"/>
                <w:szCs w:val="28"/>
                <w:rtl/>
              </w:rPr>
              <w:t>أ.د. أنس عبد الواحد صالح جابر</w:t>
            </w:r>
          </w:p>
        </w:tc>
        <w:tc>
          <w:tcPr>
            <w:tcW w:w="1478" w:type="dxa"/>
            <w:shd w:val="clear" w:color="auto" w:fill="auto"/>
          </w:tcPr>
          <w:p w14:paraId="7C8C974F" w14:textId="77777777" w:rsidR="00BF2E0A" w:rsidRPr="00001A51" w:rsidRDefault="00BF2E0A" w:rsidP="00001A51">
            <w:pPr>
              <w:tabs>
                <w:tab w:val="right" w:pos="706"/>
              </w:tabs>
              <w:spacing w:line="360" w:lineRule="auto"/>
              <w:jc w:val="center"/>
              <w:rPr>
                <w:rFonts w:ascii="Arabic Transparent" w:hAnsi="Arabic Transparent" w:cs="Arabic Transparent"/>
                <w:b/>
                <w:bCs/>
                <w:sz w:val="28"/>
                <w:szCs w:val="28"/>
                <w:rtl/>
              </w:rPr>
            </w:pPr>
            <w:r w:rsidRPr="00001A51">
              <w:rPr>
                <w:rFonts w:ascii="Arabic Transparent" w:hAnsi="Arabic Transparent" w:cs="Arabic Transparent" w:hint="cs"/>
                <w:b/>
                <w:bCs/>
                <w:sz w:val="28"/>
                <w:szCs w:val="28"/>
                <w:rtl/>
              </w:rPr>
              <w:t>مشرفاً</w:t>
            </w:r>
          </w:p>
        </w:tc>
        <w:tc>
          <w:tcPr>
            <w:tcW w:w="2728" w:type="dxa"/>
            <w:shd w:val="clear" w:color="auto" w:fill="auto"/>
          </w:tcPr>
          <w:p w14:paraId="38959AF9" w14:textId="77777777" w:rsidR="00BF2E0A" w:rsidRPr="00001A51" w:rsidRDefault="00BF2E0A" w:rsidP="00001A51">
            <w:pPr>
              <w:tabs>
                <w:tab w:val="right" w:pos="706"/>
              </w:tabs>
              <w:spacing w:line="360" w:lineRule="auto"/>
              <w:jc w:val="center"/>
              <w:rPr>
                <w:rFonts w:ascii="Arabic Transparent" w:hAnsi="Arabic Transparent" w:cs="Arabic Transparent"/>
                <w:b/>
                <w:bCs/>
                <w:sz w:val="28"/>
                <w:szCs w:val="28"/>
                <w:rtl/>
              </w:rPr>
            </w:pPr>
            <w:r w:rsidRPr="00001A51">
              <w:rPr>
                <w:rFonts w:ascii="Arabic Transparent" w:hAnsi="Arabic Transparent" w:cs="Arabic Transparent" w:hint="cs"/>
                <w:b/>
                <w:bCs/>
                <w:sz w:val="28"/>
                <w:szCs w:val="28"/>
                <w:rtl/>
              </w:rPr>
              <w:t>العلوم الإسلامية العالمية</w:t>
            </w:r>
          </w:p>
        </w:tc>
        <w:tc>
          <w:tcPr>
            <w:tcW w:w="2101" w:type="dxa"/>
            <w:shd w:val="clear" w:color="auto" w:fill="auto"/>
          </w:tcPr>
          <w:p w14:paraId="5E67243D" w14:textId="77777777" w:rsidR="00BF2E0A" w:rsidRPr="00001A51" w:rsidRDefault="00BF2E0A" w:rsidP="00001A51">
            <w:pPr>
              <w:tabs>
                <w:tab w:val="right" w:pos="706"/>
              </w:tabs>
              <w:spacing w:line="360" w:lineRule="auto"/>
              <w:jc w:val="center"/>
              <w:rPr>
                <w:rFonts w:ascii="Arabic Transparent" w:hAnsi="Arabic Transparent" w:cs="Arabic Transparent"/>
                <w:b/>
                <w:bCs/>
                <w:sz w:val="28"/>
                <w:szCs w:val="28"/>
                <w:rtl/>
              </w:rPr>
            </w:pPr>
            <w:r w:rsidRPr="00001A51">
              <w:rPr>
                <w:rFonts w:ascii="Arabic Transparent" w:hAnsi="Arabic Transparent" w:cs="Arabic Transparent" w:hint="cs"/>
                <w:b/>
                <w:bCs/>
                <w:sz w:val="28"/>
                <w:szCs w:val="28"/>
                <w:rtl/>
              </w:rPr>
              <w:t>...........</w:t>
            </w:r>
          </w:p>
        </w:tc>
      </w:tr>
    </w:tbl>
    <w:p w14:paraId="7221CBE3" w14:textId="5689B8F4" w:rsidR="00BA108E" w:rsidRDefault="00BF2E0A" w:rsidP="00BA108E">
      <w:pPr>
        <w:tabs>
          <w:tab w:val="right" w:pos="706"/>
        </w:tabs>
        <w:spacing w:line="360" w:lineRule="auto"/>
        <w:jc w:val="center"/>
        <w:rPr>
          <w:rFonts w:ascii="Arabic Transparent" w:hAnsi="Arabic Transparent" w:cs="Arabic Transparent"/>
          <w:b/>
          <w:bCs/>
          <w:sz w:val="32"/>
          <w:szCs w:val="32"/>
          <w:rtl/>
        </w:rPr>
      </w:pPr>
      <w:r w:rsidRPr="00591A75">
        <w:rPr>
          <w:rFonts w:ascii="Arabic Transparent" w:hAnsi="Arabic Transparent" w:cs="Arabic Transparent" w:hint="cs"/>
          <w:b/>
          <w:bCs/>
          <w:sz w:val="32"/>
          <w:szCs w:val="32"/>
          <w:rtl/>
        </w:rPr>
        <w:t xml:space="preserve"> </w:t>
      </w:r>
      <w:r w:rsidR="00BA108E" w:rsidRPr="00591A75">
        <w:rPr>
          <w:rFonts w:ascii="Arabic Transparent" w:hAnsi="Arabic Transparent" w:cs="Arabic Transparent" w:hint="cs"/>
          <w:b/>
          <w:bCs/>
          <w:sz w:val="32"/>
          <w:szCs w:val="32"/>
          <w:rtl/>
        </w:rPr>
        <w:t>أعضاء لجنة المناقشة</w:t>
      </w:r>
      <w:r w:rsidR="00A02534" w:rsidRPr="00591A75">
        <w:rPr>
          <w:rFonts w:ascii="Arabic Transparent" w:hAnsi="Arabic Transparent" w:cs="Arabic Transparent" w:hint="cs"/>
          <w:b/>
          <w:bCs/>
          <w:sz w:val="32"/>
          <w:szCs w:val="32"/>
          <w:rtl/>
        </w:rPr>
        <w:t>:</w:t>
      </w:r>
    </w:p>
    <w:p w14:paraId="220C39CA" w14:textId="77777777" w:rsidR="00C37E8F" w:rsidRDefault="00C37E8F">
      <w:pPr>
        <w:bidi w:val="0"/>
        <w:spacing w:after="0" w:line="240" w:lineRule="auto"/>
        <w:rPr>
          <w:rFonts w:ascii="Arabic Transparent" w:hAnsi="Arabic Transparent" w:cs="Arabic Transparent"/>
          <w:b/>
          <w:bCs/>
          <w:sz w:val="28"/>
          <w:szCs w:val="28"/>
          <w:lang w:bidi="ar-JO"/>
        </w:rPr>
      </w:pPr>
      <w:r>
        <w:rPr>
          <w:rFonts w:ascii="Arabic Transparent" w:hAnsi="Arabic Transparent" w:cs="Arabic Transparent"/>
          <w:b/>
          <w:bCs/>
          <w:sz w:val="28"/>
          <w:szCs w:val="28"/>
          <w:rtl/>
          <w:lang w:bidi="ar-JO"/>
        </w:rPr>
        <w:br w:type="page"/>
      </w:r>
    </w:p>
    <w:p w14:paraId="0BD7DD50" w14:textId="3D3EF581" w:rsidR="004D025B" w:rsidRPr="00C37E8F" w:rsidRDefault="00622117" w:rsidP="004D025B">
      <w:pPr>
        <w:tabs>
          <w:tab w:val="right" w:pos="706"/>
        </w:tabs>
        <w:spacing w:line="360" w:lineRule="auto"/>
        <w:jc w:val="right"/>
        <w:rPr>
          <w:rFonts w:ascii="Times New Roman" w:hAnsi="Times New Roman" w:cs="Times New Roman"/>
          <w:b/>
          <w:bCs/>
          <w:sz w:val="28"/>
          <w:szCs w:val="28"/>
        </w:rPr>
      </w:pPr>
      <w:r>
        <w:rPr>
          <w:noProof/>
        </w:rPr>
        <w:lastRenderedPageBreak/>
        <w:drawing>
          <wp:anchor distT="0" distB="0" distL="114300" distR="114300" simplePos="0" relativeHeight="251657728" behindDoc="0" locked="0" layoutInCell="1" allowOverlap="1" wp14:anchorId="1E84AC4B" wp14:editId="62ED1B58">
            <wp:simplePos x="0" y="0"/>
            <wp:positionH relativeFrom="column">
              <wp:posOffset>4739005</wp:posOffset>
            </wp:positionH>
            <wp:positionV relativeFrom="paragraph">
              <wp:posOffset>-58420</wp:posOffset>
            </wp:positionV>
            <wp:extent cx="1116965" cy="1169035"/>
            <wp:effectExtent l="0" t="0" r="0" b="0"/>
            <wp:wrapNone/>
            <wp:docPr id="3"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16965" cy="1169035"/>
                    </a:xfrm>
                    <a:prstGeom prst="rect">
                      <a:avLst/>
                    </a:prstGeom>
                    <a:noFill/>
                    <a:ln>
                      <a:noFill/>
                    </a:ln>
                  </pic:spPr>
                </pic:pic>
              </a:graphicData>
            </a:graphic>
            <wp14:sizeRelH relativeFrom="page">
              <wp14:pctWidth>0</wp14:pctWidth>
            </wp14:sizeRelH>
            <wp14:sizeRelV relativeFrom="page">
              <wp14:pctHeight>0</wp14:pctHeight>
            </wp14:sizeRelV>
          </wp:anchor>
        </w:drawing>
      </w:r>
      <w:r w:rsidR="00E13EB1" w:rsidRPr="00C37E8F">
        <w:rPr>
          <w:rFonts w:ascii="Arabic Transparent" w:hAnsi="Arabic Transparent" w:cs="Arabic Transparent"/>
          <w:b/>
          <w:bCs/>
          <w:sz w:val="28"/>
          <w:szCs w:val="28"/>
          <w:rtl/>
        </w:rPr>
        <w:tab/>
      </w:r>
      <w:r w:rsidR="004D025B" w:rsidRPr="00C37E8F">
        <w:rPr>
          <w:rFonts w:ascii="Times New Roman" w:hAnsi="Times New Roman" w:cs="Times New Roman"/>
          <w:b/>
          <w:bCs/>
          <w:sz w:val="28"/>
          <w:szCs w:val="28"/>
        </w:rPr>
        <w:t>The World Islamic Sciences &amp; Education University (WISE)</w:t>
      </w:r>
    </w:p>
    <w:p w14:paraId="7351F33E" w14:textId="77777777" w:rsidR="004D025B" w:rsidRPr="00C37E8F" w:rsidRDefault="004D025B" w:rsidP="004D025B">
      <w:pPr>
        <w:tabs>
          <w:tab w:val="right" w:pos="706"/>
        </w:tabs>
        <w:spacing w:line="360" w:lineRule="auto"/>
        <w:jc w:val="right"/>
        <w:rPr>
          <w:rFonts w:ascii="Times New Roman" w:hAnsi="Times New Roman" w:cs="Times New Roman"/>
          <w:b/>
          <w:bCs/>
          <w:sz w:val="28"/>
          <w:szCs w:val="28"/>
        </w:rPr>
      </w:pPr>
      <w:r w:rsidRPr="00C37E8F">
        <w:rPr>
          <w:rFonts w:ascii="Times New Roman" w:hAnsi="Times New Roman" w:cs="Times New Roman"/>
          <w:b/>
          <w:bCs/>
          <w:sz w:val="28"/>
          <w:szCs w:val="28"/>
        </w:rPr>
        <w:t>Faculty of Graduate Studies</w:t>
      </w:r>
    </w:p>
    <w:p w14:paraId="29ED7FAB" w14:textId="706394A5" w:rsidR="004D025B" w:rsidRPr="00C37E8F" w:rsidRDefault="004D025B" w:rsidP="007D0FFE">
      <w:pPr>
        <w:tabs>
          <w:tab w:val="right" w:pos="706"/>
        </w:tabs>
        <w:spacing w:line="360" w:lineRule="auto"/>
        <w:jc w:val="right"/>
        <w:rPr>
          <w:rFonts w:ascii="Times New Roman" w:hAnsi="Times New Roman" w:cs="Times New Roman"/>
          <w:b/>
          <w:bCs/>
          <w:sz w:val="28"/>
          <w:szCs w:val="28"/>
          <w:rtl/>
          <w:lang w:bidi="ar-JO"/>
        </w:rPr>
      </w:pPr>
      <w:r w:rsidRPr="00C37E8F">
        <w:rPr>
          <w:rFonts w:ascii="Times New Roman" w:hAnsi="Times New Roman" w:cs="Times New Roman"/>
          <w:b/>
          <w:bCs/>
          <w:sz w:val="28"/>
          <w:szCs w:val="28"/>
        </w:rPr>
        <w:t xml:space="preserve">Department of </w:t>
      </w:r>
      <w:r w:rsidR="007D0FFE" w:rsidRPr="00C37E8F">
        <w:rPr>
          <w:rFonts w:ascii="Times New Roman" w:hAnsi="Times New Roman" w:cs="Times New Roman"/>
          <w:b/>
          <w:bCs/>
          <w:sz w:val="28"/>
          <w:szCs w:val="28"/>
          <w:lang w:val="en"/>
        </w:rPr>
        <w:t>Jurisprudence</w:t>
      </w:r>
      <w:r w:rsidR="00BF2E0A">
        <w:rPr>
          <w:rFonts w:ascii="Times New Roman" w:hAnsi="Times New Roman" w:cs="Times New Roman"/>
          <w:b/>
          <w:bCs/>
          <w:sz w:val="28"/>
          <w:szCs w:val="28"/>
          <w:lang w:val="en"/>
        </w:rPr>
        <w:t xml:space="preserve"> and its Fundamentals</w:t>
      </w:r>
    </w:p>
    <w:p w14:paraId="17479D90" w14:textId="77777777" w:rsidR="004D025B" w:rsidRPr="00827CC8" w:rsidRDefault="004D025B" w:rsidP="004665D9">
      <w:pPr>
        <w:spacing w:after="0" w:line="360" w:lineRule="auto"/>
        <w:ind w:left="34"/>
        <w:jc w:val="center"/>
        <w:rPr>
          <w:rFonts w:ascii="Times New Roman" w:hAnsi="Times New Roman" w:cs="Times New Roman"/>
          <w:sz w:val="40"/>
          <w:szCs w:val="40"/>
          <w:lang w:bidi="ar-JO"/>
        </w:rPr>
      </w:pPr>
    </w:p>
    <w:p w14:paraId="31745A01" w14:textId="5B583B10" w:rsidR="004665D9" w:rsidRPr="00C37E8F" w:rsidRDefault="004665D9" w:rsidP="004665D9">
      <w:pPr>
        <w:spacing w:after="0" w:line="360" w:lineRule="auto"/>
        <w:ind w:left="34"/>
        <w:jc w:val="center"/>
        <w:rPr>
          <w:rFonts w:ascii="Times New Roman" w:hAnsi="Times New Roman" w:cs="Times New Roman"/>
          <w:b/>
          <w:bCs/>
          <w:sz w:val="40"/>
          <w:szCs w:val="40"/>
          <w:rtl/>
          <w:lang w:bidi="ar-JO"/>
        </w:rPr>
      </w:pPr>
      <w:r w:rsidRPr="00C37E8F">
        <w:rPr>
          <w:rFonts w:ascii="Times New Roman" w:hAnsi="Times New Roman" w:cs="Times New Roman"/>
          <w:b/>
          <w:bCs/>
          <w:sz w:val="40"/>
          <w:szCs w:val="40"/>
        </w:rPr>
        <w:t>Difference in Ascertaining the Specific Effective Ca</w:t>
      </w:r>
      <w:r w:rsidR="008728AE">
        <w:rPr>
          <w:rFonts w:ascii="Times New Roman" w:hAnsi="Times New Roman" w:cs="Times New Roman"/>
          <w:b/>
          <w:bCs/>
          <w:sz w:val="40"/>
          <w:szCs w:val="40"/>
        </w:rPr>
        <w:t>s</w:t>
      </w:r>
      <w:r w:rsidRPr="00C37E8F">
        <w:rPr>
          <w:rFonts w:ascii="Times New Roman" w:hAnsi="Times New Roman" w:cs="Times New Roman"/>
          <w:b/>
          <w:bCs/>
          <w:sz w:val="40"/>
          <w:szCs w:val="40"/>
        </w:rPr>
        <w:t>use, and its Applications in Contemporary Financial Transaction</w:t>
      </w:r>
      <w:r w:rsidR="008728AE">
        <w:rPr>
          <w:rFonts w:ascii="Times New Roman" w:hAnsi="Times New Roman" w:cs="Times New Roman"/>
          <w:b/>
          <w:bCs/>
          <w:sz w:val="40"/>
          <w:szCs w:val="40"/>
        </w:rPr>
        <w:t>s</w:t>
      </w:r>
    </w:p>
    <w:p w14:paraId="57ADB725" w14:textId="77777777" w:rsidR="00F10541" w:rsidRPr="00827CC8" w:rsidRDefault="00F10541" w:rsidP="002D51B3">
      <w:pPr>
        <w:tabs>
          <w:tab w:val="right" w:pos="706"/>
        </w:tabs>
        <w:spacing w:line="360" w:lineRule="auto"/>
        <w:jc w:val="center"/>
        <w:rPr>
          <w:rFonts w:ascii="Times New Roman" w:hAnsi="Times New Roman" w:cs="Times New Roman"/>
          <w:sz w:val="20"/>
          <w:szCs w:val="20"/>
          <w:rtl/>
          <w:lang w:bidi="ar-JO"/>
        </w:rPr>
      </w:pPr>
    </w:p>
    <w:p w14:paraId="3E57FE07" w14:textId="42B53E2D" w:rsidR="004665D9" w:rsidRPr="00C37E8F" w:rsidRDefault="00C37E8F" w:rsidP="007A20D2">
      <w:pPr>
        <w:tabs>
          <w:tab w:val="right" w:pos="706"/>
        </w:tabs>
        <w:spacing w:line="240" w:lineRule="auto"/>
        <w:jc w:val="center"/>
        <w:rPr>
          <w:rFonts w:ascii="Times New Roman" w:hAnsi="Times New Roman" w:cs="Times New Roman"/>
          <w:b/>
          <w:bCs/>
          <w:sz w:val="32"/>
          <w:szCs w:val="32"/>
          <w:lang w:val="en-AE" w:bidi="ar-JO"/>
        </w:rPr>
      </w:pPr>
      <w:r>
        <w:rPr>
          <w:rFonts w:ascii="Times New Roman" w:hAnsi="Times New Roman" w:cs="Times New Roman"/>
          <w:b/>
          <w:bCs/>
          <w:sz w:val="32"/>
          <w:szCs w:val="32"/>
          <w:lang w:val="en-AE" w:bidi="ar-JO"/>
        </w:rPr>
        <w:t>Prepared by</w:t>
      </w:r>
    </w:p>
    <w:p w14:paraId="50B9287C" w14:textId="77777777" w:rsidR="004665D9" w:rsidRDefault="004665D9" w:rsidP="007A20D2">
      <w:pPr>
        <w:tabs>
          <w:tab w:val="right" w:pos="706"/>
        </w:tabs>
        <w:spacing w:line="240" w:lineRule="auto"/>
        <w:jc w:val="center"/>
        <w:rPr>
          <w:rFonts w:ascii="Times New Roman" w:hAnsi="Times New Roman" w:cs="Times New Roman"/>
          <w:b/>
          <w:bCs/>
          <w:sz w:val="32"/>
          <w:szCs w:val="32"/>
          <w:lang w:val="en-AE" w:bidi="ar-JO"/>
        </w:rPr>
      </w:pPr>
      <w:r w:rsidRPr="00C37E8F">
        <w:rPr>
          <w:rFonts w:ascii="Times New Roman" w:hAnsi="Times New Roman" w:cs="Times New Roman"/>
          <w:b/>
          <w:bCs/>
          <w:sz w:val="32"/>
          <w:szCs w:val="32"/>
          <w:lang w:val="en-AE" w:bidi="ar-JO"/>
        </w:rPr>
        <w:t>Hamzeh Naim Hussein Musallam</w:t>
      </w:r>
    </w:p>
    <w:p w14:paraId="1E5A80F8" w14:textId="77777777" w:rsidR="007A20D2" w:rsidRPr="00C37E8F" w:rsidRDefault="007A20D2" w:rsidP="007A20D2">
      <w:pPr>
        <w:tabs>
          <w:tab w:val="right" w:pos="706"/>
        </w:tabs>
        <w:spacing w:line="240" w:lineRule="auto"/>
        <w:jc w:val="center"/>
        <w:rPr>
          <w:rFonts w:ascii="Times New Roman" w:hAnsi="Times New Roman" w:cs="Times New Roman"/>
          <w:b/>
          <w:bCs/>
          <w:sz w:val="32"/>
          <w:szCs w:val="32"/>
          <w:lang w:val="en-AE" w:bidi="ar-JO"/>
        </w:rPr>
      </w:pPr>
    </w:p>
    <w:p w14:paraId="6A5303FF" w14:textId="77777777" w:rsidR="004665D9" w:rsidRPr="00C37E8F" w:rsidRDefault="004665D9" w:rsidP="007A20D2">
      <w:pPr>
        <w:tabs>
          <w:tab w:val="right" w:pos="706"/>
        </w:tabs>
        <w:spacing w:line="240" w:lineRule="auto"/>
        <w:jc w:val="center"/>
        <w:rPr>
          <w:rFonts w:ascii="Times New Roman" w:hAnsi="Times New Roman" w:cs="Times New Roman"/>
          <w:b/>
          <w:bCs/>
          <w:sz w:val="32"/>
          <w:szCs w:val="32"/>
          <w:rtl/>
          <w:lang w:val="en-AE" w:bidi="ar-JO"/>
        </w:rPr>
      </w:pPr>
      <w:r w:rsidRPr="00C37E8F">
        <w:rPr>
          <w:rFonts w:ascii="Times New Roman" w:hAnsi="Times New Roman" w:cs="Times New Roman"/>
          <w:b/>
          <w:bCs/>
          <w:sz w:val="32"/>
          <w:szCs w:val="32"/>
          <w:lang w:val="en-AE" w:bidi="ar-JO"/>
        </w:rPr>
        <w:t>Supervisor</w:t>
      </w:r>
    </w:p>
    <w:p w14:paraId="0DCD3D82" w14:textId="636052BE" w:rsidR="004665D9" w:rsidRPr="007A20D2" w:rsidRDefault="007A20D2" w:rsidP="007A20D2">
      <w:pPr>
        <w:tabs>
          <w:tab w:val="right" w:pos="706"/>
        </w:tabs>
        <w:spacing w:line="240" w:lineRule="auto"/>
        <w:jc w:val="center"/>
        <w:rPr>
          <w:rFonts w:ascii="Times New Roman" w:hAnsi="Times New Roman" w:cs="Times New Roman"/>
          <w:b/>
          <w:bCs/>
          <w:sz w:val="32"/>
          <w:szCs w:val="32"/>
          <w:lang w:bidi="ar-JO"/>
        </w:rPr>
      </w:pPr>
      <w:r>
        <w:rPr>
          <w:rFonts w:ascii="Times New Roman" w:hAnsi="Times New Roman" w:cs="Times New Roman"/>
          <w:b/>
          <w:bCs/>
          <w:sz w:val="32"/>
          <w:szCs w:val="32"/>
          <w:lang w:val="en" w:bidi="ar-JO"/>
        </w:rPr>
        <w:t>Prof.</w:t>
      </w:r>
      <w:r w:rsidR="004665D9" w:rsidRPr="00C37E8F">
        <w:rPr>
          <w:rFonts w:ascii="Times New Roman" w:hAnsi="Times New Roman" w:cs="Times New Roman"/>
          <w:b/>
          <w:bCs/>
          <w:sz w:val="32"/>
          <w:szCs w:val="32"/>
          <w:lang w:val="en" w:bidi="ar-JO"/>
        </w:rPr>
        <w:t xml:space="preserve"> Anas Abd</w:t>
      </w:r>
      <w:r>
        <w:rPr>
          <w:rFonts w:ascii="Times New Roman" w:hAnsi="Times New Roman" w:cs="Times New Roman"/>
          <w:b/>
          <w:bCs/>
          <w:sz w:val="32"/>
          <w:szCs w:val="32"/>
          <w:lang w:val="en" w:bidi="ar-JO"/>
        </w:rPr>
        <w:t xml:space="preserve"> Elw</w:t>
      </w:r>
      <w:r w:rsidR="004665D9" w:rsidRPr="00C37E8F">
        <w:rPr>
          <w:rFonts w:ascii="Times New Roman" w:hAnsi="Times New Roman" w:cs="Times New Roman"/>
          <w:b/>
          <w:bCs/>
          <w:sz w:val="32"/>
          <w:szCs w:val="32"/>
          <w:lang w:val="en" w:bidi="ar-JO"/>
        </w:rPr>
        <w:t>ah</w:t>
      </w:r>
      <w:r>
        <w:rPr>
          <w:rFonts w:ascii="Times New Roman" w:hAnsi="Times New Roman" w:cs="Times New Roman"/>
          <w:b/>
          <w:bCs/>
          <w:sz w:val="32"/>
          <w:szCs w:val="32"/>
          <w:lang w:val="en" w:bidi="ar-JO"/>
        </w:rPr>
        <w:t>e</w:t>
      </w:r>
      <w:r w:rsidR="004665D9" w:rsidRPr="00C37E8F">
        <w:rPr>
          <w:rFonts w:ascii="Times New Roman" w:hAnsi="Times New Roman" w:cs="Times New Roman"/>
          <w:b/>
          <w:bCs/>
          <w:sz w:val="32"/>
          <w:szCs w:val="32"/>
          <w:lang w:val="en" w:bidi="ar-JO"/>
        </w:rPr>
        <w:t>d Al</w:t>
      </w:r>
      <w:r>
        <w:rPr>
          <w:rFonts w:ascii="Times New Roman" w:hAnsi="Times New Roman" w:cs="Times New Roman"/>
          <w:b/>
          <w:bCs/>
          <w:sz w:val="32"/>
          <w:szCs w:val="32"/>
          <w:lang w:val="en" w:bidi="ar-JO"/>
        </w:rPr>
        <w:t>j</w:t>
      </w:r>
      <w:r w:rsidR="004665D9" w:rsidRPr="00C37E8F">
        <w:rPr>
          <w:rFonts w:ascii="Times New Roman" w:hAnsi="Times New Roman" w:cs="Times New Roman"/>
          <w:b/>
          <w:bCs/>
          <w:sz w:val="32"/>
          <w:szCs w:val="32"/>
          <w:lang w:val="en" w:bidi="ar-JO"/>
        </w:rPr>
        <w:t>aber</w:t>
      </w:r>
    </w:p>
    <w:p w14:paraId="15BD5EF9" w14:textId="77777777" w:rsidR="004665D9" w:rsidRPr="00C37E8F" w:rsidRDefault="004665D9" w:rsidP="004665D9">
      <w:pPr>
        <w:tabs>
          <w:tab w:val="right" w:pos="706"/>
        </w:tabs>
        <w:spacing w:line="360" w:lineRule="auto"/>
        <w:jc w:val="center"/>
        <w:rPr>
          <w:rFonts w:ascii="Times New Roman" w:hAnsi="Times New Roman" w:cs="Times New Roman"/>
          <w:b/>
          <w:bCs/>
          <w:rtl/>
          <w:lang w:bidi="ar-JO"/>
        </w:rPr>
      </w:pPr>
    </w:p>
    <w:p w14:paraId="290F0DD2" w14:textId="77777777" w:rsidR="007A20D2" w:rsidRDefault="00E1597D" w:rsidP="750C10A0">
      <w:pPr>
        <w:tabs>
          <w:tab w:val="right" w:pos="706"/>
        </w:tabs>
        <w:spacing w:line="360" w:lineRule="auto"/>
        <w:jc w:val="center"/>
        <w:rPr>
          <w:rFonts w:ascii="Times New Roman" w:hAnsi="Times New Roman" w:cs="Times New Roman"/>
          <w:b/>
          <w:bCs/>
          <w:sz w:val="32"/>
          <w:szCs w:val="32"/>
          <w:lang w:bidi="ar-JO"/>
        </w:rPr>
      </w:pPr>
      <w:r w:rsidRPr="750C10A0">
        <w:rPr>
          <w:rFonts w:ascii="Times New Roman" w:hAnsi="Times New Roman" w:cs="Times New Roman"/>
          <w:b/>
          <w:bCs/>
          <w:sz w:val="32"/>
          <w:szCs w:val="32"/>
          <w:lang w:bidi="ar-JO"/>
        </w:rPr>
        <w:t>A Dissertation Submitted in Partial Fulfillment of the Requirements</w:t>
      </w:r>
      <w:r w:rsidR="007D0FFE" w:rsidRPr="750C10A0">
        <w:rPr>
          <w:rFonts w:ascii="Times New Roman" w:hAnsi="Times New Roman" w:cs="Times New Roman"/>
          <w:b/>
          <w:bCs/>
          <w:sz w:val="32"/>
          <w:szCs w:val="32"/>
          <w:lang w:bidi="ar-JO"/>
        </w:rPr>
        <w:t xml:space="preserve"> </w:t>
      </w:r>
      <w:r w:rsidRPr="750C10A0">
        <w:rPr>
          <w:rFonts w:ascii="Times New Roman" w:hAnsi="Times New Roman" w:cs="Times New Roman"/>
          <w:b/>
          <w:bCs/>
          <w:sz w:val="32"/>
          <w:szCs w:val="32"/>
          <w:lang w:bidi="ar-JO"/>
        </w:rPr>
        <w:t xml:space="preserve">for the Degree of Doctor of Philosophy (PH.D) </w:t>
      </w:r>
    </w:p>
    <w:p w14:paraId="1CF13985" w14:textId="1F182181" w:rsidR="00E1597D" w:rsidRPr="00C37E8F" w:rsidRDefault="00E1597D" w:rsidP="00E1597D">
      <w:pPr>
        <w:tabs>
          <w:tab w:val="right" w:pos="706"/>
        </w:tabs>
        <w:spacing w:line="360" w:lineRule="auto"/>
        <w:jc w:val="center"/>
        <w:rPr>
          <w:rFonts w:ascii="Times New Roman" w:hAnsi="Times New Roman" w:cs="Times New Roman"/>
          <w:b/>
          <w:bCs/>
          <w:sz w:val="32"/>
          <w:szCs w:val="32"/>
          <w:lang w:val="en-AE" w:bidi="ar-JO"/>
        </w:rPr>
      </w:pPr>
      <w:r w:rsidRPr="00C37E8F">
        <w:rPr>
          <w:rFonts w:ascii="Times New Roman" w:hAnsi="Times New Roman" w:cs="Times New Roman"/>
          <w:b/>
          <w:bCs/>
          <w:sz w:val="32"/>
          <w:szCs w:val="32"/>
          <w:rtl/>
          <w:lang w:val="en-AE" w:bidi="ar-JO"/>
        </w:rPr>
        <w:t xml:space="preserve"> </w:t>
      </w:r>
      <w:r w:rsidR="007A20D2">
        <w:rPr>
          <w:rFonts w:ascii="Times New Roman" w:hAnsi="Times New Roman" w:cs="Times New Roman"/>
          <w:b/>
          <w:bCs/>
          <w:sz w:val="32"/>
          <w:szCs w:val="32"/>
          <w:lang w:val="en-AE" w:bidi="ar-JO"/>
        </w:rPr>
        <w:t>i</w:t>
      </w:r>
      <w:r w:rsidR="007D0FFE" w:rsidRPr="00C37E8F">
        <w:rPr>
          <w:rFonts w:ascii="Times New Roman" w:hAnsi="Times New Roman" w:cs="Times New Roman"/>
          <w:b/>
          <w:bCs/>
          <w:sz w:val="32"/>
          <w:szCs w:val="32"/>
          <w:lang w:val="en-AE" w:bidi="ar-JO"/>
        </w:rPr>
        <w:t xml:space="preserve">n </w:t>
      </w:r>
      <w:r w:rsidR="007A20D2">
        <w:rPr>
          <w:rFonts w:ascii="Times New Roman" w:hAnsi="Times New Roman" w:cs="Times New Roman"/>
          <w:b/>
          <w:bCs/>
          <w:sz w:val="32"/>
          <w:szCs w:val="32"/>
          <w:lang w:val="en-AE" w:bidi="ar-JO"/>
        </w:rPr>
        <w:t>J</w:t>
      </w:r>
      <w:r w:rsidR="007D0FFE" w:rsidRPr="00C37E8F">
        <w:rPr>
          <w:rFonts w:ascii="Times New Roman" w:hAnsi="Times New Roman" w:cs="Times New Roman"/>
          <w:b/>
          <w:bCs/>
          <w:sz w:val="32"/>
          <w:szCs w:val="32"/>
          <w:lang w:val="en-AE" w:bidi="ar-JO"/>
        </w:rPr>
        <w:t xml:space="preserve">urisprudence and its </w:t>
      </w:r>
      <w:r w:rsidR="007A20D2">
        <w:rPr>
          <w:rFonts w:ascii="Times New Roman" w:hAnsi="Times New Roman" w:cs="Times New Roman"/>
          <w:b/>
          <w:bCs/>
          <w:sz w:val="32"/>
          <w:szCs w:val="32"/>
          <w:lang w:val="en-AE" w:bidi="ar-JO"/>
        </w:rPr>
        <w:t>Fundamentals</w:t>
      </w:r>
      <w:r w:rsidR="007D0FFE" w:rsidRPr="00C37E8F">
        <w:rPr>
          <w:rFonts w:ascii="Times New Roman" w:hAnsi="Times New Roman" w:cs="Times New Roman"/>
          <w:b/>
          <w:bCs/>
          <w:sz w:val="32"/>
          <w:szCs w:val="32"/>
          <w:lang w:val="en-AE" w:bidi="ar-JO"/>
        </w:rPr>
        <w:t xml:space="preserve"> at the World</w:t>
      </w:r>
      <w:r w:rsidR="007A20D2">
        <w:rPr>
          <w:rFonts w:ascii="Times New Roman" w:hAnsi="Times New Roman" w:cs="Times New Roman"/>
          <w:b/>
          <w:bCs/>
          <w:sz w:val="32"/>
          <w:szCs w:val="32"/>
          <w:lang w:val="en-AE" w:bidi="ar-JO"/>
        </w:rPr>
        <w:t xml:space="preserve"> </w:t>
      </w:r>
      <w:r w:rsidR="007A20D2" w:rsidRPr="007A20D2">
        <w:rPr>
          <w:rFonts w:ascii="Times New Roman" w:hAnsi="Times New Roman" w:cs="Times New Roman"/>
          <w:b/>
          <w:bCs/>
          <w:sz w:val="32"/>
          <w:szCs w:val="32"/>
          <w:lang w:val="en-AE" w:bidi="ar-JO"/>
        </w:rPr>
        <w:t>Islamic</w:t>
      </w:r>
    </w:p>
    <w:p w14:paraId="1C4D9510" w14:textId="72F2DC1D" w:rsidR="00C37E8F" w:rsidRDefault="00E1597D" w:rsidP="00C37E8F">
      <w:pPr>
        <w:tabs>
          <w:tab w:val="right" w:pos="706"/>
        </w:tabs>
        <w:spacing w:line="360" w:lineRule="auto"/>
        <w:jc w:val="center"/>
        <w:rPr>
          <w:rFonts w:ascii="Times New Roman" w:hAnsi="Times New Roman" w:cs="Times New Roman"/>
          <w:b/>
          <w:bCs/>
          <w:sz w:val="32"/>
          <w:szCs w:val="32"/>
          <w:lang w:val="en-AE" w:bidi="ar-JO"/>
        </w:rPr>
      </w:pPr>
      <w:r w:rsidRPr="00C37E8F">
        <w:rPr>
          <w:rFonts w:ascii="Times New Roman" w:hAnsi="Times New Roman" w:cs="Times New Roman"/>
          <w:b/>
          <w:bCs/>
          <w:sz w:val="32"/>
          <w:szCs w:val="32"/>
          <w:lang w:val="en-AE" w:bidi="ar-JO"/>
        </w:rPr>
        <w:t>Sciences and Education University</w:t>
      </w:r>
    </w:p>
    <w:p w14:paraId="4B8683DE" w14:textId="77777777" w:rsidR="007A20D2" w:rsidRPr="007A20D2" w:rsidRDefault="007A20D2" w:rsidP="00C37E8F">
      <w:pPr>
        <w:tabs>
          <w:tab w:val="right" w:pos="706"/>
        </w:tabs>
        <w:spacing w:line="360" w:lineRule="auto"/>
        <w:jc w:val="center"/>
        <w:rPr>
          <w:rFonts w:ascii="Times New Roman" w:hAnsi="Times New Roman" w:cs="Times New Roman"/>
          <w:b/>
          <w:bCs/>
          <w:sz w:val="28"/>
          <w:szCs w:val="28"/>
          <w:rtl/>
          <w:lang w:val="en-AE" w:bidi="ar-JO"/>
        </w:rPr>
      </w:pPr>
    </w:p>
    <w:p w14:paraId="3C82485E" w14:textId="50867104" w:rsidR="007D7C1B" w:rsidRDefault="00536363" w:rsidP="007D7C1B">
      <w:pPr>
        <w:tabs>
          <w:tab w:val="right" w:pos="706"/>
        </w:tabs>
        <w:spacing w:line="360" w:lineRule="auto"/>
        <w:jc w:val="center"/>
        <w:rPr>
          <w:rFonts w:ascii="Times New Roman" w:hAnsi="Times New Roman" w:cs="Times New Roman"/>
          <w:sz w:val="32"/>
          <w:szCs w:val="32"/>
          <w:lang w:val="en-AE" w:bidi="ar-JO"/>
        </w:rPr>
        <w:sectPr w:rsidR="007D7C1B" w:rsidSect="00FA7056">
          <w:headerReference w:type="default" r:id="rId11"/>
          <w:pgSz w:w="12240" w:h="15840"/>
          <w:pgMar w:top="1418" w:right="1985" w:bottom="1418" w:left="1418" w:header="720" w:footer="720" w:gutter="0"/>
          <w:pgNumType w:fmt="arabicAbjad" w:start="2"/>
          <w:cols w:space="720"/>
          <w:titlePg/>
          <w:docGrid w:linePitch="360"/>
        </w:sectPr>
      </w:pPr>
      <w:r w:rsidRPr="00C37E8F">
        <w:rPr>
          <w:rFonts w:ascii="Times New Roman" w:hAnsi="Times New Roman" w:cs="Times New Roman"/>
          <w:b/>
          <w:bCs/>
          <w:sz w:val="32"/>
          <w:szCs w:val="32"/>
          <w:lang w:val="en-AE" w:bidi="ar-JO"/>
        </w:rPr>
        <w:t>Date</w:t>
      </w:r>
      <w:r w:rsidR="004665D9" w:rsidRPr="00C37E8F">
        <w:rPr>
          <w:rFonts w:ascii="Times New Roman" w:hAnsi="Times New Roman" w:cs="Times New Roman"/>
          <w:b/>
          <w:bCs/>
          <w:sz w:val="32"/>
          <w:szCs w:val="32"/>
          <w:lang w:val="en-AE" w:bidi="ar-JO"/>
        </w:rPr>
        <w:t xml:space="preserve"> of Discussion:</w:t>
      </w:r>
      <w:r w:rsidR="007A20D2">
        <w:rPr>
          <w:rFonts w:ascii="Times New Roman" w:hAnsi="Times New Roman" w:cs="Times New Roman"/>
          <w:b/>
          <w:bCs/>
          <w:sz w:val="32"/>
          <w:szCs w:val="32"/>
          <w:lang w:val="en-AE" w:bidi="ar-JO"/>
        </w:rPr>
        <w:t xml:space="preserve"> </w:t>
      </w:r>
      <w:r w:rsidR="007A20D2" w:rsidRPr="007A20D2">
        <w:rPr>
          <w:rFonts w:ascii="Times New Roman" w:hAnsi="Times New Roman" w:cs="Times New Roman"/>
          <w:b/>
          <w:bCs/>
          <w:sz w:val="32"/>
          <w:szCs w:val="32"/>
          <w:lang w:val="en-AE" w:bidi="ar-JO"/>
        </w:rPr>
        <w:t>Amman</w:t>
      </w:r>
      <w:r w:rsidR="007A20D2">
        <w:rPr>
          <w:rFonts w:ascii="Times New Roman" w:hAnsi="Times New Roman" w:cs="Times New Roman"/>
          <w:b/>
          <w:bCs/>
          <w:sz w:val="32"/>
          <w:szCs w:val="32"/>
          <w:lang w:val="en-AE" w:bidi="ar-JO"/>
        </w:rPr>
        <w:t xml:space="preserve"> -</w:t>
      </w:r>
      <w:r w:rsidR="005D7B91">
        <w:rPr>
          <w:rFonts w:ascii="Times New Roman" w:hAnsi="Times New Roman" w:cs="Times New Roman"/>
          <w:b/>
          <w:bCs/>
          <w:sz w:val="32"/>
          <w:szCs w:val="32"/>
          <w:lang w:val="en-AE" w:bidi="ar-JO"/>
        </w:rPr>
        <w:t xml:space="preserve">     </w:t>
      </w:r>
      <w:r w:rsidR="004665D9" w:rsidRPr="00C37E8F">
        <w:rPr>
          <w:rFonts w:ascii="Times New Roman" w:hAnsi="Times New Roman" w:cs="Times New Roman"/>
          <w:b/>
          <w:bCs/>
          <w:sz w:val="32"/>
          <w:szCs w:val="32"/>
          <w:lang w:val="en-AE" w:bidi="ar-JO"/>
        </w:rPr>
        <w:t>/</w:t>
      </w:r>
      <w:r w:rsidR="005D7B91">
        <w:rPr>
          <w:rFonts w:ascii="Times New Roman" w:hAnsi="Times New Roman" w:cs="Times New Roman"/>
          <w:b/>
          <w:bCs/>
          <w:sz w:val="32"/>
          <w:szCs w:val="32"/>
          <w:lang w:val="en-AE" w:bidi="ar-JO"/>
        </w:rPr>
        <w:t xml:space="preserve">     </w:t>
      </w:r>
      <w:r w:rsidR="004665D9" w:rsidRPr="00C37E8F">
        <w:rPr>
          <w:rFonts w:ascii="Times New Roman" w:hAnsi="Times New Roman" w:cs="Times New Roman"/>
          <w:b/>
          <w:bCs/>
          <w:sz w:val="32"/>
          <w:szCs w:val="32"/>
          <w:lang w:val="en-AE" w:bidi="ar-JO"/>
        </w:rPr>
        <w:t>/202</w:t>
      </w:r>
      <w:r w:rsidR="00C71B55" w:rsidRPr="00C37E8F">
        <w:rPr>
          <w:rFonts w:ascii="Times New Roman" w:hAnsi="Times New Roman" w:cs="Times New Roman"/>
          <w:b/>
          <w:bCs/>
          <w:sz w:val="32"/>
          <w:szCs w:val="32"/>
          <w:lang w:val="en-AE" w:bidi="ar-JO"/>
        </w:rPr>
        <w:t>6</w:t>
      </w:r>
    </w:p>
    <w:p w14:paraId="49289071" w14:textId="018327D6" w:rsidR="00F10541" w:rsidRPr="00C71B55" w:rsidRDefault="007D0FFE" w:rsidP="0033359D">
      <w:pPr>
        <w:tabs>
          <w:tab w:val="right" w:pos="706"/>
        </w:tabs>
        <w:spacing w:line="360" w:lineRule="auto"/>
        <w:jc w:val="center"/>
        <w:rPr>
          <w:rFonts w:ascii="Arabic Transparent" w:hAnsi="Arabic Transparent" w:cs="Arabic Transparent"/>
          <w:b/>
          <w:bCs/>
          <w:sz w:val="32"/>
          <w:szCs w:val="32"/>
          <w:rtl/>
          <w:lang w:bidi="ar-JO"/>
        </w:rPr>
      </w:pPr>
      <w:r w:rsidRPr="00C71B55">
        <w:rPr>
          <w:rFonts w:ascii="Arabic Transparent" w:hAnsi="Arabic Transparent" w:cs="Arabic Transparent" w:hint="cs"/>
          <w:b/>
          <w:bCs/>
          <w:sz w:val="32"/>
          <w:szCs w:val="32"/>
          <w:rtl/>
          <w:lang w:bidi="ar-JO"/>
        </w:rPr>
        <w:lastRenderedPageBreak/>
        <w:t>التفويض</w:t>
      </w:r>
    </w:p>
    <w:p w14:paraId="343A11B3" w14:textId="59D9184E" w:rsidR="00A02534" w:rsidRPr="00827CC8" w:rsidRDefault="00A02534" w:rsidP="00376D65">
      <w:pPr>
        <w:tabs>
          <w:tab w:val="right" w:pos="706"/>
        </w:tabs>
        <w:spacing w:line="360" w:lineRule="auto"/>
        <w:jc w:val="both"/>
        <w:rPr>
          <w:rFonts w:ascii="Arabic Transparent" w:hAnsi="Arabic Transparent" w:cs="Arabic Transparent"/>
          <w:sz w:val="32"/>
          <w:szCs w:val="32"/>
          <w:rtl/>
          <w:lang w:bidi="ar-JO"/>
        </w:rPr>
      </w:pPr>
      <w:r w:rsidRPr="00827CC8">
        <w:rPr>
          <w:rFonts w:ascii="Arabic Transparent" w:hAnsi="Arabic Transparent" w:cs="Arabic Transparent" w:hint="cs"/>
          <w:sz w:val="32"/>
          <w:szCs w:val="32"/>
          <w:rtl/>
          <w:lang w:bidi="ar-JO"/>
        </w:rPr>
        <w:t xml:space="preserve">أنا الموقع أدناه </w:t>
      </w:r>
      <w:r w:rsidRPr="00C71B55">
        <w:rPr>
          <w:rFonts w:ascii="Arabic Transparent" w:hAnsi="Arabic Transparent" w:cs="Arabic Transparent" w:hint="cs"/>
          <w:b/>
          <w:bCs/>
          <w:sz w:val="32"/>
          <w:szCs w:val="32"/>
          <w:rtl/>
          <w:lang w:bidi="ar-JO"/>
        </w:rPr>
        <w:t>حمزة نعيم حسين مسلم</w:t>
      </w:r>
      <w:r w:rsidRPr="00827CC8">
        <w:rPr>
          <w:rFonts w:ascii="Arabic Transparent" w:hAnsi="Arabic Transparent" w:cs="Arabic Transparent" w:hint="cs"/>
          <w:sz w:val="32"/>
          <w:szCs w:val="32"/>
          <w:rtl/>
          <w:lang w:bidi="ar-JO"/>
        </w:rPr>
        <w:t>؛ أفوض/ جامعة العلوم الإسلامية</w:t>
      </w:r>
      <w:r w:rsidR="00376D65" w:rsidRPr="00827CC8">
        <w:rPr>
          <w:rFonts w:ascii="Arabic Transparent" w:hAnsi="Arabic Transparent" w:cs="Arabic Transparent" w:hint="cs"/>
          <w:sz w:val="32"/>
          <w:szCs w:val="32"/>
          <w:rtl/>
          <w:lang w:bidi="ar-JO"/>
        </w:rPr>
        <w:t xml:space="preserve"> </w:t>
      </w:r>
      <w:r w:rsidRPr="00827CC8">
        <w:rPr>
          <w:rFonts w:ascii="Arabic Transparent" w:hAnsi="Arabic Transparent" w:cs="Arabic Transparent" w:hint="cs"/>
          <w:sz w:val="32"/>
          <w:szCs w:val="32"/>
          <w:rtl/>
          <w:lang w:bidi="ar-JO"/>
        </w:rPr>
        <w:t xml:space="preserve">العالمية بتزويد نسخ من أطروحتي بعنوان: </w:t>
      </w:r>
      <w:r w:rsidRPr="00C71B55">
        <w:rPr>
          <w:rFonts w:ascii="Arabic Transparent" w:hAnsi="Arabic Transparent" w:cs="Arabic Transparent" w:hint="cs"/>
          <w:b/>
          <w:bCs/>
          <w:sz w:val="32"/>
          <w:szCs w:val="32"/>
          <w:rtl/>
          <w:lang w:bidi="ar-JO"/>
        </w:rPr>
        <w:t>التفاوت في تحقيق المناط الخاص</w:t>
      </w:r>
      <w:r w:rsidR="00376D65" w:rsidRPr="00C71B55">
        <w:rPr>
          <w:rFonts w:ascii="Arabic Transparent" w:hAnsi="Arabic Transparent" w:cs="Arabic Transparent" w:hint="cs"/>
          <w:b/>
          <w:bCs/>
          <w:sz w:val="32"/>
          <w:szCs w:val="32"/>
          <w:rtl/>
          <w:lang w:bidi="ar-JO"/>
        </w:rPr>
        <w:t xml:space="preserve"> </w:t>
      </w:r>
      <w:r w:rsidRPr="00C71B55">
        <w:rPr>
          <w:rFonts w:ascii="Arabic Transparent" w:hAnsi="Arabic Transparent" w:cs="Arabic Transparent" w:hint="cs"/>
          <w:b/>
          <w:bCs/>
          <w:sz w:val="32"/>
          <w:szCs w:val="32"/>
          <w:rtl/>
          <w:lang w:bidi="ar-JO"/>
        </w:rPr>
        <w:t xml:space="preserve">وتطبيقاته </w:t>
      </w:r>
      <w:r w:rsidR="00376D65" w:rsidRPr="00C71B55">
        <w:rPr>
          <w:rFonts w:ascii="Arabic Transparent" w:hAnsi="Arabic Transparent" w:cs="Arabic Transparent" w:hint="cs"/>
          <w:b/>
          <w:bCs/>
          <w:sz w:val="32"/>
          <w:szCs w:val="32"/>
          <w:rtl/>
          <w:lang w:bidi="ar-JO"/>
        </w:rPr>
        <w:t>في المعاملات المالية المعاصرة</w:t>
      </w:r>
      <w:r w:rsidR="00376D65" w:rsidRPr="00827CC8">
        <w:rPr>
          <w:rFonts w:ascii="Arabic Transparent" w:hAnsi="Arabic Transparent" w:cs="Arabic Transparent" w:hint="cs"/>
          <w:sz w:val="32"/>
          <w:szCs w:val="32"/>
          <w:rtl/>
          <w:lang w:bidi="ar-JO"/>
        </w:rPr>
        <w:t xml:space="preserve">، </w:t>
      </w:r>
      <w:r w:rsidR="00144916" w:rsidRPr="00827CC8">
        <w:rPr>
          <w:rFonts w:ascii="Arabic Transparent" w:hAnsi="Arabic Transparent" w:cs="Arabic Transparent" w:hint="cs"/>
          <w:sz w:val="32"/>
          <w:szCs w:val="32"/>
          <w:rtl/>
          <w:lang w:bidi="ar-JO"/>
        </w:rPr>
        <w:t>للمكتبات</w:t>
      </w:r>
      <w:r w:rsidR="00144916" w:rsidRPr="00827CC8">
        <w:rPr>
          <w:rFonts w:ascii="Arabic Transparent" w:hAnsi="Arabic Transparent" w:cs="Arabic Transparent" w:hint="eastAsia"/>
          <w:sz w:val="32"/>
          <w:szCs w:val="32"/>
          <w:rtl/>
          <w:lang w:bidi="ar-JO"/>
        </w:rPr>
        <w:t>،</w:t>
      </w:r>
      <w:r w:rsidR="00376D65" w:rsidRPr="00827CC8">
        <w:rPr>
          <w:rFonts w:ascii="Arabic Transparent" w:hAnsi="Arabic Transparent" w:cs="Arabic Transparent" w:hint="cs"/>
          <w:sz w:val="32"/>
          <w:szCs w:val="32"/>
          <w:rtl/>
          <w:lang w:bidi="ar-JO"/>
        </w:rPr>
        <w:t xml:space="preserve"> أو </w:t>
      </w:r>
      <w:r w:rsidR="00C61F85" w:rsidRPr="00827CC8">
        <w:rPr>
          <w:rFonts w:ascii="Arabic Transparent" w:hAnsi="Arabic Transparent" w:cs="Arabic Transparent" w:hint="cs"/>
          <w:sz w:val="32"/>
          <w:szCs w:val="32"/>
          <w:rtl/>
          <w:lang w:bidi="ar-JO"/>
        </w:rPr>
        <w:t>المؤسسات</w:t>
      </w:r>
      <w:r w:rsidR="00C61F85" w:rsidRPr="00827CC8">
        <w:rPr>
          <w:rFonts w:ascii="Arabic Transparent" w:hAnsi="Arabic Transparent" w:cs="Arabic Transparent" w:hint="eastAsia"/>
          <w:sz w:val="32"/>
          <w:szCs w:val="32"/>
          <w:rtl/>
          <w:lang w:bidi="ar-JO"/>
        </w:rPr>
        <w:t>،</w:t>
      </w:r>
      <w:r w:rsidR="00376D65" w:rsidRPr="00827CC8">
        <w:rPr>
          <w:rFonts w:ascii="Arabic Transparent" w:hAnsi="Arabic Transparent" w:cs="Arabic Transparent" w:hint="cs"/>
          <w:sz w:val="32"/>
          <w:szCs w:val="32"/>
          <w:rtl/>
          <w:lang w:bidi="ar-JO"/>
        </w:rPr>
        <w:t xml:space="preserve"> أو </w:t>
      </w:r>
      <w:r w:rsidR="00305834" w:rsidRPr="00827CC8">
        <w:rPr>
          <w:rFonts w:ascii="Arabic Transparent" w:hAnsi="Arabic Transparent" w:cs="Arabic Transparent" w:hint="cs"/>
          <w:sz w:val="32"/>
          <w:szCs w:val="32"/>
          <w:rtl/>
          <w:lang w:bidi="ar-JO"/>
        </w:rPr>
        <w:t>الهيئات</w:t>
      </w:r>
      <w:r w:rsidR="00305834" w:rsidRPr="00827CC8">
        <w:rPr>
          <w:rFonts w:ascii="Arabic Transparent" w:hAnsi="Arabic Transparent" w:cs="Arabic Transparent" w:hint="eastAsia"/>
          <w:sz w:val="32"/>
          <w:szCs w:val="32"/>
          <w:rtl/>
          <w:lang w:bidi="ar-JO"/>
        </w:rPr>
        <w:t>،</w:t>
      </w:r>
      <w:r w:rsidR="00376D65" w:rsidRPr="00827CC8">
        <w:rPr>
          <w:rFonts w:ascii="Arabic Transparent" w:hAnsi="Arabic Transparent" w:cs="Arabic Transparent" w:hint="cs"/>
          <w:sz w:val="32"/>
          <w:szCs w:val="32"/>
          <w:rtl/>
          <w:lang w:bidi="ar-JO"/>
        </w:rPr>
        <w:t xml:space="preserve"> أو الأشخاص عند طلبهم، حسب التعليمات النافذة في الجامعة.</w:t>
      </w:r>
    </w:p>
    <w:p w14:paraId="32C5C0EB" w14:textId="77777777" w:rsidR="00376D65" w:rsidRPr="00827CC8" w:rsidRDefault="00376D65" w:rsidP="00376D65">
      <w:pPr>
        <w:tabs>
          <w:tab w:val="right" w:pos="706"/>
        </w:tabs>
        <w:spacing w:line="360" w:lineRule="auto"/>
        <w:jc w:val="both"/>
        <w:rPr>
          <w:rFonts w:ascii="Arabic Transparent" w:hAnsi="Arabic Transparent" w:cs="Arabic Transparent"/>
          <w:sz w:val="32"/>
          <w:szCs w:val="32"/>
          <w:rtl/>
          <w:lang w:bidi="ar-JO"/>
        </w:rPr>
      </w:pPr>
    </w:p>
    <w:p w14:paraId="6786B662" w14:textId="77777777" w:rsidR="00376D65" w:rsidRPr="00C71B55" w:rsidRDefault="00376D65" w:rsidP="00C20713">
      <w:pPr>
        <w:tabs>
          <w:tab w:val="right" w:pos="706"/>
        </w:tabs>
        <w:spacing w:line="480" w:lineRule="auto"/>
        <w:jc w:val="both"/>
        <w:rPr>
          <w:rFonts w:ascii="Arabic Transparent" w:hAnsi="Arabic Transparent" w:cs="Arabic Transparent"/>
          <w:b/>
          <w:bCs/>
          <w:sz w:val="32"/>
          <w:szCs w:val="32"/>
          <w:rtl/>
          <w:lang w:bidi="ar-JO"/>
        </w:rPr>
      </w:pPr>
      <w:r w:rsidRPr="00C71B55">
        <w:rPr>
          <w:rFonts w:ascii="Arabic Transparent" w:hAnsi="Arabic Transparent" w:cs="Arabic Transparent" w:hint="cs"/>
          <w:b/>
          <w:bCs/>
          <w:sz w:val="32"/>
          <w:szCs w:val="32"/>
          <w:rtl/>
          <w:lang w:bidi="ar-JO"/>
        </w:rPr>
        <w:t>الاسم: حمزة نعيم حسين مسلم</w:t>
      </w:r>
    </w:p>
    <w:p w14:paraId="360FC497" w14:textId="7FE5073B" w:rsidR="00376D65" w:rsidRPr="00827CC8" w:rsidRDefault="00376D65" w:rsidP="00C20713">
      <w:pPr>
        <w:tabs>
          <w:tab w:val="right" w:pos="706"/>
        </w:tabs>
        <w:spacing w:line="480" w:lineRule="auto"/>
        <w:jc w:val="both"/>
        <w:rPr>
          <w:rFonts w:ascii="Arabic Transparent" w:hAnsi="Arabic Transparent" w:cs="Arabic Transparent"/>
          <w:sz w:val="32"/>
          <w:szCs w:val="32"/>
          <w:rtl/>
          <w:lang w:bidi="ar-JO"/>
        </w:rPr>
      </w:pPr>
      <w:r w:rsidRPr="00827CC8">
        <w:rPr>
          <w:rFonts w:ascii="Arabic Transparent" w:hAnsi="Arabic Transparent" w:cs="Arabic Transparent" w:hint="cs"/>
          <w:sz w:val="32"/>
          <w:szCs w:val="32"/>
          <w:rtl/>
          <w:lang w:bidi="ar-JO"/>
        </w:rPr>
        <w:t>التوقيع:......................</w:t>
      </w:r>
    </w:p>
    <w:p w14:paraId="66E65857" w14:textId="4A830408" w:rsidR="007D7C1B" w:rsidRPr="007D7C1B" w:rsidRDefault="00376D65" w:rsidP="00C20713">
      <w:pPr>
        <w:tabs>
          <w:tab w:val="right" w:pos="706"/>
        </w:tabs>
        <w:spacing w:line="480" w:lineRule="auto"/>
        <w:jc w:val="both"/>
        <w:rPr>
          <w:rFonts w:ascii="Arabic Transparent" w:hAnsi="Arabic Transparent" w:cs="Arabic Transparent"/>
          <w:sz w:val="32"/>
          <w:szCs w:val="32"/>
          <w:rtl/>
          <w:lang w:bidi="ar-JO"/>
        </w:rPr>
        <w:sectPr w:rsidR="007D7C1B" w:rsidRPr="007D7C1B" w:rsidSect="00867764">
          <w:headerReference w:type="default" r:id="rId12"/>
          <w:headerReference w:type="first" r:id="rId13"/>
          <w:pgSz w:w="12240" w:h="15840"/>
          <w:pgMar w:top="1418" w:right="1985" w:bottom="1418" w:left="1418" w:header="720" w:footer="720" w:gutter="0"/>
          <w:pgNumType w:fmt="arabicAbjad" w:start="3"/>
          <w:cols w:space="720"/>
          <w:titlePg/>
          <w:docGrid w:linePitch="360"/>
        </w:sectPr>
      </w:pPr>
      <w:r w:rsidRPr="00827CC8">
        <w:rPr>
          <w:rFonts w:ascii="Arabic Transparent" w:hAnsi="Arabic Transparent" w:cs="Arabic Transparent" w:hint="cs"/>
          <w:sz w:val="32"/>
          <w:szCs w:val="32"/>
          <w:rtl/>
          <w:lang w:bidi="ar-JO"/>
        </w:rPr>
        <w:t>التاريخ:</w:t>
      </w:r>
      <w:r w:rsidR="005D7B91">
        <w:rPr>
          <w:rFonts w:ascii="Arabic Transparent" w:hAnsi="Arabic Transparent" w:cs="Arabic Transparent" w:hint="cs"/>
          <w:sz w:val="32"/>
          <w:szCs w:val="32"/>
          <w:rtl/>
          <w:lang w:bidi="ar-JO"/>
        </w:rPr>
        <w:t xml:space="preserve">     </w:t>
      </w:r>
      <w:r w:rsidRPr="00827CC8">
        <w:rPr>
          <w:rFonts w:ascii="Arabic Transparent" w:hAnsi="Arabic Transparent" w:cs="Arabic Transparent" w:hint="cs"/>
          <w:sz w:val="32"/>
          <w:szCs w:val="32"/>
          <w:rtl/>
          <w:lang w:bidi="ar-JO"/>
        </w:rPr>
        <w:t>/</w:t>
      </w:r>
      <w:r w:rsidR="005D7B91">
        <w:rPr>
          <w:rFonts w:ascii="Arabic Transparent" w:hAnsi="Arabic Transparent" w:cs="Arabic Transparent" w:hint="cs"/>
          <w:sz w:val="32"/>
          <w:szCs w:val="32"/>
          <w:rtl/>
          <w:lang w:bidi="ar-JO"/>
        </w:rPr>
        <w:t xml:space="preserve">     </w:t>
      </w:r>
      <w:r w:rsidRPr="00827CC8">
        <w:rPr>
          <w:rFonts w:ascii="Arabic Transparent" w:hAnsi="Arabic Transparent" w:cs="Arabic Transparent" w:hint="cs"/>
          <w:sz w:val="32"/>
          <w:szCs w:val="32"/>
          <w:rtl/>
          <w:lang w:bidi="ar-JO"/>
        </w:rPr>
        <w:t>/</w:t>
      </w:r>
      <w:r w:rsidR="00C71B55">
        <w:rPr>
          <w:rFonts w:ascii="Arabic Transparent" w:hAnsi="Arabic Transparent" w:cs="Arabic Transparent" w:hint="cs"/>
          <w:sz w:val="32"/>
          <w:szCs w:val="32"/>
          <w:rtl/>
          <w:lang w:bidi="ar-JO"/>
        </w:rPr>
        <w:t>2026م</w:t>
      </w:r>
    </w:p>
    <w:p w14:paraId="77C2AC9E" w14:textId="600E0EA7" w:rsidR="007B6399" w:rsidRPr="00827CC8" w:rsidRDefault="00622117" w:rsidP="00B370AE">
      <w:pPr>
        <w:spacing w:line="360" w:lineRule="auto"/>
        <w:jc w:val="center"/>
        <w:rPr>
          <w:rFonts w:ascii="Arial" w:hAnsi="Arial"/>
          <w:sz w:val="52"/>
          <w:szCs w:val="52"/>
          <w:rtl/>
          <w:lang w:bidi="ar-JO"/>
        </w:rPr>
      </w:pPr>
      <w:r>
        <w:rPr>
          <w:noProof/>
        </w:rPr>
        <w:lastRenderedPageBreak/>
        <mc:AlternateContent>
          <mc:Choice Requires="wps">
            <w:drawing>
              <wp:anchor distT="0" distB="0" distL="114300" distR="114300" simplePos="0" relativeHeight="251659776" behindDoc="0" locked="0" layoutInCell="1" allowOverlap="1" wp14:anchorId="2E350FB7" wp14:editId="35B446D4">
                <wp:simplePos x="0" y="0"/>
                <wp:positionH relativeFrom="column">
                  <wp:posOffset>369570</wp:posOffset>
                </wp:positionH>
                <wp:positionV relativeFrom="paragraph">
                  <wp:posOffset>-542925</wp:posOffset>
                </wp:positionV>
                <wp:extent cx="4794250" cy="6254750"/>
                <wp:effectExtent l="19050" t="0" r="25400" b="12700"/>
                <wp:wrapNone/>
                <wp:docPr id="2134961631" name="قلب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94250" cy="6254750"/>
                        </a:xfrm>
                        <a:prstGeom prst="heart">
                          <a:avLst/>
                        </a:prstGeom>
                        <a:noFill/>
                        <a:ln w="3175" cap="flat" cmpd="sng" algn="ctr">
                          <a:solidFill>
                            <a:sysClr val="window" lastClr="FFFFFF">
                              <a:lumMod val="95000"/>
                            </a:sysClr>
                          </a:solidFill>
                          <a:prstDash val="solid"/>
                          <a:miter lim="800000"/>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59CABC" id="قلب 1" o:spid="_x0000_s1026" style="position:absolute;margin-left:29.1pt;margin-top:-42.75pt;width:377.5pt;height:49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794250,62547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" path="m2397125,1563688v998802,-3648605,4894130,,,4691062c-2497005,1563688,1398323,-2084917,2397125,1563688xe" filled="f" strokecolor="#f2f2f2" strokeweight=".25pt">
                <v:stroke joinstyle="miter"/>
                <v:path arrowok="t" o:connecttype="custom" o:connectlocs="2397125,1563688;2397125,6254750;2397125,1563688" o:connectangles="0,0,0"/>
              </v:shape>
            </w:pict>
          </mc:Fallback>
        </mc:AlternateContent>
      </w:r>
      <w:r w:rsidR="007D7C1B">
        <w:rPr>
          <w:rFonts w:ascii="Arial" w:hAnsi="Arial" w:hint="cs"/>
          <w:sz w:val="52"/>
          <w:szCs w:val="52"/>
          <w:rtl/>
          <w:lang w:bidi="ar-JO"/>
        </w:rPr>
        <w:t xml:space="preserve"> </w:t>
      </w:r>
      <w:r w:rsidR="007B6399" w:rsidRPr="00827CC8">
        <w:rPr>
          <w:rFonts w:ascii="Arial" w:hAnsi="Arial"/>
          <w:sz w:val="52"/>
          <w:szCs w:val="52"/>
          <w:rtl/>
          <w:lang w:bidi="ar-JO"/>
        </w:rPr>
        <w:t>الإ</w:t>
      </w:r>
      <w:r w:rsidR="007B6399" w:rsidRPr="00827CC8">
        <w:rPr>
          <w:rFonts w:ascii="Arial" w:hAnsi="Arial" w:hint="cs"/>
          <w:sz w:val="52"/>
          <w:szCs w:val="52"/>
          <w:rtl/>
          <w:lang w:bidi="ar-JO"/>
        </w:rPr>
        <w:t>ِ</w:t>
      </w:r>
      <w:r w:rsidR="007B6399" w:rsidRPr="00827CC8">
        <w:rPr>
          <w:rFonts w:ascii="Arial" w:hAnsi="Arial"/>
          <w:sz w:val="52"/>
          <w:szCs w:val="52"/>
          <w:rtl/>
          <w:lang w:bidi="ar-JO"/>
        </w:rPr>
        <w:t>هد</w:t>
      </w:r>
      <w:r w:rsidR="007B6399" w:rsidRPr="00827CC8">
        <w:rPr>
          <w:rFonts w:ascii="Arial" w:hAnsi="Arial" w:hint="cs"/>
          <w:sz w:val="52"/>
          <w:szCs w:val="52"/>
          <w:rtl/>
          <w:lang w:bidi="ar-JO"/>
        </w:rPr>
        <w:t>َ</w:t>
      </w:r>
      <w:r w:rsidR="007B6399" w:rsidRPr="00827CC8">
        <w:rPr>
          <w:rFonts w:ascii="Arial" w:hAnsi="Arial"/>
          <w:sz w:val="52"/>
          <w:szCs w:val="52"/>
          <w:rtl/>
          <w:lang w:bidi="ar-JO"/>
        </w:rPr>
        <w:t>اء</w:t>
      </w:r>
      <w:r w:rsidR="007B6399" w:rsidRPr="00827CC8">
        <w:rPr>
          <w:rFonts w:ascii="Arial" w:hAnsi="Arial" w:hint="cs"/>
          <w:sz w:val="52"/>
          <w:szCs w:val="52"/>
          <w:rtl/>
          <w:lang w:bidi="ar-JO"/>
        </w:rPr>
        <w:t>ُ</w:t>
      </w:r>
      <w:r w:rsidR="007B6399" w:rsidRPr="00827CC8">
        <w:rPr>
          <w:rFonts w:ascii="Arial" w:hAnsi="Arial"/>
          <w:sz w:val="52"/>
          <w:szCs w:val="52"/>
          <w:lang w:bidi="ar-JO"/>
        </w:rPr>
        <w:t xml:space="preserve"> </w:t>
      </w:r>
    </w:p>
    <w:p w14:paraId="02651932" w14:textId="71593238" w:rsidR="007B6399" w:rsidRPr="00827CC8" w:rsidRDefault="007B6399" w:rsidP="00B370AE">
      <w:pPr>
        <w:spacing w:line="360" w:lineRule="auto"/>
        <w:jc w:val="center"/>
        <w:rPr>
          <w:rFonts w:ascii="Arabic Transparent" w:hAnsi="Arabic Transparent" w:cs="Arabic Transparent"/>
          <w:sz w:val="32"/>
          <w:szCs w:val="32"/>
          <w:rtl/>
          <w:lang w:bidi="ar-JO"/>
        </w:rPr>
      </w:pPr>
      <w:r w:rsidRPr="00827CC8">
        <w:rPr>
          <w:rFonts w:ascii="Arabic Transparent" w:hAnsi="Arabic Transparent" w:cs="Arabic Transparent" w:hint="cs"/>
          <w:sz w:val="32"/>
          <w:szCs w:val="32"/>
          <w:rtl/>
          <w:lang w:bidi="ar-JO"/>
        </w:rPr>
        <w:t>إلى حضرة مقام</w:t>
      </w:r>
      <w:r w:rsidR="00C82A89" w:rsidRPr="00827CC8">
        <w:rPr>
          <w:rFonts w:ascii="Arabic Transparent" w:hAnsi="Arabic Transparent" w:cs="Arabic Transparent" w:hint="cs"/>
          <w:sz w:val="32"/>
          <w:szCs w:val="32"/>
          <w:rtl/>
          <w:lang w:bidi="ar-JO"/>
        </w:rPr>
        <w:t xml:space="preserve"> سي</w:t>
      </w:r>
      <w:r w:rsidR="00B370AE">
        <w:rPr>
          <w:rFonts w:ascii="Arabic Transparent" w:hAnsi="Arabic Transparent" w:cs="Arabic Transparent" w:hint="cs"/>
          <w:sz w:val="32"/>
          <w:szCs w:val="32"/>
          <w:rtl/>
          <w:lang w:bidi="ar-JO"/>
        </w:rPr>
        <w:t>ّ</w:t>
      </w:r>
      <w:r w:rsidR="00C82A89" w:rsidRPr="00827CC8">
        <w:rPr>
          <w:rFonts w:ascii="Arabic Transparent" w:hAnsi="Arabic Transparent" w:cs="Arabic Transparent" w:hint="cs"/>
          <w:sz w:val="32"/>
          <w:szCs w:val="32"/>
          <w:rtl/>
          <w:lang w:bidi="ar-JO"/>
        </w:rPr>
        <w:t>دي</w:t>
      </w:r>
      <w:r w:rsidRPr="00827CC8">
        <w:rPr>
          <w:rFonts w:ascii="Arabic Transparent" w:hAnsi="Arabic Transparent" w:cs="Arabic Transparent" w:hint="cs"/>
          <w:sz w:val="32"/>
          <w:szCs w:val="32"/>
          <w:rtl/>
          <w:lang w:bidi="ar-JO"/>
        </w:rPr>
        <w:t xml:space="preserve"> رسول الله </w:t>
      </w:r>
      <w:r w:rsidRPr="00827CC8">
        <w:rPr>
          <w:rFonts w:ascii="AGA Arabesque" w:eastAsia="AGA Arabesque" w:hAnsi="AGA Arabesque" w:cs="AGA Arabesque"/>
          <w:sz w:val="32"/>
          <w:szCs w:val="32"/>
          <w:lang w:bidi="ar-JO"/>
        </w:rPr>
        <w:t></w:t>
      </w:r>
    </w:p>
    <w:p w14:paraId="7B8446F0" w14:textId="5A5453DE" w:rsidR="007B6399" w:rsidRPr="00827CC8" w:rsidRDefault="003E6FE4" w:rsidP="00B370AE">
      <w:pPr>
        <w:spacing w:line="480" w:lineRule="auto"/>
        <w:jc w:val="center"/>
        <w:rPr>
          <w:rFonts w:ascii="Arabic Transparent" w:hAnsi="Arabic Transparent" w:cs="Arabic Transparent"/>
          <w:sz w:val="32"/>
          <w:szCs w:val="32"/>
          <w:rtl/>
          <w:lang w:bidi="ar-JO"/>
        </w:rPr>
      </w:pPr>
      <w:r>
        <w:rPr>
          <w:rFonts w:ascii="Arabic Transparent" w:hAnsi="Arabic Transparent" w:cs="Arabic Transparent" w:hint="cs"/>
          <w:sz w:val="32"/>
          <w:szCs w:val="32"/>
          <w:rtl/>
          <w:lang w:bidi="ar-JO"/>
        </w:rPr>
        <w:t>و</w:t>
      </w:r>
      <w:r w:rsidR="007B6399" w:rsidRPr="00827CC8">
        <w:rPr>
          <w:rFonts w:ascii="Arabic Transparent" w:hAnsi="Arabic Transparent" w:cs="Arabic Transparent" w:hint="cs"/>
          <w:sz w:val="32"/>
          <w:szCs w:val="32"/>
          <w:rtl/>
          <w:lang w:bidi="ar-JO"/>
        </w:rPr>
        <w:t>إلى مَن قَضَى رَبِّي بِهِمَا إحسَانَا</w:t>
      </w:r>
      <w:r w:rsidR="00C82A89" w:rsidRPr="00827CC8">
        <w:rPr>
          <w:rFonts w:ascii="Arabic Transparent" w:hAnsi="Arabic Transparent" w:cs="Arabic Transparent" w:hint="cs"/>
          <w:sz w:val="32"/>
          <w:szCs w:val="32"/>
          <w:rtl/>
          <w:lang w:bidi="ar-JO"/>
        </w:rPr>
        <w:t xml:space="preserve">، </w:t>
      </w:r>
      <w:r w:rsidR="007B6399" w:rsidRPr="00827CC8">
        <w:rPr>
          <w:rFonts w:ascii="Arabic Transparent" w:hAnsi="Arabic Transparent" w:cs="Arabic Transparent" w:hint="cs"/>
          <w:sz w:val="32"/>
          <w:szCs w:val="32"/>
          <w:rtl/>
          <w:lang w:bidi="ar-JO"/>
        </w:rPr>
        <w:t>وأَمَــرَنِي بِبِرِّهِمَا تَوقِيراً وَإكـــرَامَاً</w:t>
      </w:r>
    </w:p>
    <w:p w14:paraId="7D78BA63" w14:textId="12F9C349" w:rsidR="00C82A89" w:rsidRPr="00827CC8" w:rsidRDefault="003E6FE4" w:rsidP="00B370AE">
      <w:pPr>
        <w:spacing w:line="480" w:lineRule="auto"/>
        <w:jc w:val="center"/>
        <w:rPr>
          <w:rFonts w:ascii="Arabic Transparent" w:hAnsi="Arabic Transparent" w:cs="Arabic Transparent"/>
          <w:sz w:val="32"/>
          <w:szCs w:val="32"/>
          <w:rtl/>
          <w:lang w:bidi="ar-JO"/>
        </w:rPr>
      </w:pPr>
      <w:r>
        <w:rPr>
          <w:rFonts w:ascii="Arabic Transparent" w:hAnsi="Arabic Transparent" w:cs="Arabic Transparent" w:hint="cs"/>
          <w:sz w:val="32"/>
          <w:szCs w:val="32"/>
          <w:rtl/>
          <w:lang w:bidi="ar-JO"/>
        </w:rPr>
        <w:t>و</w:t>
      </w:r>
      <w:r w:rsidR="007B6399" w:rsidRPr="00827CC8">
        <w:rPr>
          <w:rFonts w:ascii="Arabic Transparent" w:hAnsi="Arabic Transparent" w:cs="Arabic Transparent" w:hint="cs"/>
          <w:sz w:val="32"/>
          <w:szCs w:val="32"/>
          <w:rtl/>
          <w:lang w:bidi="ar-JO"/>
        </w:rPr>
        <w:t xml:space="preserve">إلى </w:t>
      </w:r>
      <w:r w:rsidR="00C82A89" w:rsidRPr="00827CC8">
        <w:rPr>
          <w:rFonts w:ascii="Arabic Transparent" w:hAnsi="Arabic Transparent" w:cs="Arabic Transparent" w:hint="cs"/>
          <w:sz w:val="32"/>
          <w:szCs w:val="32"/>
          <w:rtl/>
          <w:lang w:bidi="ar-JO"/>
        </w:rPr>
        <w:t xml:space="preserve">زوجتي الغالية ورفيقة الدرب، </w:t>
      </w:r>
      <w:r w:rsidR="007B6399" w:rsidRPr="00827CC8">
        <w:rPr>
          <w:rFonts w:ascii="Arabic Transparent" w:hAnsi="Arabic Transparent" w:cs="Arabic Transparent" w:hint="cs"/>
          <w:sz w:val="32"/>
          <w:szCs w:val="32"/>
          <w:rtl/>
          <w:lang w:bidi="ar-JO"/>
        </w:rPr>
        <w:t xml:space="preserve">وإلى </w:t>
      </w:r>
      <w:r w:rsidR="00C82A89" w:rsidRPr="00827CC8">
        <w:rPr>
          <w:rFonts w:ascii="Arabic Transparent" w:hAnsi="Arabic Transparent" w:cs="Arabic Transparent" w:hint="cs"/>
          <w:sz w:val="32"/>
          <w:szCs w:val="32"/>
          <w:rtl/>
          <w:lang w:bidi="ar-JO"/>
        </w:rPr>
        <w:t>أبنائي فلذة كبدي وف</w:t>
      </w:r>
      <w:r w:rsidR="00B370AE">
        <w:rPr>
          <w:rFonts w:ascii="Arabic Transparent" w:hAnsi="Arabic Transparent" w:cs="Arabic Transparent" w:hint="cs"/>
          <w:sz w:val="32"/>
          <w:szCs w:val="32"/>
          <w:rtl/>
          <w:lang w:bidi="ar-JO"/>
        </w:rPr>
        <w:t>ـ</w:t>
      </w:r>
      <w:r w:rsidR="00C82A89" w:rsidRPr="00827CC8">
        <w:rPr>
          <w:rFonts w:ascii="Arabic Transparent" w:hAnsi="Arabic Transparent" w:cs="Arabic Transparent" w:hint="cs"/>
          <w:sz w:val="32"/>
          <w:szCs w:val="32"/>
          <w:rtl/>
          <w:lang w:bidi="ar-JO"/>
        </w:rPr>
        <w:t>ؤادي</w:t>
      </w:r>
    </w:p>
    <w:p w14:paraId="1B9354EA" w14:textId="6DCCD65E" w:rsidR="00C82A89" w:rsidRPr="00827CC8" w:rsidRDefault="00C82A89" w:rsidP="00B370AE">
      <w:pPr>
        <w:spacing w:line="480" w:lineRule="auto"/>
        <w:jc w:val="center"/>
        <w:rPr>
          <w:rFonts w:ascii="Arabic Transparent" w:hAnsi="Arabic Transparent" w:cs="Arabic Transparent"/>
          <w:sz w:val="32"/>
          <w:szCs w:val="32"/>
          <w:rtl/>
          <w:lang w:bidi="ar-JO"/>
        </w:rPr>
      </w:pPr>
      <w:r w:rsidRPr="00827CC8">
        <w:rPr>
          <w:rFonts w:ascii="Arabic Transparent" w:hAnsi="Arabic Transparent" w:cs="Arabic Transparent" w:hint="cs"/>
          <w:sz w:val="32"/>
          <w:szCs w:val="32"/>
          <w:rtl/>
          <w:lang w:bidi="ar-JO"/>
        </w:rPr>
        <w:t>نعيم ونوح</w:t>
      </w:r>
      <w:r w:rsidR="00077152">
        <w:rPr>
          <w:rFonts w:ascii="Arabic Transparent" w:hAnsi="Arabic Transparent" w:cs="Arabic Transparent" w:hint="cs"/>
          <w:sz w:val="32"/>
          <w:szCs w:val="32"/>
          <w:rtl/>
          <w:lang w:bidi="ar-JO"/>
        </w:rPr>
        <w:t xml:space="preserve">، وإلى </w:t>
      </w:r>
      <w:r w:rsidR="003E6FE4">
        <w:rPr>
          <w:rFonts w:ascii="Arabic Transparent" w:hAnsi="Arabic Transparent" w:cs="Arabic Transparent" w:hint="cs"/>
          <w:sz w:val="32"/>
          <w:szCs w:val="32"/>
          <w:rtl/>
          <w:lang w:bidi="ar-JO"/>
        </w:rPr>
        <w:t xml:space="preserve">من شرفني الله بنسبهم </w:t>
      </w:r>
      <w:r w:rsidR="00B370AE">
        <w:rPr>
          <w:rFonts w:ascii="Arabic Transparent" w:hAnsi="Arabic Transparent" w:cs="Arabic Transparent" w:hint="cs"/>
          <w:sz w:val="32"/>
          <w:szCs w:val="32"/>
          <w:rtl/>
          <w:lang w:bidi="ar-JO"/>
        </w:rPr>
        <w:t>و</w:t>
      </w:r>
      <w:r w:rsidR="00530098">
        <w:rPr>
          <w:rFonts w:ascii="Arabic Transparent" w:hAnsi="Arabic Transparent" w:cs="Arabic Transparent" w:hint="cs"/>
          <w:sz w:val="32"/>
          <w:szCs w:val="32"/>
          <w:rtl/>
          <w:lang w:bidi="ar-JO"/>
        </w:rPr>
        <w:t>قربهم من ال اقريع الكرام</w:t>
      </w:r>
      <w:r w:rsidR="00077152">
        <w:rPr>
          <w:rFonts w:ascii="Arabic Transparent" w:hAnsi="Arabic Transparent" w:cs="Arabic Transparent" w:hint="cs"/>
          <w:sz w:val="32"/>
          <w:szCs w:val="32"/>
          <w:rtl/>
          <w:lang w:bidi="ar-JO"/>
        </w:rPr>
        <w:t xml:space="preserve"> </w:t>
      </w:r>
    </w:p>
    <w:p w14:paraId="75D12C42" w14:textId="1336EDFB" w:rsidR="007B6399" w:rsidRPr="00827CC8" w:rsidRDefault="003E6FE4" w:rsidP="00B370AE">
      <w:pPr>
        <w:spacing w:line="480" w:lineRule="auto"/>
        <w:jc w:val="center"/>
        <w:rPr>
          <w:rFonts w:ascii="Arabic Transparent" w:hAnsi="Arabic Transparent" w:cs="Arabic Transparent"/>
          <w:sz w:val="32"/>
          <w:szCs w:val="32"/>
          <w:rtl/>
          <w:lang w:bidi="ar-JO"/>
        </w:rPr>
      </w:pPr>
      <w:r>
        <w:rPr>
          <w:rFonts w:ascii="Arabic Transparent" w:hAnsi="Arabic Transparent" w:cs="Arabic Transparent" w:hint="cs"/>
          <w:sz w:val="32"/>
          <w:szCs w:val="32"/>
          <w:rtl/>
          <w:lang w:bidi="ar-JO"/>
        </w:rPr>
        <w:t>و</w:t>
      </w:r>
      <w:r w:rsidR="007B6399" w:rsidRPr="00827CC8">
        <w:rPr>
          <w:rFonts w:ascii="Arabic Transparent" w:hAnsi="Arabic Transparent" w:cs="Arabic Transparent" w:hint="cs"/>
          <w:sz w:val="32"/>
          <w:szCs w:val="32"/>
          <w:rtl/>
          <w:lang w:bidi="ar-JO"/>
        </w:rPr>
        <w:t xml:space="preserve">إلى </w:t>
      </w:r>
      <w:r w:rsidR="00C82A89" w:rsidRPr="00827CC8">
        <w:rPr>
          <w:rFonts w:ascii="Arabic Transparent" w:hAnsi="Arabic Transparent" w:cs="Arabic Transparent" w:hint="cs"/>
          <w:sz w:val="32"/>
          <w:szCs w:val="32"/>
          <w:rtl/>
          <w:lang w:bidi="ar-JO"/>
        </w:rPr>
        <w:t>إخوتي وأخواتي وأصدقائي وطلابي وزم</w:t>
      </w:r>
      <w:r w:rsidR="00795C9D" w:rsidRPr="00827CC8">
        <w:rPr>
          <w:rFonts w:ascii="Arabic Transparent" w:hAnsi="Arabic Transparent" w:cs="Arabic Transparent" w:hint="cs"/>
          <w:sz w:val="32"/>
          <w:szCs w:val="32"/>
          <w:rtl/>
          <w:lang w:bidi="ar-JO"/>
        </w:rPr>
        <w:t xml:space="preserve">لائي </w:t>
      </w:r>
    </w:p>
    <w:p w14:paraId="0A509367" w14:textId="77777777" w:rsidR="00530098" w:rsidRDefault="00530098" w:rsidP="00B370AE">
      <w:pPr>
        <w:spacing w:line="480" w:lineRule="auto"/>
        <w:jc w:val="center"/>
        <w:rPr>
          <w:rFonts w:ascii="Arabic Transparent" w:hAnsi="Arabic Transparent" w:cs="Arabic Transparent"/>
          <w:sz w:val="32"/>
          <w:szCs w:val="32"/>
          <w:rtl/>
          <w:lang w:bidi="ar-JO"/>
        </w:rPr>
      </w:pPr>
      <w:r>
        <w:rPr>
          <w:rFonts w:ascii="Arabic Transparent" w:hAnsi="Arabic Transparent" w:cs="Arabic Transparent" w:hint="cs"/>
          <w:sz w:val="32"/>
          <w:szCs w:val="32"/>
          <w:rtl/>
          <w:lang w:bidi="ar-JO"/>
        </w:rPr>
        <w:t xml:space="preserve">وإلى </w:t>
      </w:r>
      <w:r w:rsidR="007B6399" w:rsidRPr="00827CC8">
        <w:rPr>
          <w:rFonts w:ascii="Arabic Transparent" w:hAnsi="Arabic Transparent" w:cs="Arabic Transparent" w:hint="cs"/>
          <w:sz w:val="32"/>
          <w:szCs w:val="32"/>
          <w:rtl/>
          <w:lang w:bidi="ar-JO"/>
        </w:rPr>
        <w:t>أَصحَابِ الفَضِيلَــةِ</w:t>
      </w:r>
      <w:r>
        <w:rPr>
          <w:rFonts w:ascii="Arabic Transparent" w:hAnsi="Arabic Transparent" w:cs="Arabic Transparent" w:hint="cs"/>
          <w:sz w:val="32"/>
          <w:szCs w:val="32"/>
          <w:rtl/>
          <w:lang w:bidi="ar-JO"/>
        </w:rPr>
        <w:t xml:space="preserve">، </w:t>
      </w:r>
      <w:r w:rsidRPr="00530098">
        <w:rPr>
          <w:rFonts w:ascii="Arabic Transparent" w:hAnsi="Arabic Transparent" w:cs="Arabic Transparent"/>
          <w:sz w:val="32"/>
          <w:szCs w:val="32"/>
          <w:rtl/>
          <w:lang w:bidi="ar-JO"/>
        </w:rPr>
        <w:t>مَن ازدَدتُ لَهُم حُبَّاً</w:t>
      </w:r>
    </w:p>
    <w:p w14:paraId="749BD11E" w14:textId="1E3ECA3D" w:rsidR="007B6399" w:rsidRPr="00827CC8" w:rsidRDefault="00530098" w:rsidP="00B370AE">
      <w:pPr>
        <w:spacing w:line="480" w:lineRule="auto"/>
        <w:jc w:val="center"/>
        <w:rPr>
          <w:rFonts w:ascii="Arabic Transparent" w:hAnsi="Arabic Transparent" w:cs="Arabic Transparent"/>
          <w:sz w:val="32"/>
          <w:szCs w:val="32"/>
          <w:rtl/>
          <w:lang w:bidi="ar-JO"/>
        </w:rPr>
      </w:pPr>
      <w:r>
        <w:rPr>
          <w:rFonts w:ascii="Arabic Transparent" w:hAnsi="Arabic Transparent" w:cs="Arabic Transparent" w:hint="cs"/>
          <w:sz w:val="32"/>
          <w:szCs w:val="32"/>
          <w:rtl/>
          <w:lang w:bidi="ar-JO"/>
        </w:rPr>
        <w:t>كلما علموني حرفاً</w:t>
      </w:r>
      <w:r w:rsidR="00453367">
        <w:rPr>
          <w:rFonts w:ascii="Arabic Transparent" w:hAnsi="Arabic Transparent" w:cs="Arabic Transparent" w:hint="cs"/>
          <w:sz w:val="32"/>
          <w:szCs w:val="32"/>
          <w:rtl/>
          <w:lang w:bidi="ar-JO"/>
        </w:rPr>
        <w:t>.</w:t>
      </w:r>
    </w:p>
    <w:p w14:paraId="18B25088" w14:textId="77777777" w:rsidR="007B6399" w:rsidRDefault="007B6399" w:rsidP="00C20713">
      <w:pPr>
        <w:pStyle w:val="ListParagraph"/>
        <w:spacing w:line="240" w:lineRule="auto"/>
        <w:ind w:left="139" w:hanging="91"/>
        <w:jc w:val="center"/>
        <w:rPr>
          <w:rFonts w:ascii="Segoe UI Semibold" w:hAnsi="Segoe UI Semibold" w:cs="DecoType Naskh Variants"/>
          <w:sz w:val="28"/>
          <w:szCs w:val="28"/>
          <w:rtl/>
          <w:lang w:bidi="ar-JO"/>
        </w:rPr>
      </w:pPr>
      <w:r w:rsidRPr="00827CC8">
        <w:rPr>
          <w:rFonts w:ascii="Segoe UI Semibold" w:hAnsi="Segoe UI Semibold" w:cs="DecoType Naskh Variants" w:hint="cs"/>
          <w:sz w:val="28"/>
          <w:szCs w:val="28"/>
          <w:rtl/>
          <w:lang w:bidi="ar-JO"/>
        </w:rPr>
        <w:t>-حفظهم الله-</w:t>
      </w:r>
    </w:p>
    <w:p w14:paraId="0BC822CA" w14:textId="77777777" w:rsidR="007B6399" w:rsidRPr="00827CC8" w:rsidRDefault="007B6399" w:rsidP="00C20713">
      <w:pPr>
        <w:pStyle w:val="ListParagraph"/>
        <w:spacing w:line="240" w:lineRule="auto"/>
        <w:ind w:left="139" w:hanging="91"/>
        <w:jc w:val="center"/>
        <w:rPr>
          <w:rFonts w:ascii="Segoe UI Semibold" w:hAnsi="Segoe UI Semibold" w:cs="DecoType Naskh Variants"/>
          <w:sz w:val="32"/>
          <w:szCs w:val="32"/>
          <w:rtl/>
          <w:lang w:bidi="ar-JO"/>
        </w:rPr>
      </w:pPr>
      <w:r w:rsidRPr="00827CC8">
        <w:rPr>
          <w:rFonts w:ascii="Segoe UI Semibold" w:hAnsi="Segoe UI Semibold" w:cs="DecoType Naskh Variants" w:hint="cs"/>
          <w:sz w:val="32"/>
          <w:szCs w:val="32"/>
          <w:rtl/>
          <w:lang w:bidi="ar-JO"/>
        </w:rPr>
        <w:t>*****</w:t>
      </w:r>
    </w:p>
    <w:p w14:paraId="17EB4766" w14:textId="77777777" w:rsidR="007B6399" w:rsidRPr="00827CC8" w:rsidRDefault="007B6399" w:rsidP="00C20713">
      <w:pPr>
        <w:pStyle w:val="ListParagraph"/>
        <w:spacing w:line="240" w:lineRule="auto"/>
        <w:ind w:left="139"/>
        <w:jc w:val="center"/>
        <w:rPr>
          <w:rFonts w:ascii="Segoe UI Semibold" w:hAnsi="Segoe UI Semibold" w:cs="DecoType Naskh Variants"/>
          <w:sz w:val="14"/>
          <w:szCs w:val="14"/>
          <w:rtl/>
          <w:lang w:bidi="ar-JO"/>
        </w:rPr>
      </w:pPr>
    </w:p>
    <w:p w14:paraId="6D2285D0" w14:textId="4626E3D5" w:rsidR="00C20713" w:rsidRPr="00827CC8" w:rsidRDefault="003E6FE4" w:rsidP="00C20713">
      <w:pPr>
        <w:pStyle w:val="ListParagraph"/>
        <w:spacing w:line="240" w:lineRule="auto"/>
        <w:ind w:left="139" w:hanging="91"/>
        <w:jc w:val="center"/>
        <w:rPr>
          <w:rFonts w:ascii="Segoe UI Semibold" w:hAnsi="Segoe UI Semibold" w:cs="Segoe UI Semibold"/>
          <w:sz w:val="32"/>
          <w:szCs w:val="32"/>
          <w:rtl/>
          <w:lang w:bidi="ar-JO"/>
        </w:rPr>
      </w:pPr>
      <w:r>
        <w:rPr>
          <w:rFonts w:ascii="Segoe UI Semibold" w:hAnsi="Segoe UI Semibold" w:cs="Segoe UI Semibold"/>
          <w:sz w:val="32"/>
          <w:szCs w:val="32"/>
          <w:lang w:bidi="ar-JO"/>
        </w:rPr>
        <w:t xml:space="preserve"> </w:t>
      </w:r>
      <w:r w:rsidR="007B6399" w:rsidRPr="00827CC8">
        <w:rPr>
          <w:rFonts w:ascii="AGA Arabesque" w:eastAsia="AGA Arabesque" w:hAnsi="AGA Arabesque" w:cs="AGA Arabesque"/>
          <w:sz w:val="32"/>
          <w:szCs w:val="32"/>
          <w:lang w:bidi="ar-JO"/>
        </w:rPr>
        <w:t></w:t>
      </w:r>
      <w:r w:rsidR="007B6399" w:rsidRPr="00827CC8">
        <w:rPr>
          <w:rFonts w:ascii="Segoe UI Semibold" w:hAnsi="Segoe UI Semibold" w:cs="DecoType Naskh Variants"/>
          <w:sz w:val="32"/>
          <w:szCs w:val="32"/>
          <w:rtl/>
          <w:lang w:bidi="ar-JO"/>
        </w:rPr>
        <w:t>أ</w:t>
      </w:r>
      <w:r w:rsidR="007B6399" w:rsidRPr="00827CC8">
        <w:rPr>
          <w:rFonts w:ascii="Segoe UI Semibold" w:hAnsi="Segoe UI Semibold" w:cs="DecoType Naskh Variants" w:hint="cs"/>
          <w:sz w:val="32"/>
          <w:szCs w:val="32"/>
          <w:rtl/>
          <w:lang w:bidi="ar-JO"/>
        </w:rPr>
        <w:t>ُ</w:t>
      </w:r>
      <w:r w:rsidR="007B6399" w:rsidRPr="00827CC8">
        <w:rPr>
          <w:rFonts w:ascii="Segoe UI Semibold" w:hAnsi="Segoe UI Semibold" w:cs="DecoType Naskh Variants"/>
          <w:sz w:val="32"/>
          <w:szCs w:val="32"/>
          <w:rtl/>
          <w:lang w:bidi="ar-JO"/>
        </w:rPr>
        <w:t>هد</w:t>
      </w:r>
      <w:r w:rsidR="007B6399" w:rsidRPr="00827CC8">
        <w:rPr>
          <w:rFonts w:ascii="Segoe UI Semibold" w:hAnsi="Segoe UI Semibold" w:cs="DecoType Naskh Variants" w:hint="cs"/>
          <w:sz w:val="32"/>
          <w:szCs w:val="32"/>
          <w:rtl/>
          <w:lang w:bidi="ar-JO"/>
        </w:rPr>
        <w:t>ِ</w:t>
      </w:r>
      <w:r w:rsidR="007B6399" w:rsidRPr="00827CC8">
        <w:rPr>
          <w:rFonts w:ascii="Segoe UI Semibold" w:hAnsi="Segoe UI Semibold" w:cs="DecoType Naskh Variants"/>
          <w:sz w:val="32"/>
          <w:szCs w:val="32"/>
          <w:rtl/>
          <w:lang w:bidi="ar-JO"/>
        </w:rPr>
        <w:t>ي ه</w:t>
      </w:r>
      <w:r w:rsidR="007B6399" w:rsidRPr="00827CC8">
        <w:rPr>
          <w:rFonts w:ascii="Segoe UI Semibold" w:hAnsi="Segoe UI Semibold" w:cs="DecoType Naskh Variants" w:hint="cs"/>
          <w:sz w:val="32"/>
          <w:szCs w:val="32"/>
          <w:rtl/>
          <w:lang w:bidi="ar-JO"/>
        </w:rPr>
        <w:t>َ</w:t>
      </w:r>
      <w:r w:rsidR="007B6399" w:rsidRPr="00827CC8">
        <w:rPr>
          <w:rFonts w:ascii="Segoe UI Semibold" w:hAnsi="Segoe UI Semibold" w:cs="DecoType Naskh Variants"/>
          <w:sz w:val="32"/>
          <w:szCs w:val="32"/>
          <w:rtl/>
          <w:lang w:bidi="ar-JO"/>
        </w:rPr>
        <w:t>ذ</w:t>
      </w:r>
      <w:r w:rsidR="007B6399" w:rsidRPr="00827CC8">
        <w:rPr>
          <w:rFonts w:ascii="Segoe UI Semibold" w:hAnsi="Segoe UI Semibold" w:cs="DecoType Naskh Variants" w:hint="cs"/>
          <w:sz w:val="32"/>
          <w:szCs w:val="32"/>
          <w:rtl/>
          <w:lang w:bidi="ar-JO"/>
        </w:rPr>
        <w:t>ِه الأُطرُوحَةُ المُتواضِعَةَ</w:t>
      </w:r>
      <w:r w:rsidR="007B6399" w:rsidRPr="00827CC8">
        <w:rPr>
          <w:rFonts w:ascii="AGA Arabesque" w:eastAsia="AGA Arabesque" w:hAnsi="AGA Arabesque" w:cs="AGA Arabesque"/>
          <w:sz w:val="32"/>
          <w:szCs w:val="32"/>
          <w:lang w:bidi="ar-JO"/>
        </w:rPr>
        <w:t></w:t>
      </w:r>
      <w:r>
        <w:rPr>
          <w:rFonts w:ascii="Segoe UI Semibold" w:hAnsi="Segoe UI Semibold" w:cs="Segoe UI Semibold"/>
          <w:sz w:val="32"/>
          <w:szCs w:val="32"/>
          <w:lang w:bidi="ar-JO"/>
        </w:rPr>
        <w:t xml:space="preserve"> </w:t>
      </w:r>
    </w:p>
    <w:p w14:paraId="210026EB" w14:textId="77777777" w:rsidR="00C20713" w:rsidRDefault="007B6399" w:rsidP="00C20713">
      <w:pPr>
        <w:spacing w:line="240" w:lineRule="auto"/>
        <w:jc w:val="center"/>
        <w:rPr>
          <w:rFonts w:ascii="Arabic Transparent" w:hAnsi="Arabic Transparent" w:cs="Arabic Transparent"/>
          <w:sz w:val="32"/>
          <w:szCs w:val="32"/>
          <w:rtl/>
          <w:lang w:bidi="ar-JO"/>
        </w:rPr>
      </w:pPr>
      <w:r w:rsidRPr="00827CC8">
        <w:rPr>
          <w:rFonts w:ascii="AGA Arabesque" w:eastAsia="AGA Arabesque" w:hAnsi="AGA Arabesque" w:cs="AGA Arabesque"/>
          <w:sz w:val="56"/>
          <w:szCs w:val="56"/>
          <w:lang w:bidi="ar-JO"/>
        </w:rPr>
        <w:t></w:t>
      </w:r>
    </w:p>
    <w:p w14:paraId="3A11E946" w14:textId="3DD7DA4C" w:rsidR="00C20713" w:rsidRPr="00C20713" w:rsidRDefault="00C20713" w:rsidP="00C20713">
      <w:pPr>
        <w:spacing w:line="240" w:lineRule="auto"/>
        <w:jc w:val="center"/>
        <w:rPr>
          <w:rFonts w:ascii="Arabic Transparent" w:hAnsi="Arabic Transparent" w:cs="DecoType Naskh Variants"/>
          <w:sz w:val="32"/>
          <w:szCs w:val="32"/>
          <w:rtl/>
          <w:lang w:bidi="ar-JO"/>
        </w:rPr>
      </w:pPr>
      <w:r w:rsidRPr="00C20713">
        <w:rPr>
          <w:rFonts w:ascii="Arabic Transparent" w:hAnsi="Arabic Transparent" w:cs="DecoType Naskh Variants" w:hint="cs"/>
          <w:sz w:val="32"/>
          <w:szCs w:val="32"/>
          <w:rtl/>
          <w:lang w:bidi="ar-JO"/>
        </w:rPr>
        <w:t>الباحث</w:t>
      </w:r>
      <w:r w:rsidR="005D7B91">
        <w:rPr>
          <w:rFonts w:ascii="Arabic Transparent" w:hAnsi="Arabic Transparent" w:cs="DecoType Naskh Variants" w:hint="cs"/>
          <w:sz w:val="32"/>
          <w:szCs w:val="32"/>
          <w:rtl/>
          <w:lang w:bidi="ar-JO"/>
        </w:rPr>
        <w:t xml:space="preserve">: </w:t>
      </w:r>
      <w:r>
        <w:rPr>
          <w:rFonts w:ascii="Arabic Transparent" w:hAnsi="Arabic Transparent" w:cs="DecoType Naskh Variants" w:hint="cs"/>
          <w:sz w:val="32"/>
          <w:szCs w:val="32"/>
          <w:rtl/>
          <w:lang w:bidi="ar-JO"/>
        </w:rPr>
        <w:t xml:space="preserve"> </w:t>
      </w:r>
      <w:r w:rsidRPr="00C20713">
        <w:rPr>
          <w:rFonts w:ascii="Arabic Transparent" w:hAnsi="Arabic Transparent" w:cs="DecoType Naskh Variants" w:hint="cs"/>
          <w:sz w:val="32"/>
          <w:szCs w:val="32"/>
          <w:rtl/>
          <w:lang w:bidi="ar-JO"/>
        </w:rPr>
        <w:t>حمزة</w:t>
      </w:r>
      <w:r w:rsidR="005D7B91">
        <w:rPr>
          <w:rFonts w:ascii="Arabic Transparent" w:hAnsi="Arabic Transparent" w:cs="DecoType Naskh Variants" w:hint="cs"/>
          <w:sz w:val="32"/>
          <w:szCs w:val="32"/>
          <w:rtl/>
          <w:lang w:bidi="ar-JO"/>
        </w:rPr>
        <w:t xml:space="preserve">     </w:t>
      </w:r>
      <w:r w:rsidRPr="00C20713">
        <w:rPr>
          <w:rFonts w:ascii="Arabic Transparent" w:hAnsi="Arabic Transparent" w:cs="DecoType Naskh Variants" w:hint="cs"/>
          <w:sz w:val="32"/>
          <w:szCs w:val="32"/>
          <w:rtl/>
          <w:lang w:bidi="ar-JO"/>
        </w:rPr>
        <w:t>نعيم</w:t>
      </w:r>
      <w:r>
        <w:rPr>
          <w:rFonts w:ascii="Arabic Transparent" w:hAnsi="Arabic Transparent" w:cs="DecoType Naskh Variants" w:hint="cs"/>
          <w:sz w:val="32"/>
          <w:szCs w:val="32"/>
          <w:rtl/>
          <w:lang w:bidi="ar-JO"/>
        </w:rPr>
        <w:t xml:space="preserve"> </w:t>
      </w:r>
      <w:r w:rsidRPr="00C20713">
        <w:rPr>
          <w:rFonts w:ascii="Arabic Transparent" w:hAnsi="Arabic Transparent" w:cs="DecoType Naskh Variants" w:hint="cs"/>
          <w:sz w:val="32"/>
          <w:szCs w:val="32"/>
          <w:rtl/>
          <w:lang w:bidi="ar-JO"/>
        </w:rPr>
        <w:t xml:space="preserve"> حسين</w:t>
      </w:r>
      <w:r>
        <w:rPr>
          <w:rFonts w:ascii="Arabic Transparent" w:hAnsi="Arabic Transparent" w:cs="DecoType Naskh Variants" w:hint="cs"/>
          <w:sz w:val="32"/>
          <w:szCs w:val="32"/>
          <w:rtl/>
          <w:lang w:bidi="ar-JO"/>
        </w:rPr>
        <w:t xml:space="preserve"> </w:t>
      </w:r>
      <w:r w:rsidRPr="00C20713">
        <w:rPr>
          <w:rFonts w:ascii="Arabic Transparent" w:hAnsi="Arabic Transparent" w:cs="DecoType Naskh Variants" w:hint="cs"/>
          <w:sz w:val="32"/>
          <w:szCs w:val="32"/>
          <w:rtl/>
          <w:lang w:bidi="ar-JO"/>
        </w:rPr>
        <w:t xml:space="preserve"> مسلّم</w:t>
      </w:r>
    </w:p>
    <w:p w14:paraId="4939CAE0" w14:textId="595F5A23" w:rsidR="00B93547" w:rsidRDefault="00B93547" w:rsidP="00C20713">
      <w:pPr>
        <w:spacing w:line="240" w:lineRule="auto"/>
        <w:jc w:val="center"/>
        <w:rPr>
          <w:rFonts w:ascii="Arabic Transparent" w:hAnsi="Arabic Transparent" w:cs="Arabic Transparent"/>
          <w:sz w:val="32"/>
          <w:szCs w:val="32"/>
          <w:rtl/>
          <w:lang w:bidi="ar-JO"/>
        </w:rPr>
      </w:pPr>
      <w:r>
        <w:rPr>
          <w:rFonts w:ascii="Arabic Transparent" w:hAnsi="Arabic Transparent" w:cs="Arabic Transparent"/>
          <w:sz w:val="32"/>
          <w:szCs w:val="32"/>
          <w:rtl/>
          <w:lang w:bidi="ar-JO"/>
        </w:rPr>
        <w:br w:type="page"/>
      </w:r>
    </w:p>
    <w:p w14:paraId="20255B96" w14:textId="77777777" w:rsidR="00B93547" w:rsidRPr="0033359D" w:rsidRDefault="00F36733" w:rsidP="00B93547">
      <w:pPr>
        <w:tabs>
          <w:tab w:val="right" w:pos="706"/>
        </w:tabs>
        <w:spacing w:line="360" w:lineRule="auto"/>
        <w:jc w:val="center"/>
        <w:rPr>
          <w:rFonts w:ascii="Arabic Transparent" w:hAnsi="Arabic Transparent" w:cs="Arabic Transparent"/>
          <w:b/>
          <w:bCs/>
          <w:sz w:val="32"/>
          <w:szCs w:val="32"/>
          <w:rtl/>
          <w:lang w:bidi="ar-JO"/>
        </w:rPr>
      </w:pPr>
      <w:r w:rsidRPr="0033359D">
        <w:rPr>
          <w:rFonts w:ascii="Arabic Transparent" w:hAnsi="Arabic Transparent" w:cs="Arabic Transparent" w:hint="cs"/>
          <w:b/>
          <w:bCs/>
          <w:sz w:val="32"/>
          <w:szCs w:val="32"/>
          <w:rtl/>
          <w:lang w:bidi="ar-JO"/>
        </w:rPr>
        <w:lastRenderedPageBreak/>
        <w:t>الشكر والتقدير</w:t>
      </w:r>
    </w:p>
    <w:p w14:paraId="3B7B3DFE" w14:textId="1CDF1B05" w:rsidR="005D1A2F" w:rsidRPr="00827CC8" w:rsidRDefault="005D7B91" w:rsidP="00453367">
      <w:pPr>
        <w:tabs>
          <w:tab w:val="right" w:pos="706"/>
        </w:tabs>
        <w:spacing w:line="360" w:lineRule="auto"/>
        <w:jc w:val="both"/>
        <w:rPr>
          <w:rFonts w:ascii="Arabic Transparent" w:hAnsi="Arabic Transparent" w:cs="Arabic Transparent"/>
          <w:sz w:val="32"/>
          <w:szCs w:val="32"/>
          <w:rtl/>
          <w:lang w:bidi="ar-JO"/>
        </w:rPr>
      </w:pPr>
      <w:r>
        <w:rPr>
          <w:rFonts w:ascii="Arabic Transparent" w:hAnsi="Arabic Transparent" w:cs="Arabic Transparent" w:hint="cs"/>
          <w:sz w:val="32"/>
          <w:szCs w:val="32"/>
          <w:rtl/>
          <w:lang w:bidi="ar-JO"/>
        </w:rPr>
        <w:t xml:space="preserve">     </w:t>
      </w:r>
      <w:r w:rsidR="005D1A2F" w:rsidRPr="00827CC8">
        <w:rPr>
          <w:rFonts w:ascii="Arabic Transparent" w:hAnsi="Arabic Transparent" w:cs="Arabic Transparent" w:hint="cs"/>
          <w:sz w:val="32"/>
          <w:szCs w:val="32"/>
          <w:rtl/>
          <w:lang w:bidi="ar-JO"/>
        </w:rPr>
        <w:t xml:space="preserve">الحَمدُ والشَكرُ للهِ أولاً وآخراً وظاهراً وباطناً، والصلاة والسلام على معلِّمِ الوَرى وعلى آلهِ وصَحبهِ خَير من اهتَدى، وبعد: </w:t>
      </w:r>
    </w:p>
    <w:p w14:paraId="0206081A" w14:textId="71D44C08" w:rsidR="00401F83" w:rsidRDefault="005D7B91" w:rsidP="00401F83">
      <w:pPr>
        <w:spacing w:line="360" w:lineRule="auto"/>
        <w:jc w:val="both"/>
        <w:rPr>
          <w:rFonts w:ascii="Arabic Transparent" w:hAnsi="Arabic Transparent" w:cs="Arabic Transparent"/>
          <w:sz w:val="32"/>
          <w:szCs w:val="32"/>
          <w:rtl/>
          <w:lang w:bidi="ar-JO"/>
        </w:rPr>
      </w:pPr>
      <w:r>
        <w:rPr>
          <w:rFonts w:ascii="Arabic Transparent" w:hAnsi="Arabic Transparent" w:cs="Arabic Transparent" w:hint="cs"/>
          <w:sz w:val="32"/>
          <w:szCs w:val="32"/>
          <w:rtl/>
          <w:lang w:bidi="ar-JO"/>
        </w:rPr>
        <w:t xml:space="preserve">     </w:t>
      </w:r>
      <w:r w:rsidR="005D1A2F" w:rsidRPr="00827CC8">
        <w:rPr>
          <w:rFonts w:ascii="Arabic Transparent" w:hAnsi="Arabic Transparent" w:cs="Arabic Transparent" w:hint="cs"/>
          <w:sz w:val="32"/>
          <w:szCs w:val="32"/>
          <w:rtl/>
          <w:lang w:bidi="ar-JO"/>
        </w:rPr>
        <w:t>أحمد الله الكريم على جزيل عطائه، وعظيم إكرامه، أحمد</w:t>
      </w:r>
      <w:r w:rsidR="00BD5460">
        <w:rPr>
          <w:rFonts w:ascii="Arabic Transparent" w:hAnsi="Arabic Transparent" w:cs="Arabic Transparent" w:hint="cs"/>
          <w:sz w:val="32"/>
          <w:szCs w:val="32"/>
          <w:rtl/>
          <w:lang w:bidi="ar-JO"/>
        </w:rPr>
        <w:t>ه</w:t>
      </w:r>
      <w:r w:rsidR="005D1A2F" w:rsidRPr="00827CC8">
        <w:rPr>
          <w:rFonts w:ascii="Arabic Transparent" w:hAnsi="Arabic Transparent" w:cs="Arabic Transparent" w:hint="cs"/>
          <w:sz w:val="32"/>
          <w:szCs w:val="32"/>
          <w:rtl/>
          <w:lang w:bidi="ar-JO"/>
        </w:rPr>
        <w:t xml:space="preserve"> سبحانه وأشكره أن يس</w:t>
      </w:r>
      <w:r w:rsidR="00BD5460">
        <w:rPr>
          <w:rFonts w:ascii="Arabic Transparent" w:hAnsi="Arabic Transparent" w:cs="Arabic Transparent" w:hint="cs"/>
          <w:sz w:val="32"/>
          <w:szCs w:val="32"/>
          <w:rtl/>
          <w:lang w:bidi="ar-JO"/>
        </w:rPr>
        <w:t>ّ</w:t>
      </w:r>
      <w:r w:rsidR="005D1A2F" w:rsidRPr="00827CC8">
        <w:rPr>
          <w:rFonts w:ascii="Arabic Transparent" w:hAnsi="Arabic Transparent" w:cs="Arabic Transparent" w:hint="cs"/>
          <w:sz w:val="32"/>
          <w:szCs w:val="32"/>
          <w:rtl/>
          <w:lang w:bidi="ar-JO"/>
        </w:rPr>
        <w:t>ر لي إتمام هذه ال</w:t>
      </w:r>
      <w:r w:rsidR="00C71B55">
        <w:rPr>
          <w:rFonts w:ascii="Arabic Transparent" w:hAnsi="Arabic Transparent" w:cs="Arabic Transparent" w:hint="cs"/>
          <w:sz w:val="32"/>
          <w:szCs w:val="32"/>
          <w:rtl/>
          <w:lang w:bidi="ar-JO"/>
        </w:rPr>
        <w:t>أطروحة</w:t>
      </w:r>
      <w:r w:rsidR="005D1A2F" w:rsidRPr="00827CC8">
        <w:rPr>
          <w:rFonts w:ascii="Arabic Transparent" w:hAnsi="Arabic Transparent" w:cs="Arabic Transparent" w:hint="cs"/>
          <w:sz w:val="32"/>
          <w:szCs w:val="32"/>
          <w:rtl/>
          <w:lang w:bidi="ar-JO"/>
        </w:rPr>
        <w:t xml:space="preserve">، وأسأله أن يجعلها خالصة ً لوجهه الكريم، وأن ينفع بها قارئها ثم أتوجه بخالص الشكر والتقدير لجامعتي العريقة: جامعة العلوم الإسلامية </w:t>
      </w:r>
      <w:r w:rsidR="00401F83" w:rsidRPr="00827CC8">
        <w:rPr>
          <w:rFonts w:ascii="Arabic Transparent" w:hAnsi="Arabic Transparent" w:cs="Arabic Transparent" w:hint="cs"/>
          <w:sz w:val="32"/>
          <w:szCs w:val="32"/>
          <w:rtl/>
          <w:lang w:bidi="ar-JO"/>
        </w:rPr>
        <w:t>ممثلة ً برئيسها المكرم</w:t>
      </w:r>
      <w:r w:rsidR="007E0DE2">
        <w:rPr>
          <w:rFonts w:ascii="Arabic Transparent" w:hAnsi="Arabic Transparent" w:cs="Arabic Transparent" w:hint="cs"/>
          <w:sz w:val="32"/>
          <w:szCs w:val="32"/>
          <w:rtl/>
          <w:lang w:bidi="ar-JO"/>
        </w:rPr>
        <w:t xml:space="preserve"> الأستاذ الدكتور جعفر الفناطسة</w:t>
      </w:r>
      <w:r w:rsidR="00401F83" w:rsidRPr="00827CC8">
        <w:rPr>
          <w:rFonts w:ascii="Arabic Transparent" w:hAnsi="Arabic Transparent" w:cs="Arabic Transparent" w:hint="cs"/>
          <w:sz w:val="32"/>
          <w:szCs w:val="32"/>
          <w:rtl/>
          <w:lang w:bidi="ar-JO"/>
        </w:rPr>
        <w:t>، وإلى كلية الشيخ نوح القضاة للشريعة والقانون، وإلى كافة أساتذتها، على ما بذلوه من جهد وعلم، وأتقدم بخالص الشكر والعرفان إلى مشرفي وأستاذي الأستاذ الدكتور أنس عبد</w:t>
      </w:r>
      <w:r w:rsidR="00C20713">
        <w:rPr>
          <w:rFonts w:ascii="Arabic Transparent" w:hAnsi="Arabic Transparent" w:cs="Arabic Transparent" w:hint="cs"/>
          <w:sz w:val="32"/>
          <w:szCs w:val="32"/>
          <w:rtl/>
          <w:lang w:bidi="ar-JO"/>
        </w:rPr>
        <w:t xml:space="preserve"> </w:t>
      </w:r>
      <w:r w:rsidR="00401F83" w:rsidRPr="00827CC8">
        <w:rPr>
          <w:rFonts w:ascii="Arabic Transparent" w:hAnsi="Arabic Transparent" w:cs="Arabic Transparent" w:hint="cs"/>
          <w:sz w:val="32"/>
          <w:szCs w:val="32"/>
          <w:rtl/>
          <w:lang w:bidi="ar-JO"/>
        </w:rPr>
        <w:t>الواحد الجابر، على جهده وتوجيهه وإرشاده والذي كان له الأثر البالغ في إعداد هذه ال</w:t>
      </w:r>
      <w:r w:rsidR="00902C78">
        <w:rPr>
          <w:rFonts w:ascii="Arabic Transparent" w:hAnsi="Arabic Transparent" w:cs="Arabic Transparent" w:hint="cs"/>
          <w:sz w:val="32"/>
          <w:szCs w:val="32"/>
          <w:rtl/>
          <w:lang w:bidi="ar-JO"/>
        </w:rPr>
        <w:t>دراسة</w:t>
      </w:r>
      <w:r w:rsidR="00401F83" w:rsidRPr="00827CC8">
        <w:rPr>
          <w:rFonts w:ascii="Arabic Transparent" w:hAnsi="Arabic Transparent" w:cs="Arabic Transparent" w:hint="cs"/>
          <w:sz w:val="32"/>
          <w:szCs w:val="32"/>
          <w:rtl/>
          <w:lang w:bidi="ar-JO"/>
        </w:rPr>
        <w:t xml:space="preserve">، وكذلك أتقدم بالشكر الجزيل إلى </w:t>
      </w:r>
      <w:r w:rsidR="00EA4314">
        <w:rPr>
          <w:rFonts w:ascii="Arabic Transparent" w:hAnsi="Arabic Transparent" w:cs="Arabic Transparent" w:hint="cs"/>
          <w:sz w:val="32"/>
          <w:szCs w:val="32"/>
          <w:rtl/>
          <w:lang w:bidi="ar-JO"/>
        </w:rPr>
        <w:t xml:space="preserve">أعضاء </w:t>
      </w:r>
      <w:r w:rsidR="00401F83" w:rsidRPr="00827CC8">
        <w:rPr>
          <w:rFonts w:ascii="Arabic Transparent" w:hAnsi="Arabic Transparent" w:cs="Arabic Transparent" w:hint="cs"/>
          <w:sz w:val="32"/>
          <w:szCs w:val="32"/>
          <w:rtl/>
          <w:lang w:bidi="ar-JO"/>
        </w:rPr>
        <w:t xml:space="preserve">لجنة المناقشة: </w:t>
      </w:r>
    </w:p>
    <w:p w14:paraId="4D588B6A" w14:textId="0F589D16" w:rsidR="00C71B55" w:rsidRDefault="00C71B55" w:rsidP="00401F83">
      <w:pPr>
        <w:spacing w:line="360" w:lineRule="auto"/>
        <w:jc w:val="both"/>
        <w:rPr>
          <w:rFonts w:ascii="Arabic Transparent" w:hAnsi="Arabic Transparent" w:cs="Arabic Transparent"/>
          <w:sz w:val="32"/>
          <w:szCs w:val="32"/>
          <w:rtl/>
          <w:lang w:bidi="ar-JO"/>
        </w:rPr>
      </w:pPr>
      <w:r>
        <w:rPr>
          <w:rFonts w:ascii="Arabic Transparent" w:hAnsi="Arabic Transparent" w:cs="Arabic Transparent" w:hint="cs"/>
          <w:sz w:val="32"/>
          <w:szCs w:val="32"/>
          <w:rtl/>
          <w:lang w:bidi="ar-JO"/>
        </w:rPr>
        <w:t xml:space="preserve">1- </w:t>
      </w:r>
    </w:p>
    <w:p w14:paraId="695C0B40" w14:textId="2AB37BF0" w:rsidR="00C71B55" w:rsidRDefault="00C71B55" w:rsidP="00401F83">
      <w:pPr>
        <w:spacing w:line="360" w:lineRule="auto"/>
        <w:jc w:val="both"/>
        <w:rPr>
          <w:rFonts w:ascii="Arabic Transparent" w:hAnsi="Arabic Transparent" w:cs="Arabic Transparent"/>
          <w:sz w:val="32"/>
          <w:szCs w:val="32"/>
          <w:rtl/>
          <w:lang w:bidi="ar-JO"/>
        </w:rPr>
      </w:pPr>
      <w:r>
        <w:rPr>
          <w:rFonts w:ascii="Arabic Transparent" w:hAnsi="Arabic Transparent" w:cs="Arabic Transparent" w:hint="cs"/>
          <w:sz w:val="32"/>
          <w:szCs w:val="32"/>
          <w:rtl/>
          <w:lang w:bidi="ar-JO"/>
        </w:rPr>
        <w:t xml:space="preserve">2- </w:t>
      </w:r>
    </w:p>
    <w:p w14:paraId="083CC1B6" w14:textId="012EEE74" w:rsidR="00C71B55" w:rsidRPr="00827CC8" w:rsidRDefault="00C71B55" w:rsidP="00401F83">
      <w:pPr>
        <w:spacing w:line="360" w:lineRule="auto"/>
        <w:jc w:val="both"/>
        <w:rPr>
          <w:rFonts w:ascii="Arabic Transparent" w:hAnsi="Arabic Transparent" w:cs="Arabic Transparent"/>
          <w:sz w:val="32"/>
          <w:szCs w:val="32"/>
          <w:rtl/>
          <w:lang w:bidi="ar-JO"/>
        </w:rPr>
      </w:pPr>
      <w:r>
        <w:rPr>
          <w:rFonts w:ascii="Arabic Transparent" w:hAnsi="Arabic Transparent" w:cs="Arabic Transparent" w:hint="cs"/>
          <w:sz w:val="32"/>
          <w:szCs w:val="32"/>
          <w:rtl/>
          <w:lang w:bidi="ar-JO"/>
        </w:rPr>
        <w:t xml:space="preserve">3- </w:t>
      </w:r>
    </w:p>
    <w:p w14:paraId="3C718438" w14:textId="300911DF" w:rsidR="005D1A2F" w:rsidRPr="00827CC8" w:rsidRDefault="005D7B91" w:rsidP="00401F83">
      <w:pPr>
        <w:spacing w:line="360" w:lineRule="auto"/>
        <w:jc w:val="both"/>
        <w:rPr>
          <w:rFonts w:ascii="Arabic Transparent" w:hAnsi="Arabic Transparent" w:cs="Arabic Transparent"/>
          <w:sz w:val="32"/>
          <w:szCs w:val="32"/>
          <w:rtl/>
          <w:lang w:bidi="ar-JO"/>
        </w:rPr>
      </w:pPr>
      <w:r>
        <w:rPr>
          <w:rFonts w:ascii="Arabic Transparent" w:hAnsi="Arabic Transparent" w:cs="Arabic Transparent" w:hint="cs"/>
          <w:sz w:val="32"/>
          <w:szCs w:val="32"/>
          <w:rtl/>
          <w:lang w:bidi="ar-JO"/>
        </w:rPr>
        <w:t xml:space="preserve">     </w:t>
      </w:r>
      <w:r w:rsidR="005D1A2F" w:rsidRPr="00827CC8">
        <w:rPr>
          <w:rFonts w:ascii="Arabic Transparent" w:hAnsi="Arabic Transparent" w:cs="Arabic Transparent" w:hint="cs"/>
          <w:sz w:val="32"/>
          <w:szCs w:val="32"/>
          <w:rtl/>
          <w:lang w:bidi="ar-JO"/>
        </w:rPr>
        <w:t xml:space="preserve"> </w:t>
      </w:r>
      <w:r w:rsidR="00EA4314">
        <w:rPr>
          <w:rFonts w:ascii="Arabic Transparent" w:hAnsi="Arabic Transparent" w:cs="Arabic Transparent" w:hint="cs"/>
          <w:sz w:val="32"/>
          <w:szCs w:val="32"/>
          <w:rtl/>
          <w:lang w:bidi="ar-JO"/>
        </w:rPr>
        <w:t xml:space="preserve">لتفضلهم </w:t>
      </w:r>
      <w:r w:rsidR="005D1A2F" w:rsidRPr="00827CC8">
        <w:rPr>
          <w:rFonts w:ascii="Arabic Transparent" w:hAnsi="Arabic Transparent" w:cs="Arabic Transparent" w:hint="cs"/>
          <w:sz w:val="32"/>
          <w:szCs w:val="32"/>
          <w:rtl/>
          <w:lang w:bidi="ar-JO"/>
        </w:rPr>
        <w:t xml:space="preserve"> بِقبولِ مَنَاقشةِ هَذهِ ال</w:t>
      </w:r>
      <w:r w:rsidR="007E0DE2">
        <w:rPr>
          <w:rFonts w:ascii="Arabic Transparent" w:hAnsi="Arabic Transparent" w:cs="Arabic Transparent" w:hint="cs"/>
          <w:sz w:val="32"/>
          <w:szCs w:val="32"/>
          <w:rtl/>
          <w:lang w:bidi="ar-JO"/>
        </w:rPr>
        <w:t>أطروحة</w:t>
      </w:r>
      <w:r w:rsidR="005D1A2F" w:rsidRPr="00827CC8">
        <w:rPr>
          <w:rFonts w:ascii="Arabic Transparent" w:hAnsi="Arabic Transparent" w:cs="Arabic Transparent" w:hint="cs"/>
          <w:sz w:val="32"/>
          <w:szCs w:val="32"/>
          <w:rtl/>
          <w:lang w:bidi="ar-JO"/>
        </w:rPr>
        <w:t xml:space="preserve">، والذين </w:t>
      </w:r>
      <w:r w:rsidR="00C71B55">
        <w:rPr>
          <w:rFonts w:ascii="Arabic Transparent" w:hAnsi="Arabic Transparent" w:cs="Arabic Transparent" w:hint="cs"/>
          <w:sz w:val="32"/>
          <w:szCs w:val="32"/>
          <w:rtl/>
          <w:lang w:bidi="ar-JO"/>
        </w:rPr>
        <w:t>سيكون</w:t>
      </w:r>
      <w:r w:rsidR="005D1A2F" w:rsidRPr="00827CC8">
        <w:rPr>
          <w:rFonts w:ascii="Arabic Transparent" w:hAnsi="Arabic Transparent" w:cs="Arabic Transparent" w:hint="cs"/>
          <w:sz w:val="32"/>
          <w:szCs w:val="32"/>
          <w:rtl/>
          <w:lang w:bidi="ar-JO"/>
        </w:rPr>
        <w:t xml:space="preserve"> لِمُناقشَاتِهم الهَامَّة وتوجِيهاتِهم السَديدة، الأَثَر الكَبير في الارتقاءِ بمُستوى هذهِ ال</w:t>
      </w:r>
      <w:r w:rsidR="007E0DE2">
        <w:rPr>
          <w:rFonts w:ascii="Arabic Transparent" w:hAnsi="Arabic Transparent" w:cs="Arabic Transparent" w:hint="cs"/>
          <w:sz w:val="32"/>
          <w:szCs w:val="32"/>
          <w:rtl/>
          <w:lang w:bidi="ar-JO"/>
        </w:rPr>
        <w:t>أطروحة</w:t>
      </w:r>
      <w:r w:rsidR="005D1A2F" w:rsidRPr="00827CC8">
        <w:rPr>
          <w:rFonts w:ascii="Arabic Transparent" w:hAnsi="Arabic Transparent" w:cs="Arabic Transparent" w:hint="cs"/>
          <w:sz w:val="32"/>
          <w:szCs w:val="32"/>
          <w:rtl/>
          <w:lang w:bidi="ar-JO"/>
        </w:rPr>
        <w:t xml:space="preserve">، مِمَّا </w:t>
      </w:r>
      <w:r w:rsidR="00C71B55">
        <w:rPr>
          <w:rFonts w:ascii="Arabic Transparent" w:hAnsi="Arabic Transparent" w:cs="Arabic Transparent" w:hint="cs"/>
          <w:sz w:val="32"/>
          <w:szCs w:val="32"/>
          <w:rtl/>
          <w:lang w:bidi="ar-JO"/>
        </w:rPr>
        <w:t>ي</w:t>
      </w:r>
      <w:r w:rsidR="005D1A2F" w:rsidRPr="00827CC8">
        <w:rPr>
          <w:rFonts w:ascii="Arabic Transparent" w:hAnsi="Arabic Transparent" w:cs="Arabic Transparent" w:hint="cs"/>
          <w:sz w:val="32"/>
          <w:szCs w:val="32"/>
          <w:rtl/>
          <w:lang w:bidi="ar-JO"/>
        </w:rPr>
        <w:t>جَعلها أَكثرَ نَفعاً بِعونِ الله، بَاركَ اللهُ فيهم وفي سَعيهم الدَؤوبِ في خِدمةِ العِلمِ والعلماءِ.</w:t>
      </w:r>
    </w:p>
    <w:p w14:paraId="3C9A6EF7" w14:textId="3FEC9780" w:rsidR="00867764" w:rsidRDefault="005D7B91" w:rsidP="00C71B55">
      <w:pPr>
        <w:spacing w:line="360" w:lineRule="auto"/>
        <w:jc w:val="both"/>
        <w:rPr>
          <w:rFonts w:ascii="Arabic Transparent" w:hAnsi="Arabic Transparent" w:cs="Arabic Transparent"/>
          <w:sz w:val="32"/>
          <w:szCs w:val="32"/>
          <w:rtl/>
          <w:lang w:bidi="ar-JO"/>
        </w:rPr>
      </w:pPr>
      <w:r>
        <w:rPr>
          <w:rFonts w:ascii="Arabic Transparent" w:hAnsi="Arabic Transparent" w:cs="Arabic Transparent" w:hint="cs"/>
          <w:sz w:val="32"/>
          <w:szCs w:val="32"/>
          <w:rtl/>
          <w:lang w:bidi="ar-JO"/>
        </w:rPr>
        <w:t xml:space="preserve">     </w:t>
      </w:r>
      <w:r w:rsidR="005D1A2F" w:rsidRPr="00827CC8">
        <w:rPr>
          <w:rFonts w:ascii="Arabic Transparent" w:hAnsi="Arabic Transparent" w:cs="Arabic Transparent" w:hint="cs"/>
          <w:sz w:val="32"/>
          <w:szCs w:val="32"/>
          <w:rtl/>
          <w:lang w:bidi="ar-JO"/>
        </w:rPr>
        <w:t xml:space="preserve"> ومِدَاداً مِن الشُكرِ أُرسلها لِكلِّ مَن سَاهمَ وَسَاعدَ في خِدمةِ هَذهِ ال</w:t>
      </w:r>
      <w:r w:rsidR="00C71B55">
        <w:rPr>
          <w:rFonts w:ascii="Arabic Transparent" w:hAnsi="Arabic Transparent" w:cs="Arabic Transparent" w:hint="cs"/>
          <w:sz w:val="32"/>
          <w:szCs w:val="32"/>
          <w:rtl/>
          <w:lang w:bidi="ar-JO"/>
        </w:rPr>
        <w:t>أطروحة</w:t>
      </w:r>
      <w:r w:rsidR="005D1A2F" w:rsidRPr="00827CC8">
        <w:rPr>
          <w:rFonts w:ascii="Arabic Transparent" w:hAnsi="Arabic Transparent" w:cs="Arabic Transparent" w:hint="cs"/>
          <w:sz w:val="32"/>
          <w:szCs w:val="32"/>
          <w:rtl/>
          <w:lang w:bidi="ar-JO"/>
        </w:rPr>
        <w:t>، وأَخرَجها مِن الظُلماتِ إلى النُّور بإذنِ ربِّهَا</w:t>
      </w:r>
      <w:r w:rsidR="00401F83" w:rsidRPr="00827CC8">
        <w:rPr>
          <w:rFonts w:ascii="Arabic Transparent" w:hAnsi="Arabic Transparent" w:cs="Arabic Transparent" w:hint="cs"/>
          <w:sz w:val="32"/>
          <w:szCs w:val="32"/>
          <w:rtl/>
          <w:lang w:bidi="ar-JO"/>
        </w:rPr>
        <w:t xml:space="preserve"> فجزاهم الله خير الجزاء، والحمد لله رب العالمين.</w:t>
      </w:r>
    </w:p>
    <w:p w14:paraId="7D62F2DB" w14:textId="77777777" w:rsidR="007D7C1B" w:rsidRDefault="007D7C1B" w:rsidP="003D6867">
      <w:pPr>
        <w:spacing w:line="360" w:lineRule="auto"/>
        <w:jc w:val="center"/>
        <w:rPr>
          <w:rFonts w:ascii="Arabic Transparent" w:hAnsi="Arabic Transparent" w:cs="Arabic Transparent"/>
          <w:b/>
          <w:bCs/>
          <w:sz w:val="32"/>
          <w:szCs w:val="32"/>
          <w:rtl/>
          <w:lang w:bidi="ar-JO"/>
        </w:rPr>
        <w:sectPr w:rsidR="007D7C1B" w:rsidSect="00867764">
          <w:headerReference w:type="first" r:id="rId14"/>
          <w:pgSz w:w="12240" w:h="15840"/>
          <w:pgMar w:top="1418" w:right="1985" w:bottom="1418" w:left="1418" w:header="720" w:footer="720" w:gutter="0"/>
          <w:pgNumType w:fmt="arabicAbjad" w:start="3"/>
          <w:cols w:space="720"/>
          <w:titlePg/>
          <w:docGrid w:linePitch="360"/>
        </w:sectPr>
      </w:pPr>
    </w:p>
    <w:p w14:paraId="70B7AC5E" w14:textId="5591A6E9" w:rsidR="00F36733" w:rsidRPr="0033359D" w:rsidRDefault="00F36733" w:rsidP="003D6867">
      <w:pPr>
        <w:spacing w:line="360" w:lineRule="auto"/>
        <w:jc w:val="center"/>
        <w:rPr>
          <w:rFonts w:ascii="Arabic Transparent" w:hAnsi="Arabic Transparent" w:cs="Arabic Transparent"/>
          <w:b/>
          <w:bCs/>
          <w:sz w:val="32"/>
          <w:szCs w:val="32"/>
          <w:rtl/>
          <w:lang w:bidi="ar-JO"/>
        </w:rPr>
      </w:pPr>
      <w:r w:rsidRPr="0033359D">
        <w:rPr>
          <w:rFonts w:ascii="Arabic Transparent" w:hAnsi="Arabic Transparent" w:cs="Arabic Transparent" w:hint="cs"/>
          <w:b/>
          <w:bCs/>
          <w:sz w:val="32"/>
          <w:szCs w:val="32"/>
          <w:rtl/>
          <w:lang w:bidi="ar-JO"/>
        </w:rPr>
        <w:lastRenderedPageBreak/>
        <w:t>قائمة المحتويات</w:t>
      </w:r>
    </w:p>
    <w:tbl>
      <w:tblPr>
        <w:bidiVisual/>
        <w:tblW w:w="9134" w:type="dxa"/>
        <w:tblLook w:val="04A0" w:firstRow="1" w:lastRow="0" w:firstColumn="1" w:lastColumn="0" w:noHBand="0" w:noVBand="1"/>
      </w:tblPr>
      <w:tblGrid>
        <w:gridCol w:w="7433"/>
        <w:gridCol w:w="1701"/>
      </w:tblGrid>
      <w:tr w:rsidR="00CD0CAF" w:rsidRPr="00827CC8" w14:paraId="0AD0CC18" w14:textId="77777777" w:rsidTr="003D6867">
        <w:trPr>
          <w:trHeight w:val="363"/>
        </w:trPr>
        <w:tc>
          <w:tcPr>
            <w:tcW w:w="7433" w:type="dxa"/>
            <w:tcBorders>
              <w:top w:val="single" w:sz="4" w:space="0" w:color="auto"/>
              <w:bottom w:val="single" w:sz="4" w:space="0" w:color="auto"/>
            </w:tcBorders>
          </w:tcPr>
          <w:p w14:paraId="515C89A9" w14:textId="77777777" w:rsidR="00CD0CAF" w:rsidRPr="009C30B9" w:rsidRDefault="00CD0CAF" w:rsidP="00E17952">
            <w:pPr>
              <w:tabs>
                <w:tab w:val="right" w:pos="706"/>
              </w:tabs>
              <w:spacing w:after="0" w:line="240" w:lineRule="auto"/>
              <w:rPr>
                <w:rFonts w:ascii="Arabic Transparent" w:hAnsi="Arabic Transparent" w:cs="Arabic Transparent"/>
                <w:b/>
                <w:bCs/>
                <w:caps/>
                <w:sz w:val="30"/>
                <w:szCs w:val="30"/>
                <w:rtl/>
                <w:lang w:bidi="ar-JO"/>
              </w:rPr>
            </w:pPr>
            <w:r w:rsidRPr="009C30B9">
              <w:rPr>
                <w:rFonts w:ascii="Arabic Transparent" w:hAnsi="Arabic Transparent" w:cs="Arabic Transparent" w:hint="cs"/>
                <w:b/>
                <w:bCs/>
                <w:caps/>
                <w:sz w:val="30"/>
                <w:szCs w:val="30"/>
                <w:rtl/>
                <w:lang w:bidi="ar-JO"/>
              </w:rPr>
              <w:t>المحتويات</w:t>
            </w:r>
          </w:p>
        </w:tc>
        <w:tc>
          <w:tcPr>
            <w:tcW w:w="1701" w:type="dxa"/>
            <w:tcBorders>
              <w:top w:val="single" w:sz="4" w:space="0" w:color="auto"/>
              <w:bottom w:val="single" w:sz="4" w:space="0" w:color="auto"/>
            </w:tcBorders>
          </w:tcPr>
          <w:p w14:paraId="6619E771" w14:textId="77777777" w:rsidR="00CD0CAF" w:rsidRPr="009C30B9" w:rsidRDefault="00CD0CAF" w:rsidP="0033359D">
            <w:pPr>
              <w:tabs>
                <w:tab w:val="right" w:pos="706"/>
              </w:tabs>
              <w:spacing w:after="0" w:line="240" w:lineRule="auto"/>
              <w:jc w:val="center"/>
              <w:rPr>
                <w:rFonts w:ascii="Arabic Transparent" w:hAnsi="Arabic Transparent" w:cs="Arabic Transparent"/>
                <w:b/>
                <w:bCs/>
                <w:caps/>
                <w:sz w:val="30"/>
                <w:szCs w:val="30"/>
                <w:rtl/>
                <w:lang w:bidi="ar-JO"/>
              </w:rPr>
            </w:pPr>
            <w:r w:rsidRPr="009C30B9">
              <w:rPr>
                <w:rFonts w:ascii="Arabic Transparent" w:hAnsi="Arabic Transparent" w:cs="Arabic Transparent" w:hint="cs"/>
                <w:b/>
                <w:bCs/>
                <w:caps/>
                <w:sz w:val="30"/>
                <w:szCs w:val="30"/>
                <w:rtl/>
                <w:lang w:bidi="ar-JO"/>
              </w:rPr>
              <w:t>الصفحة</w:t>
            </w:r>
          </w:p>
        </w:tc>
      </w:tr>
      <w:tr w:rsidR="00CD0CAF" w:rsidRPr="00827CC8" w14:paraId="3700108C" w14:textId="77777777" w:rsidTr="003D6867">
        <w:trPr>
          <w:trHeight w:hRule="exact" w:val="489"/>
        </w:trPr>
        <w:tc>
          <w:tcPr>
            <w:tcW w:w="7433" w:type="dxa"/>
            <w:tcBorders>
              <w:top w:val="single" w:sz="4" w:space="0" w:color="auto"/>
            </w:tcBorders>
          </w:tcPr>
          <w:p w14:paraId="073279BB" w14:textId="5F11330F" w:rsidR="00CD0CAF" w:rsidRPr="009C30B9" w:rsidRDefault="00CD0CAF" w:rsidP="00670D2F">
            <w:pPr>
              <w:tabs>
                <w:tab w:val="right" w:pos="706"/>
              </w:tabs>
              <w:spacing w:line="360" w:lineRule="auto"/>
              <w:jc w:val="both"/>
              <w:rPr>
                <w:rFonts w:ascii="Arabic Transparent" w:hAnsi="Arabic Transparent" w:cs="Arabic Transparent"/>
                <w:sz w:val="30"/>
                <w:szCs w:val="30"/>
                <w:rtl/>
                <w:lang w:bidi="ar-JO"/>
              </w:rPr>
            </w:pPr>
            <w:r w:rsidRPr="009C30B9">
              <w:rPr>
                <w:rFonts w:ascii="Arabic Transparent" w:hAnsi="Arabic Transparent" w:cs="Arabic Transparent" w:hint="cs"/>
                <w:sz w:val="30"/>
                <w:szCs w:val="30"/>
                <w:rtl/>
                <w:lang w:bidi="ar-JO"/>
              </w:rPr>
              <w:t>قرار لجنة المناقشة</w:t>
            </w:r>
          </w:p>
        </w:tc>
        <w:tc>
          <w:tcPr>
            <w:tcW w:w="1701" w:type="dxa"/>
            <w:tcBorders>
              <w:top w:val="single" w:sz="4" w:space="0" w:color="auto"/>
            </w:tcBorders>
          </w:tcPr>
          <w:p w14:paraId="3674B993" w14:textId="77777777" w:rsidR="00CD0CAF" w:rsidRPr="009C30B9" w:rsidRDefault="00CD0CAF" w:rsidP="00670D2F">
            <w:pPr>
              <w:tabs>
                <w:tab w:val="right" w:pos="706"/>
              </w:tabs>
              <w:spacing w:line="360" w:lineRule="auto"/>
              <w:jc w:val="center"/>
              <w:rPr>
                <w:rFonts w:ascii="Arabic Transparent" w:hAnsi="Arabic Transparent" w:cs="Arabic Transparent"/>
                <w:sz w:val="30"/>
                <w:szCs w:val="30"/>
                <w:rtl/>
                <w:lang w:bidi="ar-JO"/>
              </w:rPr>
            </w:pPr>
            <w:r w:rsidRPr="009C30B9">
              <w:rPr>
                <w:rFonts w:ascii="Arabic Transparent" w:hAnsi="Arabic Transparent" w:cs="Arabic Transparent" w:hint="cs"/>
                <w:sz w:val="30"/>
                <w:szCs w:val="30"/>
                <w:rtl/>
                <w:lang w:bidi="ar-JO"/>
              </w:rPr>
              <w:t>ب</w:t>
            </w:r>
          </w:p>
        </w:tc>
      </w:tr>
      <w:tr w:rsidR="00CD0CAF" w:rsidRPr="00827CC8" w14:paraId="3D004B67" w14:textId="77777777" w:rsidTr="003D6867">
        <w:trPr>
          <w:trHeight w:hRule="exact" w:val="489"/>
        </w:trPr>
        <w:tc>
          <w:tcPr>
            <w:tcW w:w="7433" w:type="dxa"/>
          </w:tcPr>
          <w:p w14:paraId="1887A407" w14:textId="31E0ADA0" w:rsidR="00CD0CAF" w:rsidRPr="009C30B9" w:rsidRDefault="00CD0CAF" w:rsidP="00670D2F">
            <w:pPr>
              <w:tabs>
                <w:tab w:val="right" w:pos="706"/>
              </w:tabs>
              <w:spacing w:line="360" w:lineRule="auto"/>
              <w:jc w:val="both"/>
              <w:rPr>
                <w:rFonts w:ascii="Arabic Transparent" w:hAnsi="Arabic Transparent" w:cs="Arabic Transparent"/>
                <w:sz w:val="30"/>
                <w:szCs w:val="30"/>
                <w:rtl/>
                <w:lang w:bidi="ar-JO"/>
              </w:rPr>
            </w:pPr>
            <w:r w:rsidRPr="009C30B9">
              <w:rPr>
                <w:rFonts w:ascii="Arabic Transparent" w:hAnsi="Arabic Transparent" w:cs="Arabic Transparent" w:hint="cs"/>
                <w:sz w:val="30"/>
                <w:szCs w:val="30"/>
                <w:rtl/>
                <w:lang w:bidi="ar-JO"/>
              </w:rPr>
              <w:t>التفويض</w:t>
            </w:r>
          </w:p>
        </w:tc>
        <w:tc>
          <w:tcPr>
            <w:tcW w:w="1701" w:type="dxa"/>
          </w:tcPr>
          <w:p w14:paraId="26AC59DD" w14:textId="77777777" w:rsidR="00CD0CAF" w:rsidRPr="009C30B9" w:rsidRDefault="00CD0CAF" w:rsidP="00670D2F">
            <w:pPr>
              <w:tabs>
                <w:tab w:val="right" w:pos="706"/>
              </w:tabs>
              <w:spacing w:line="360" w:lineRule="auto"/>
              <w:jc w:val="center"/>
              <w:rPr>
                <w:rFonts w:ascii="Arabic Transparent" w:hAnsi="Arabic Transparent" w:cs="Arabic Transparent"/>
                <w:sz w:val="30"/>
                <w:szCs w:val="30"/>
                <w:rtl/>
                <w:lang w:bidi="ar-JO"/>
              </w:rPr>
            </w:pPr>
            <w:r w:rsidRPr="009C30B9">
              <w:rPr>
                <w:rFonts w:ascii="Arabic Transparent" w:hAnsi="Arabic Transparent" w:cs="Arabic Transparent" w:hint="cs"/>
                <w:sz w:val="30"/>
                <w:szCs w:val="30"/>
                <w:rtl/>
                <w:lang w:bidi="ar-JO"/>
              </w:rPr>
              <w:t>-</w:t>
            </w:r>
          </w:p>
        </w:tc>
      </w:tr>
      <w:tr w:rsidR="00CD0CAF" w:rsidRPr="00827CC8" w14:paraId="08F48891" w14:textId="77777777" w:rsidTr="003D6867">
        <w:trPr>
          <w:trHeight w:hRule="exact" w:val="489"/>
        </w:trPr>
        <w:tc>
          <w:tcPr>
            <w:tcW w:w="7433" w:type="dxa"/>
          </w:tcPr>
          <w:p w14:paraId="4F597945" w14:textId="1371B18A" w:rsidR="00CD0CAF" w:rsidRPr="009C30B9" w:rsidRDefault="00CD0CAF" w:rsidP="00670D2F">
            <w:pPr>
              <w:tabs>
                <w:tab w:val="right" w:pos="706"/>
              </w:tabs>
              <w:spacing w:line="360" w:lineRule="auto"/>
              <w:jc w:val="both"/>
              <w:rPr>
                <w:rFonts w:ascii="Arabic Transparent" w:hAnsi="Arabic Transparent" w:cs="Arabic Transparent"/>
                <w:sz w:val="30"/>
                <w:szCs w:val="30"/>
                <w:rtl/>
                <w:lang w:bidi="ar-JO"/>
              </w:rPr>
            </w:pPr>
            <w:r w:rsidRPr="009C30B9">
              <w:rPr>
                <w:rFonts w:ascii="Arabic Transparent" w:hAnsi="Arabic Transparent" w:cs="Arabic Transparent" w:hint="cs"/>
                <w:sz w:val="30"/>
                <w:szCs w:val="30"/>
                <w:rtl/>
                <w:lang w:bidi="ar-JO"/>
              </w:rPr>
              <w:t>الإهداء</w:t>
            </w:r>
          </w:p>
        </w:tc>
        <w:tc>
          <w:tcPr>
            <w:tcW w:w="1701" w:type="dxa"/>
          </w:tcPr>
          <w:p w14:paraId="368E3784" w14:textId="77777777" w:rsidR="00CD0CAF" w:rsidRPr="009C30B9" w:rsidRDefault="00CD0CAF" w:rsidP="00670D2F">
            <w:pPr>
              <w:tabs>
                <w:tab w:val="right" w:pos="706"/>
              </w:tabs>
              <w:spacing w:line="360" w:lineRule="auto"/>
              <w:jc w:val="center"/>
              <w:rPr>
                <w:rFonts w:ascii="Arabic Transparent" w:hAnsi="Arabic Transparent" w:cs="Arabic Transparent"/>
                <w:sz w:val="30"/>
                <w:szCs w:val="30"/>
                <w:rtl/>
                <w:lang w:bidi="ar-JO"/>
              </w:rPr>
            </w:pPr>
            <w:r w:rsidRPr="009C30B9">
              <w:rPr>
                <w:rFonts w:ascii="Arabic Transparent" w:hAnsi="Arabic Transparent" w:cs="Arabic Transparent" w:hint="cs"/>
                <w:sz w:val="30"/>
                <w:szCs w:val="30"/>
                <w:rtl/>
                <w:lang w:bidi="ar-JO"/>
              </w:rPr>
              <w:t>ج</w:t>
            </w:r>
          </w:p>
        </w:tc>
      </w:tr>
      <w:tr w:rsidR="00CD0CAF" w:rsidRPr="00827CC8" w14:paraId="62474CD1" w14:textId="77777777" w:rsidTr="003D6867">
        <w:trPr>
          <w:trHeight w:hRule="exact" w:val="489"/>
        </w:trPr>
        <w:tc>
          <w:tcPr>
            <w:tcW w:w="7433" w:type="dxa"/>
          </w:tcPr>
          <w:p w14:paraId="2827CC56" w14:textId="0BB4A984" w:rsidR="00CD0CAF" w:rsidRPr="009C30B9" w:rsidRDefault="00CD0CAF" w:rsidP="00670D2F">
            <w:pPr>
              <w:tabs>
                <w:tab w:val="right" w:pos="706"/>
              </w:tabs>
              <w:spacing w:line="360" w:lineRule="auto"/>
              <w:jc w:val="both"/>
              <w:rPr>
                <w:rFonts w:ascii="Arabic Transparent" w:hAnsi="Arabic Transparent" w:cs="Arabic Transparent"/>
                <w:sz w:val="30"/>
                <w:szCs w:val="30"/>
                <w:rtl/>
                <w:lang w:bidi="ar-JO"/>
              </w:rPr>
            </w:pPr>
            <w:r w:rsidRPr="009C30B9">
              <w:rPr>
                <w:rFonts w:ascii="Arabic Transparent" w:hAnsi="Arabic Transparent" w:cs="Arabic Transparent" w:hint="cs"/>
                <w:sz w:val="30"/>
                <w:szCs w:val="30"/>
                <w:rtl/>
                <w:lang w:bidi="ar-JO"/>
              </w:rPr>
              <w:t>الشكر والتقدير</w:t>
            </w:r>
          </w:p>
        </w:tc>
        <w:tc>
          <w:tcPr>
            <w:tcW w:w="1701" w:type="dxa"/>
          </w:tcPr>
          <w:p w14:paraId="19D6D8C9" w14:textId="77777777" w:rsidR="00CD0CAF" w:rsidRPr="009C30B9" w:rsidRDefault="00CD0CAF" w:rsidP="00670D2F">
            <w:pPr>
              <w:tabs>
                <w:tab w:val="right" w:pos="706"/>
              </w:tabs>
              <w:spacing w:line="360" w:lineRule="auto"/>
              <w:jc w:val="center"/>
              <w:rPr>
                <w:rFonts w:ascii="Arabic Transparent" w:hAnsi="Arabic Transparent" w:cs="Arabic Transparent"/>
                <w:sz w:val="30"/>
                <w:szCs w:val="30"/>
                <w:rtl/>
                <w:lang w:bidi="ar-JO"/>
              </w:rPr>
            </w:pPr>
            <w:r w:rsidRPr="009C30B9">
              <w:rPr>
                <w:rFonts w:ascii="Arabic Transparent" w:hAnsi="Arabic Transparent" w:cs="Arabic Transparent" w:hint="cs"/>
                <w:sz w:val="30"/>
                <w:szCs w:val="30"/>
                <w:rtl/>
                <w:lang w:bidi="ar-JO"/>
              </w:rPr>
              <w:t>د</w:t>
            </w:r>
          </w:p>
        </w:tc>
      </w:tr>
      <w:tr w:rsidR="00CD0CAF" w:rsidRPr="00827CC8" w14:paraId="34AF9E5E" w14:textId="77777777" w:rsidTr="003D6867">
        <w:trPr>
          <w:trHeight w:hRule="exact" w:val="489"/>
        </w:trPr>
        <w:tc>
          <w:tcPr>
            <w:tcW w:w="7433" w:type="dxa"/>
          </w:tcPr>
          <w:p w14:paraId="645AD7CC" w14:textId="2CD7F124" w:rsidR="00CD0CAF" w:rsidRPr="009C30B9" w:rsidRDefault="00CD0CAF" w:rsidP="00670D2F">
            <w:pPr>
              <w:tabs>
                <w:tab w:val="right" w:pos="706"/>
              </w:tabs>
              <w:spacing w:line="360" w:lineRule="auto"/>
              <w:jc w:val="both"/>
              <w:rPr>
                <w:rFonts w:ascii="Arabic Transparent" w:hAnsi="Arabic Transparent" w:cs="Arabic Transparent"/>
                <w:sz w:val="30"/>
                <w:szCs w:val="30"/>
                <w:rtl/>
                <w:lang w:bidi="ar-JO"/>
              </w:rPr>
            </w:pPr>
            <w:r w:rsidRPr="009C30B9">
              <w:rPr>
                <w:rFonts w:ascii="Arabic Transparent" w:hAnsi="Arabic Transparent" w:cs="Arabic Transparent" w:hint="cs"/>
                <w:sz w:val="30"/>
                <w:szCs w:val="30"/>
                <w:rtl/>
                <w:lang w:bidi="ar-JO"/>
              </w:rPr>
              <w:t>قائمة المحتويات</w:t>
            </w:r>
          </w:p>
        </w:tc>
        <w:tc>
          <w:tcPr>
            <w:tcW w:w="1701" w:type="dxa"/>
          </w:tcPr>
          <w:p w14:paraId="0C15A034" w14:textId="77777777" w:rsidR="00CD0CAF" w:rsidRPr="009C30B9" w:rsidRDefault="00CD0CAF" w:rsidP="00670D2F">
            <w:pPr>
              <w:tabs>
                <w:tab w:val="right" w:pos="706"/>
              </w:tabs>
              <w:spacing w:line="360" w:lineRule="auto"/>
              <w:jc w:val="center"/>
              <w:rPr>
                <w:rFonts w:ascii="Arabic Transparent" w:hAnsi="Arabic Transparent" w:cs="Arabic Transparent"/>
                <w:sz w:val="30"/>
                <w:szCs w:val="30"/>
                <w:rtl/>
                <w:lang w:bidi="ar-JO"/>
              </w:rPr>
            </w:pPr>
            <w:r w:rsidRPr="009C30B9">
              <w:rPr>
                <w:rFonts w:ascii="Arabic Transparent" w:hAnsi="Arabic Transparent" w:cs="Arabic Transparent" w:hint="cs"/>
                <w:sz w:val="30"/>
                <w:szCs w:val="30"/>
                <w:rtl/>
                <w:lang w:bidi="ar-JO"/>
              </w:rPr>
              <w:t>ه</w:t>
            </w:r>
            <w:r w:rsidR="00D80E37" w:rsidRPr="009C30B9">
              <w:rPr>
                <w:rFonts w:ascii="Arabic Transparent" w:hAnsi="Arabic Transparent" w:cs="Arabic Transparent" w:hint="cs"/>
                <w:sz w:val="30"/>
                <w:szCs w:val="30"/>
                <w:rtl/>
                <w:lang w:bidi="ar-JO"/>
              </w:rPr>
              <w:t>ـ</w:t>
            </w:r>
          </w:p>
        </w:tc>
      </w:tr>
      <w:tr w:rsidR="00CD0CAF" w:rsidRPr="00827CC8" w14:paraId="00CEC371" w14:textId="77777777" w:rsidTr="003D6867">
        <w:trPr>
          <w:trHeight w:hRule="exact" w:val="489"/>
        </w:trPr>
        <w:tc>
          <w:tcPr>
            <w:tcW w:w="7433" w:type="dxa"/>
          </w:tcPr>
          <w:p w14:paraId="505B4DD2" w14:textId="734AB0CA" w:rsidR="00CD0CAF" w:rsidRPr="009C30B9" w:rsidRDefault="00CD0CAF" w:rsidP="00670D2F">
            <w:pPr>
              <w:tabs>
                <w:tab w:val="right" w:pos="706"/>
              </w:tabs>
              <w:spacing w:line="360" w:lineRule="auto"/>
              <w:jc w:val="both"/>
              <w:rPr>
                <w:rFonts w:ascii="Arabic Transparent" w:hAnsi="Arabic Transparent" w:cs="Arabic Transparent"/>
                <w:sz w:val="30"/>
                <w:szCs w:val="30"/>
                <w:rtl/>
                <w:lang w:bidi="ar-JO"/>
              </w:rPr>
            </w:pPr>
            <w:r w:rsidRPr="009C30B9">
              <w:rPr>
                <w:rFonts w:ascii="Arabic Transparent" w:hAnsi="Arabic Transparent" w:cs="Arabic Transparent" w:hint="cs"/>
                <w:sz w:val="30"/>
                <w:szCs w:val="30"/>
                <w:rtl/>
                <w:lang w:bidi="ar-JO"/>
              </w:rPr>
              <w:t>الملخص باللغة العربية</w:t>
            </w:r>
          </w:p>
        </w:tc>
        <w:tc>
          <w:tcPr>
            <w:tcW w:w="1701" w:type="dxa"/>
          </w:tcPr>
          <w:p w14:paraId="59C54AAD" w14:textId="77777777" w:rsidR="00CD0CAF" w:rsidRPr="009C30B9" w:rsidRDefault="00D80E37" w:rsidP="00670D2F">
            <w:pPr>
              <w:tabs>
                <w:tab w:val="right" w:pos="706"/>
              </w:tabs>
              <w:spacing w:line="360" w:lineRule="auto"/>
              <w:jc w:val="center"/>
              <w:rPr>
                <w:rFonts w:ascii="Arabic Transparent" w:hAnsi="Arabic Transparent" w:cs="Arabic Transparent"/>
                <w:sz w:val="30"/>
                <w:szCs w:val="30"/>
                <w:rtl/>
                <w:lang w:bidi="ar-JO"/>
              </w:rPr>
            </w:pPr>
            <w:r w:rsidRPr="009C30B9">
              <w:rPr>
                <w:rFonts w:ascii="Arabic Transparent" w:hAnsi="Arabic Transparent" w:cs="Arabic Transparent" w:hint="cs"/>
                <w:sz w:val="30"/>
                <w:szCs w:val="30"/>
                <w:rtl/>
                <w:lang w:bidi="ar-JO"/>
              </w:rPr>
              <w:t>ط</w:t>
            </w:r>
          </w:p>
        </w:tc>
      </w:tr>
      <w:tr w:rsidR="00CD0CAF" w:rsidRPr="00827CC8" w14:paraId="307BEAEE" w14:textId="77777777" w:rsidTr="003D6867">
        <w:trPr>
          <w:trHeight w:hRule="exact" w:val="489"/>
        </w:trPr>
        <w:tc>
          <w:tcPr>
            <w:tcW w:w="7433" w:type="dxa"/>
          </w:tcPr>
          <w:p w14:paraId="172C6B71" w14:textId="77777777" w:rsidR="00CD0CAF" w:rsidRPr="009C30B9" w:rsidRDefault="00CD0CAF" w:rsidP="00670D2F">
            <w:pPr>
              <w:tabs>
                <w:tab w:val="right" w:pos="706"/>
              </w:tabs>
              <w:spacing w:line="360" w:lineRule="auto"/>
              <w:jc w:val="both"/>
              <w:rPr>
                <w:rFonts w:ascii="Arabic Transparent" w:hAnsi="Arabic Transparent" w:cs="Arabic Transparent"/>
                <w:sz w:val="30"/>
                <w:szCs w:val="30"/>
                <w:rtl/>
                <w:lang w:bidi="ar-JO"/>
              </w:rPr>
            </w:pPr>
            <w:r w:rsidRPr="009C30B9">
              <w:rPr>
                <w:rFonts w:ascii="Arabic Transparent" w:hAnsi="Arabic Transparent" w:cs="Arabic Transparent" w:hint="cs"/>
                <w:sz w:val="30"/>
                <w:szCs w:val="30"/>
                <w:rtl/>
                <w:lang w:bidi="ar-JO"/>
              </w:rPr>
              <w:t>الملخص باللغة الإنجليزية</w:t>
            </w:r>
          </w:p>
        </w:tc>
        <w:tc>
          <w:tcPr>
            <w:tcW w:w="1701" w:type="dxa"/>
          </w:tcPr>
          <w:p w14:paraId="1E229A08" w14:textId="77777777" w:rsidR="00CD0CAF" w:rsidRPr="009C30B9" w:rsidRDefault="00D80E37" w:rsidP="00670D2F">
            <w:pPr>
              <w:tabs>
                <w:tab w:val="right" w:pos="706"/>
              </w:tabs>
              <w:spacing w:line="360" w:lineRule="auto"/>
              <w:jc w:val="center"/>
              <w:rPr>
                <w:rFonts w:ascii="Arabic Transparent" w:hAnsi="Arabic Transparent" w:cs="Arabic Transparent"/>
                <w:sz w:val="30"/>
                <w:szCs w:val="30"/>
                <w:rtl/>
                <w:lang w:bidi="ar-JO"/>
              </w:rPr>
            </w:pPr>
            <w:r w:rsidRPr="009C30B9">
              <w:rPr>
                <w:rFonts w:ascii="Arabic Transparent" w:hAnsi="Arabic Transparent" w:cs="Arabic Transparent" w:hint="cs"/>
                <w:sz w:val="30"/>
                <w:szCs w:val="30"/>
                <w:rtl/>
                <w:lang w:bidi="ar-JO"/>
              </w:rPr>
              <w:t>ي</w:t>
            </w:r>
          </w:p>
        </w:tc>
      </w:tr>
      <w:tr w:rsidR="00CD0CAF" w:rsidRPr="00827CC8" w14:paraId="6AB28FB2" w14:textId="77777777" w:rsidTr="003D6867">
        <w:trPr>
          <w:trHeight w:hRule="exact" w:val="489"/>
        </w:trPr>
        <w:tc>
          <w:tcPr>
            <w:tcW w:w="7433" w:type="dxa"/>
          </w:tcPr>
          <w:p w14:paraId="1CF06945" w14:textId="5C59F5DA" w:rsidR="00CD0CAF" w:rsidRPr="00670D2F" w:rsidRDefault="00CD0CAF" w:rsidP="00670D2F">
            <w:pPr>
              <w:tabs>
                <w:tab w:val="right" w:pos="706"/>
              </w:tabs>
              <w:spacing w:line="360" w:lineRule="auto"/>
              <w:ind w:left="1091"/>
              <w:jc w:val="center"/>
              <w:rPr>
                <w:rFonts w:ascii="Arabic Transparent" w:hAnsi="Arabic Transparent" w:cs="Arabic Transparent"/>
                <w:b/>
                <w:bCs/>
                <w:sz w:val="32"/>
                <w:szCs w:val="32"/>
                <w:rtl/>
                <w:lang w:bidi="ar-JO"/>
              </w:rPr>
            </w:pPr>
            <w:r w:rsidRPr="00670D2F">
              <w:rPr>
                <w:rFonts w:ascii="Arabic Transparent" w:hAnsi="Arabic Transparent" w:cs="Arabic Transparent" w:hint="cs"/>
                <w:b/>
                <w:bCs/>
                <w:sz w:val="32"/>
                <w:szCs w:val="32"/>
                <w:rtl/>
                <w:lang w:bidi="ar-JO"/>
              </w:rPr>
              <w:t>المقدمة</w:t>
            </w:r>
          </w:p>
        </w:tc>
        <w:tc>
          <w:tcPr>
            <w:tcW w:w="1701" w:type="dxa"/>
          </w:tcPr>
          <w:p w14:paraId="4E032BC2" w14:textId="77777777" w:rsidR="00CD0CAF" w:rsidRPr="009C30B9" w:rsidRDefault="00D80E37" w:rsidP="00670D2F">
            <w:pPr>
              <w:tabs>
                <w:tab w:val="right" w:pos="706"/>
              </w:tabs>
              <w:spacing w:line="360" w:lineRule="auto"/>
              <w:jc w:val="center"/>
              <w:rPr>
                <w:rFonts w:ascii="Arabic Transparent" w:hAnsi="Arabic Transparent" w:cs="Arabic Transparent"/>
                <w:sz w:val="30"/>
                <w:szCs w:val="30"/>
                <w:rtl/>
                <w:lang w:bidi="ar-JO"/>
              </w:rPr>
            </w:pPr>
            <w:r w:rsidRPr="009C30B9">
              <w:rPr>
                <w:rFonts w:ascii="Arabic Transparent" w:hAnsi="Arabic Transparent" w:cs="Arabic Transparent" w:hint="cs"/>
                <w:sz w:val="30"/>
                <w:szCs w:val="30"/>
                <w:rtl/>
                <w:lang w:bidi="ar-JO"/>
              </w:rPr>
              <w:t>1</w:t>
            </w:r>
          </w:p>
        </w:tc>
      </w:tr>
      <w:tr w:rsidR="00CD0CAF" w:rsidRPr="00827CC8" w14:paraId="52115B19" w14:textId="77777777" w:rsidTr="003D6867">
        <w:trPr>
          <w:trHeight w:hRule="exact" w:val="489"/>
        </w:trPr>
        <w:tc>
          <w:tcPr>
            <w:tcW w:w="7433" w:type="dxa"/>
          </w:tcPr>
          <w:p w14:paraId="5F3F9C7E" w14:textId="77777777" w:rsidR="00CD0CAF" w:rsidRPr="009C30B9" w:rsidRDefault="00D80E37" w:rsidP="00670D2F">
            <w:pPr>
              <w:tabs>
                <w:tab w:val="right" w:pos="706"/>
              </w:tabs>
              <w:spacing w:line="360" w:lineRule="auto"/>
              <w:jc w:val="both"/>
              <w:rPr>
                <w:rFonts w:ascii="Arabic Transparent" w:hAnsi="Arabic Transparent" w:cs="Arabic Transparent"/>
                <w:sz w:val="30"/>
                <w:szCs w:val="30"/>
                <w:rtl/>
                <w:lang w:bidi="ar-JO"/>
              </w:rPr>
            </w:pPr>
            <w:r w:rsidRPr="009C30B9">
              <w:rPr>
                <w:rFonts w:ascii="Arabic Transparent" w:hAnsi="Arabic Transparent" w:cs="Arabic Transparent" w:hint="cs"/>
                <w:sz w:val="30"/>
                <w:szCs w:val="30"/>
                <w:rtl/>
                <w:lang w:bidi="ar-JO"/>
              </w:rPr>
              <w:t>مشكلة الدراسة</w:t>
            </w:r>
          </w:p>
        </w:tc>
        <w:tc>
          <w:tcPr>
            <w:tcW w:w="1701" w:type="dxa"/>
          </w:tcPr>
          <w:p w14:paraId="26637F24" w14:textId="77777777" w:rsidR="00CD0CAF" w:rsidRPr="009C30B9" w:rsidRDefault="00D80E37" w:rsidP="00670D2F">
            <w:pPr>
              <w:tabs>
                <w:tab w:val="right" w:pos="706"/>
              </w:tabs>
              <w:spacing w:line="360" w:lineRule="auto"/>
              <w:jc w:val="center"/>
              <w:rPr>
                <w:rFonts w:ascii="Arabic Transparent" w:hAnsi="Arabic Transparent" w:cs="Arabic Transparent"/>
                <w:sz w:val="30"/>
                <w:szCs w:val="30"/>
                <w:rtl/>
                <w:lang w:bidi="ar-JO"/>
              </w:rPr>
            </w:pPr>
            <w:r w:rsidRPr="009C30B9">
              <w:rPr>
                <w:rFonts w:ascii="Arabic Transparent" w:hAnsi="Arabic Transparent" w:cs="Arabic Transparent" w:hint="cs"/>
                <w:sz w:val="30"/>
                <w:szCs w:val="30"/>
                <w:rtl/>
                <w:lang w:bidi="ar-JO"/>
              </w:rPr>
              <w:t>1</w:t>
            </w:r>
          </w:p>
        </w:tc>
      </w:tr>
      <w:tr w:rsidR="00CD0CAF" w:rsidRPr="00827CC8" w14:paraId="11943AE4" w14:textId="77777777" w:rsidTr="003D6867">
        <w:trPr>
          <w:trHeight w:hRule="exact" w:val="489"/>
        </w:trPr>
        <w:tc>
          <w:tcPr>
            <w:tcW w:w="7433" w:type="dxa"/>
          </w:tcPr>
          <w:p w14:paraId="7EE0B1CF" w14:textId="77777777" w:rsidR="00CD0CAF" w:rsidRPr="009C30B9" w:rsidRDefault="00D80E37" w:rsidP="00670D2F">
            <w:pPr>
              <w:tabs>
                <w:tab w:val="right" w:pos="706"/>
              </w:tabs>
              <w:spacing w:line="360" w:lineRule="auto"/>
              <w:jc w:val="both"/>
              <w:rPr>
                <w:rFonts w:ascii="Arabic Transparent" w:hAnsi="Arabic Transparent" w:cs="Arabic Transparent"/>
                <w:sz w:val="30"/>
                <w:szCs w:val="30"/>
                <w:rtl/>
                <w:lang w:bidi="ar-JO"/>
              </w:rPr>
            </w:pPr>
            <w:r w:rsidRPr="009C30B9">
              <w:rPr>
                <w:rFonts w:ascii="Arabic Transparent" w:hAnsi="Arabic Transparent" w:cs="Arabic Transparent" w:hint="cs"/>
                <w:sz w:val="30"/>
                <w:szCs w:val="30"/>
                <w:rtl/>
                <w:lang w:bidi="ar-JO"/>
              </w:rPr>
              <w:t>أهداف الدراسة</w:t>
            </w:r>
          </w:p>
        </w:tc>
        <w:tc>
          <w:tcPr>
            <w:tcW w:w="1701" w:type="dxa"/>
          </w:tcPr>
          <w:p w14:paraId="0D124957" w14:textId="1E43E005" w:rsidR="00CD0CAF" w:rsidRPr="009C30B9" w:rsidRDefault="00E94108" w:rsidP="00670D2F">
            <w:pPr>
              <w:tabs>
                <w:tab w:val="right" w:pos="706"/>
              </w:tabs>
              <w:spacing w:line="360" w:lineRule="auto"/>
              <w:jc w:val="center"/>
              <w:rPr>
                <w:rFonts w:ascii="Arabic Transparent" w:hAnsi="Arabic Transparent" w:cs="Arabic Transparent"/>
                <w:sz w:val="30"/>
                <w:szCs w:val="30"/>
                <w:rtl/>
                <w:lang w:bidi="ar-JO"/>
              </w:rPr>
            </w:pPr>
            <w:r>
              <w:rPr>
                <w:rFonts w:ascii="Arabic Transparent" w:hAnsi="Arabic Transparent" w:cs="Arabic Transparent" w:hint="cs"/>
                <w:sz w:val="30"/>
                <w:szCs w:val="30"/>
                <w:rtl/>
                <w:lang w:bidi="ar-JO"/>
              </w:rPr>
              <w:t>2</w:t>
            </w:r>
          </w:p>
        </w:tc>
      </w:tr>
      <w:tr w:rsidR="00CD0CAF" w:rsidRPr="00827CC8" w14:paraId="3863DA9F" w14:textId="77777777" w:rsidTr="003D6867">
        <w:trPr>
          <w:trHeight w:hRule="exact" w:val="489"/>
        </w:trPr>
        <w:tc>
          <w:tcPr>
            <w:tcW w:w="7433" w:type="dxa"/>
          </w:tcPr>
          <w:p w14:paraId="7EA3FDB6" w14:textId="17271E3F" w:rsidR="00CD0CAF" w:rsidRPr="009C30B9" w:rsidRDefault="00D80E37" w:rsidP="00670D2F">
            <w:pPr>
              <w:tabs>
                <w:tab w:val="right" w:pos="706"/>
              </w:tabs>
              <w:spacing w:line="360" w:lineRule="auto"/>
              <w:jc w:val="both"/>
              <w:rPr>
                <w:rFonts w:ascii="Arabic Transparent" w:hAnsi="Arabic Transparent" w:cs="Arabic Transparent"/>
                <w:sz w:val="30"/>
                <w:szCs w:val="30"/>
                <w:rtl/>
                <w:lang w:bidi="ar-JO"/>
              </w:rPr>
            </w:pPr>
            <w:r w:rsidRPr="009C30B9">
              <w:rPr>
                <w:rFonts w:ascii="Arabic Transparent" w:hAnsi="Arabic Transparent" w:cs="Arabic Transparent" w:hint="cs"/>
                <w:sz w:val="30"/>
                <w:szCs w:val="30"/>
                <w:rtl/>
                <w:lang w:bidi="ar-JO"/>
              </w:rPr>
              <w:t>أهمي</w:t>
            </w:r>
            <w:r w:rsidR="00BD5460">
              <w:rPr>
                <w:rFonts w:ascii="Arabic Transparent" w:hAnsi="Arabic Transparent" w:cs="Arabic Transparent" w:hint="cs"/>
                <w:sz w:val="30"/>
                <w:szCs w:val="30"/>
                <w:rtl/>
                <w:lang w:bidi="ar-JO"/>
              </w:rPr>
              <w:t>ّ</w:t>
            </w:r>
            <w:r w:rsidRPr="009C30B9">
              <w:rPr>
                <w:rFonts w:ascii="Arabic Transparent" w:hAnsi="Arabic Transparent" w:cs="Arabic Transparent" w:hint="cs"/>
                <w:sz w:val="30"/>
                <w:szCs w:val="30"/>
                <w:rtl/>
                <w:lang w:bidi="ar-JO"/>
              </w:rPr>
              <w:t>ة الدراسة</w:t>
            </w:r>
          </w:p>
        </w:tc>
        <w:tc>
          <w:tcPr>
            <w:tcW w:w="1701" w:type="dxa"/>
          </w:tcPr>
          <w:p w14:paraId="74493ADB" w14:textId="2CF5E14E" w:rsidR="00CD0CAF" w:rsidRPr="009C30B9" w:rsidRDefault="00E94108" w:rsidP="00670D2F">
            <w:pPr>
              <w:tabs>
                <w:tab w:val="right" w:pos="706"/>
              </w:tabs>
              <w:spacing w:line="360" w:lineRule="auto"/>
              <w:jc w:val="center"/>
              <w:rPr>
                <w:rFonts w:ascii="Arabic Transparent" w:hAnsi="Arabic Transparent" w:cs="Arabic Transparent"/>
                <w:sz w:val="30"/>
                <w:szCs w:val="30"/>
                <w:rtl/>
                <w:lang w:bidi="ar-JO"/>
              </w:rPr>
            </w:pPr>
            <w:r>
              <w:rPr>
                <w:rFonts w:ascii="Arabic Transparent" w:hAnsi="Arabic Transparent" w:cs="Arabic Transparent" w:hint="cs"/>
                <w:sz w:val="30"/>
                <w:szCs w:val="30"/>
                <w:rtl/>
                <w:lang w:bidi="ar-JO"/>
              </w:rPr>
              <w:t>2</w:t>
            </w:r>
          </w:p>
        </w:tc>
      </w:tr>
      <w:tr w:rsidR="00CD0CAF" w:rsidRPr="00827CC8" w14:paraId="33B23790" w14:textId="77777777" w:rsidTr="003D6867">
        <w:trPr>
          <w:trHeight w:hRule="exact" w:val="489"/>
        </w:trPr>
        <w:tc>
          <w:tcPr>
            <w:tcW w:w="7433" w:type="dxa"/>
          </w:tcPr>
          <w:p w14:paraId="69C6D15D" w14:textId="77777777" w:rsidR="00CD0CAF" w:rsidRPr="009C30B9" w:rsidRDefault="00D80E37" w:rsidP="00670D2F">
            <w:pPr>
              <w:tabs>
                <w:tab w:val="right" w:pos="706"/>
              </w:tabs>
              <w:spacing w:line="360" w:lineRule="auto"/>
              <w:jc w:val="both"/>
              <w:rPr>
                <w:rFonts w:ascii="Arabic Transparent" w:hAnsi="Arabic Transparent" w:cs="Arabic Transparent"/>
                <w:sz w:val="30"/>
                <w:szCs w:val="30"/>
                <w:rtl/>
                <w:lang w:bidi="ar-JO"/>
              </w:rPr>
            </w:pPr>
            <w:r w:rsidRPr="009C30B9">
              <w:rPr>
                <w:rFonts w:ascii="Arabic Transparent" w:hAnsi="Arabic Transparent" w:cs="Arabic Transparent" w:hint="cs"/>
                <w:sz w:val="30"/>
                <w:szCs w:val="30"/>
                <w:rtl/>
                <w:lang w:bidi="ar-JO"/>
              </w:rPr>
              <w:t>الدراسات السابقة</w:t>
            </w:r>
          </w:p>
        </w:tc>
        <w:tc>
          <w:tcPr>
            <w:tcW w:w="1701" w:type="dxa"/>
          </w:tcPr>
          <w:p w14:paraId="0B5AC131" w14:textId="6FD13DBB" w:rsidR="00CD0CAF" w:rsidRPr="009C30B9" w:rsidRDefault="00E94108" w:rsidP="00670D2F">
            <w:pPr>
              <w:tabs>
                <w:tab w:val="right" w:pos="706"/>
              </w:tabs>
              <w:spacing w:line="360" w:lineRule="auto"/>
              <w:jc w:val="center"/>
              <w:rPr>
                <w:rFonts w:ascii="Arabic Transparent" w:hAnsi="Arabic Transparent" w:cs="Arabic Transparent"/>
                <w:sz w:val="30"/>
                <w:szCs w:val="30"/>
                <w:rtl/>
                <w:lang w:bidi="ar-JO"/>
              </w:rPr>
            </w:pPr>
            <w:r>
              <w:rPr>
                <w:rFonts w:ascii="Arabic Transparent" w:hAnsi="Arabic Transparent" w:cs="Arabic Transparent" w:hint="cs"/>
                <w:sz w:val="30"/>
                <w:szCs w:val="30"/>
                <w:rtl/>
                <w:lang w:bidi="ar-JO"/>
              </w:rPr>
              <w:t>2</w:t>
            </w:r>
          </w:p>
        </w:tc>
      </w:tr>
      <w:tr w:rsidR="00CD0CAF" w:rsidRPr="00827CC8" w14:paraId="2F74665A" w14:textId="77777777" w:rsidTr="003D6867">
        <w:trPr>
          <w:trHeight w:hRule="exact" w:val="489"/>
        </w:trPr>
        <w:tc>
          <w:tcPr>
            <w:tcW w:w="7433" w:type="dxa"/>
          </w:tcPr>
          <w:p w14:paraId="570A6315" w14:textId="77777777" w:rsidR="00CD0CAF" w:rsidRPr="009C30B9" w:rsidRDefault="00D80E37" w:rsidP="00670D2F">
            <w:pPr>
              <w:tabs>
                <w:tab w:val="right" w:pos="706"/>
              </w:tabs>
              <w:spacing w:line="360" w:lineRule="auto"/>
              <w:jc w:val="both"/>
              <w:rPr>
                <w:rFonts w:ascii="Arabic Transparent" w:hAnsi="Arabic Transparent" w:cs="Arabic Transparent"/>
                <w:sz w:val="30"/>
                <w:szCs w:val="30"/>
                <w:rtl/>
                <w:lang w:bidi="ar-JO"/>
              </w:rPr>
            </w:pPr>
            <w:r w:rsidRPr="009C30B9">
              <w:rPr>
                <w:rFonts w:ascii="Arabic Transparent" w:hAnsi="Arabic Transparent" w:cs="Arabic Transparent" w:hint="cs"/>
                <w:sz w:val="30"/>
                <w:szCs w:val="30"/>
                <w:rtl/>
                <w:lang w:bidi="ar-JO"/>
              </w:rPr>
              <w:t xml:space="preserve">منهج الدراسة </w:t>
            </w:r>
          </w:p>
        </w:tc>
        <w:tc>
          <w:tcPr>
            <w:tcW w:w="1701" w:type="dxa"/>
          </w:tcPr>
          <w:p w14:paraId="4487F951" w14:textId="6341F82D" w:rsidR="00CD0CAF" w:rsidRPr="009C30B9" w:rsidRDefault="00E94108" w:rsidP="00670D2F">
            <w:pPr>
              <w:tabs>
                <w:tab w:val="right" w:pos="706"/>
              </w:tabs>
              <w:spacing w:line="360" w:lineRule="auto"/>
              <w:jc w:val="center"/>
              <w:rPr>
                <w:rFonts w:ascii="Arabic Transparent" w:hAnsi="Arabic Transparent" w:cs="Arabic Transparent"/>
                <w:sz w:val="30"/>
                <w:szCs w:val="30"/>
                <w:rtl/>
                <w:lang w:bidi="ar-JO"/>
              </w:rPr>
            </w:pPr>
            <w:r>
              <w:rPr>
                <w:rFonts w:ascii="Arabic Transparent" w:hAnsi="Arabic Transparent" w:cs="Arabic Transparent" w:hint="cs"/>
                <w:sz w:val="30"/>
                <w:szCs w:val="30"/>
                <w:rtl/>
                <w:lang w:bidi="ar-JO"/>
              </w:rPr>
              <w:t>3</w:t>
            </w:r>
          </w:p>
        </w:tc>
      </w:tr>
      <w:tr w:rsidR="00CD0CAF" w:rsidRPr="00827CC8" w14:paraId="64F9308B" w14:textId="77777777" w:rsidTr="003D6867">
        <w:trPr>
          <w:trHeight w:hRule="exact" w:val="489"/>
        </w:trPr>
        <w:tc>
          <w:tcPr>
            <w:tcW w:w="7433" w:type="dxa"/>
          </w:tcPr>
          <w:p w14:paraId="1F8760F1" w14:textId="77777777" w:rsidR="00CD0CAF" w:rsidRPr="009C30B9" w:rsidRDefault="00D80E37" w:rsidP="00670D2F">
            <w:pPr>
              <w:tabs>
                <w:tab w:val="right" w:pos="706"/>
              </w:tabs>
              <w:spacing w:line="360" w:lineRule="auto"/>
              <w:jc w:val="both"/>
              <w:rPr>
                <w:rFonts w:ascii="Arabic Transparent" w:hAnsi="Arabic Transparent" w:cs="Arabic Transparent"/>
                <w:sz w:val="30"/>
                <w:szCs w:val="30"/>
                <w:rtl/>
                <w:lang w:bidi="ar-JO"/>
              </w:rPr>
            </w:pPr>
            <w:r w:rsidRPr="009C30B9">
              <w:rPr>
                <w:rFonts w:ascii="Arabic Transparent" w:hAnsi="Arabic Transparent" w:cs="Arabic Transparent" w:hint="cs"/>
                <w:sz w:val="30"/>
                <w:szCs w:val="30"/>
                <w:rtl/>
                <w:lang w:bidi="ar-JO"/>
              </w:rPr>
              <w:t>خطة الدراسة</w:t>
            </w:r>
          </w:p>
          <w:p w14:paraId="279EB3A7" w14:textId="77777777" w:rsidR="00D80E37" w:rsidRPr="009C30B9" w:rsidRDefault="00D80E37" w:rsidP="00670D2F">
            <w:pPr>
              <w:tabs>
                <w:tab w:val="right" w:pos="706"/>
              </w:tabs>
              <w:spacing w:line="360" w:lineRule="auto"/>
              <w:jc w:val="both"/>
              <w:rPr>
                <w:rFonts w:ascii="Arabic Transparent" w:hAnsi="Arabic Transparent" w:cs="Arabic Transparent"/>
                <w:sz w:val="30"/>
                <w:szCs w:val="30"/>
                <w:rtl/>
                <w:lang w:bidi="ar-JO"/>
              </w:rPr>
            </w:pPr>
          </w:p>
        </w:tc>
        <w:tc>
          <w:tcPr>
            <w:tcW w:w="1701" w:type="dxa"/>
          </w:tcPr>
          <w:p w14:paraId="0E5EC6B1" w14:textId="74DACAC9" w:rsidR="00CD0CAF" w:rsidRPr="009C30B9" w:rsidRDefault="00E94108" w:rsidP="00670D2F">
            <w:pPr>
              <w:tabs>
                <w:tab w:val="right" w:pos="706"/>
              </w:tabs>
              <w:spacing w:line="360" w:lineRule="auto"/>
              <w:jc w:val="center"/>
              <w:rPr>
                <w:rFonts w:ascii="Arabic Transparent" w:hAnsi="Arabic Transparent" w:cs="Arabic Transparent"/>
                <w:sz w:val="30"/>
                <w:szCs w:val="30"/>
                <w:rtl/>
                <w:lang w:bidi="ar-JO"/>
              </w:rPr>
            </w:pPr>
            <w:r>
              <w:rPr>
                <w:rFonts w:ascii="Arabic Transparent" w:hAnsi="Arabic Transparent" w:cs="Arabic Transparent" w:hint="cs"/>
                <w:sz w:val="30"/>
                <w:szCs w:val="30"/>
                <w:rtl/>
                <w:lang w:bidi="ar-JO"/>
              </w:rPr>
              <w:t>4</w:t>
            </w:r>
          </w:p>
        </w:tc>
      </w:tr>
      <w:tr w:rsidR="00CD0CAF" w:rsidRPr="00827CC8" w14:paraId="15042237" w14:textId="77777777" w:rsidTr="003D6867">
        <w:trPr>
          <w:trHeight w:hRule="exact" w:val="489"/>
        </w:trPr>
        <w:tc>
          <w:tcPr>
            <w:tcW w:w="7433" w:type="dxa"/>
          </w:tcPr>
          <w:p w14:paraId="46C81FD5" w14:textId="07C8575B" w:rsidR="00CD0CAF" w:rsidRPr="009C30B9" w:rsidRDefault="00D80E37" w:rsidP="00670D2F">
            <w:pPr>
              <w:tabs>
                <w:tab w:val="right" w:pos="524"/>
              </w:tabs>
              <w:spacing w:line="360" w:lineRule="auto"/>
              <w:ind w:left="807"/>
              <w:jc w:val="center"/>
              <w:rPr>
                <w:rFonts w:ascii="Arabic Transparent" w:hAnsi="Arabic Transparent" w:cs="Arabic Transparent"/>
                <w:b/>
                <w:bCs/>
                <w:sz w:val="30"/>
                <w:szCs w:val="30"/>
                <w:rtl/>
                <w:lang w:bidi="ar-JO"/>
              </w:rPr>
            </w:pPr>
            <w:r w:rsidRPr="009C30B9">
              <w:rPr>
                <w:rFonts w:ascii="Arabic Transparent" w:hAnsi="Arabic Transparent" w:cs="Arabic Transparent" w:hint="cs"/>
                <w:b/>
                <w:bCs/>
                <w:sz w:val="30"/>
                <w:szCs w:val="30"/>
                <w:rtl/>
                <w:lang w:bidi="ar-JO"/>
              </w:rPr>
              <w:t>الفصل ال</w:t>
            </w:r>
            <w:r w:rsidR="003F47EB" w:rsidRPr="009C30B9">
              <w:rPr>
                <w:rFonts w:ascii="Arabic Transparent" w:hAnsi="Arabic Transparent" w:cs="Arabic Transparent" w:hint="cs"/>
                <w:b/>
                <w:bCs/>
                <w:sz w:val="30"/>
                <w:szCs w:val="30"/>
                <w:rtl/>
                <w:lang w:bidi="ar-JO"/>
              </w:rPr>
              <w:t xml:space="preserve">أول: </w:t>
            </w:r>
            <w:r w:rsidR="003F47EB" w:rsidRPr="009C30B9">
              <w:rPr>
                <w:rFonts w:ascii="Arabic Transparent" w:hAnsi="Arabic Transparent" w:cs="Arabic Transparent"/>
                <w:b/>
                <w:bCs/>
                <w:sz w:val="30"/>
                <w:szCs w:val="30"/>
                <w:rtl/>
                <w:lang w:bidi="ar-JO"/>
              </w:rPr>
              <w:t>التعريف بحقيقة المناط الخاص</w:t>
            </w:r>
          </w:p>
        </w:tc>
        <w:tc>
          <w:tcPr>
            <w:tcW w:w="1701" w:type="dxa"/>
          </w:tcPr>
          <w:p w14:paraId="067A1855" w14:textId="7EEF696E" w:rsidR="00CD0CAF" w:rsidRPr="009C30B9" w:rsidRDefault="00E94108" w:rsidP="00670D2F">
            <w:pPr>
              <w:tabs>
                <w:tab w:val="right" w:pos="706"/>
              </w:tabs>
              <w:spacing w:line="360" w:lineRule="auto"/>
              <w:jc w:val="center"/>
              <w:rPr>
                <w:rFonts w:ascii="Arabic Transparent" w:hAnsi="Arabic Transparent" w:cs="Arabic Transparent"/>
                <w:sz w:val="30"/>
                <w:szCs w:val="30"/>
                <w:rtl/>
                <w:lang w:bidi="ar-JO"/>
              </w:rPr>
            </w:pPr>
            <w:r>
              <w:rPr>
                <w:rFonts w:ascii="Arabic Transparent" w:hAnsi="Arabic Transparent" w:cs="Arabic Transparent" w:hint="cs"/>
                <w:sz w:val="30"/>
                <w:szCs w:val="30"/>
                <w:rtl/>
                <w:lang w:bidi="ar-JO"/>
              </w:rPr>
              <w:t>8</w:t>
            </w:r>
          </w:p>
        </w:tc>
      </w:tr>
      <w:tr w:rsidR="00CD0CAF" w:rsidRPr="00827CC8" w14:paraId="77586CBF" w14:textId="77777777" w:rsidTr="003D6867">
        <w:trPr>
          <w:trHeight w:hRule="exact" w:val="489"/>
        </w:trPr>
        <w:tc>
          <w:tcPr>
            <w:tcW w:w="7433" w:type="dxa"/>
          </w:tcPr>
          <w:p w14:paraId="5AA14755" w14:textId="5CA8900B" w:rsidR="00CD0CAF" w:rsidRPr="009C30B9" w:rsidRDefault="00E354FA" w:rsidP="00670D2F">
            <w:pPr>
              <w:tabs>
                <w:tab w:val="right" w:pos="706"/>
              </w:tabs>
              <w:spacing w:line="360" w:lineRule="auto"/>
              <w:jc w:val="both"/>
              <w:rPr>
                <w:rFonts w:ascii="Arabic Transparent" w:hAnsi="Arabic Transparent" w:cs="Arabic Transparent"/>
                <w:sz w:val="30"/>
                <w:szCs w:val="30"/>
                <w:rtl/>
                <w:lang w:bidi="ar-JO"/>
              </w:rPr>
            </w:pPr>
            <w:r w:rsidRPr="009C30B9">
              <w:rPr>
                <w:rFonts w:ascii="Arabic Transparent" w:hAnsi="Arabic Transparent" w:cs="Arabic Transparent" w:hint="cs"/>
                <w:sz w:val="30"/>
                <w:szCs w:val="30"/>
                <w:rtl/>
                <w:lang w:bidi="ar-JO"/>
              </w:rPr>
              <w:t xml:space="preserve">المبحث الأول: </w:t>
            </w:r>
            <w:r w:rsidRPr="009C30B9">
              <w:rPr>
                <w:rFonts w:ascii="Arabic Transparent" w:hAnsi="Arabic Transparent" w:cs="Arabic Transparent"/>
                <w:sz w:val="30"/>
                <w:szCs w:val="30"/>
                <w:rtl/>
                <w:lang w:bidi="ar-JO"/>
              </w:rPr>
              <w:t>التعريف بتحقيق المناط الخاص باعتبار الإضافة واللقب</w:t>
            </w:r>
          </w:p>
        </w:tc>
        <w:tc>
          <w:tcPr>
            <w:tcW w:w="1701" w:type="dxa"/>
          </w:tcPr>
          <w:p w14:paraId="783A8049" w14:textId="41ACA223" w:rsidR="00CD0CAF" w:rsidRPr="009C30B9" w:rsidRDefault="00E94108" w:rsidP="00670D2F">
            <w:pPr>
              <w:tabs>
                <w:tab w:val="right" w:pos="706"/>
              </w:tabs>
              <w:spacing w:line="360" w:lineRule="auto"/>
              <w:jc w:val="center"/>
              <w:rPr>
                <w:rFonts w:ascii="Arabic Transparent" w:hAnsi="Arabic Transparent" w:cs="Arabic Transparent"/>
                <w:sz w:val="30"/>
                <w:szCs w:val="30"/>
                <w:rtl/>
                <w:lang w:bidi="ar-JO"/>
              </w:rPr>
            </w:pPr>
            <w:r>
              <w:rPr>
                <w:rFonts w:ascii="Arabic Transparent" w:hAnsi="Arabic Transparent" w:cs="Arabic Transparent" w:hint="cs"/>
                <w:sz w:val="30"/>
                <w:szCs w:val="30"/>
                <w:rtl/>
                <w:lang w:bidi="ar-JO"/>
              </w:rPr>
              <w:t>8</w:t>
            </w:r>
          </w:p>
        </w:tc>
      </w:tr>
      <w:tr w:rsidR="00CD0CAF" w:rsidRPr="00827CC8" w14:paraId="0536101F" w14:textId="77777777" w:rsidTr="003D6867">
        <w:trPr>
          <w:trHeight w:hRule="exact" w:val="489"/>
        </w:trPr>
        <w:tc>
          <w:tcPr>
            <w:tcW w:w="7433" w:type="dxa"/>
          </w:tcPr>
          <w:p w14:paraId="1650E1E3" w14:textId="0E34D1F3" w:rsidR="00E354FA" w:rsidRPr="009C30B9" w:rsidRDefault="00E354FA" w:rsidP="00670D2F">
            <w:pPr>
              <w:tabs>
                <w:tab w:val="right" w:pos="706"/>
              </w:tabs>
              <w:spacing w:line="360" w:lineRule="auto"/>
              <w:jc w:val="both"/>
              <w:rPr>
                <w:rFonts w:ascii="Arabic Transparent" w:hAnsi="Arabic Transparent" w:cs="Arabic Transparent"/>
                <w:sz w:val="30"/>
                <w:szCs w:val="30"/>
                <w:rtl/>
                <w:lang w:bidi="ar-JO"/>
              </w:rPr>
            </w:pPr>
            <w:r w:rsidRPr="009C30B9">
              <w:rPr>
                <w:rFonts w:ascii="Arabic Transparent" w:hAnsi="Arabic Transparent" w:cs="Arabic Transparent" w:hint="cs"/>
                <w:sz w:val="30"/>
                <w:szCs w:val="30"/>
                <w:rtl/>
                <w:lang w:bidi="ar-JO"/>
              </w:rPr>
              <w:t xml:space="preserve">المطلب الأول: </w:t>
            </w:r>
            <w:r w:rsidRPr="009C30B9">
              <w:rPr>
                <w:rFonts w:ascii="Arabic Transparent" w:hAnsi="Arabic Transparent" w:cs="Arabic Transparent"/>
                <w:sz w:val="30"/>
                <w:szCs w:val="30"/>
                <w:rtl/>
                <w:lang w:bidi="ar-JO"/>
              </w:rPr>
              <w:t>تعريف تحقيق المناط الخاص باعتبار الإضافة</w:t>
            </w:r>
          </w:p>
        </w:tc>
        <w:tc>
          <w:tcPr>
            <w:tcW w:w="1701" w:type="dxa"/>
          </w:tcPr>
          <w:p w14:paraId="37F676BD" w14:textId="16D4F840" w:rsidR="00CD0CAF" w:rsidRPr="009C30B9" w:rsidRDefault="00E94108" w:rsidP="00670D2F">
            <w:pPr>
              <w:tabs>
                <w:tab w:val="right" w:pos="706"/>
              </w:tabs>
              <w:spacing w:line="360" w:lineRule="auto"/>
              <w:jc w:val="center"/>
              <w:rPr>
                <w:rFonts w:ascii="Arabic Transparent" w:hAnsi="Arabic Transparent" w:cs="Arabic Transparent"/>
                <w:sz w:val="30"/>
                <w:szCs w:val="30"/>
                <w:rtl/>
                <w:lang w:bidi="ar-JO"/>
              </w:rPr>
            </w:pPr>
            <w:r>
              <w:rPr>
                <w:rFonts w:ascii="Arabic Transparent" w:hAnsi="Arabic Transparent" w:cs="Arabic Transparent" w:hint="cs"/>
                <w:sz w:val="30"/>
                <w:szCs w:val="30"/>
                <w:rtl/>
                <w:lang w:bidi="ar-JO"/>
              </w:rPr>
              <w:t>8</w:t>
            </w:r>
          </w:p>
        </w:tc>
      </w:tr>
      <w:tr w:rsidR="00CD0CAF" w:rsidRPr="00827CC8" w14:paraId="474AEF4F" w14:textId="77777777" w:rsidTr="003D6867">
        <w:trPr>
          <w:trHeight w:hRule="exact" w:val="489"/>
        </w:trPr>
        <w:tc>
          <w:tcPr>
            <w:tcW w:w="7433" w:type="dxa"/>
          </w:tcPr>
          <w:p w14:paraId="0615387A" w14:textId="72D96A0D" w:rsidR="00CD0CAF" w:rsidRPr="009C30B9" w:rsidRDefault="00E354FA" w:rsidP="00670D2F">
            <w:pPr>
              <w:tabs>
                <w:tab w:val="right" w:pos="706"/>
              </w:tabs>
              <w:spacing w:line="360" w:lineRule="auto"/>
              <w:jc w:val="both"/>
              <w:rPr>
                <w:rFonts w:ascii="Arabic Transparent" w:hAnsi="Arabic Transparent" w:cs="Arabic Transparent"/>
                <w:sz w:val="30"/>
                <w:szCs w:val="30"/>
                <w:rtl/>
                <w:lang w:bidi="ar-JO"/>
              </w:rPr>
            </w:pPr>
            <w:r w:rsidRPr="009C30B9">
              <w:rPr>
                <w:rFonts w:ascii="Arabic Transparent" w:hAnsi="Arabic Transparent" w:cs="Arabic Transparent" w:hint="cs"/>
                <w:sz w:val="30"/>
                <w:szCs w:val="30"/>
                <w:rtl/>
                <w:lang w:bidi="ar-JO"/>
              </w:rPr>
              <w:t xml:space="preserve">المطلب الثاني: </w:t>
            </w:r>
            <w:r w:rsidRPr="009C30B9">
              <w:rPr>
                <w:rFonts w:ascii="Arabic Transparent" w:hAnsi="Arabic Transparent" w:cs="Arabic Transparent"/>
                <w:sz w:val="30"/>
                <w:szCs w:val="30"/>
                <w:rtl/>
                <w:lang w:bidi="ar-JO"/>
              </w:rPr>
              <w:t>تعريف تحقيق المناط الخاص باعتباره لقباً</w:t>
            </w:r>
          </w:p>
        </w:tc>
        <w:tc>
          <w:tcPr>
            <w:tcW w:w="1701" w:type="dxa"/>
          </w:tcPr>
          <w:p w14:paraId="7724512C" w14:textId="3D022224" w:rsidR="00CD0CAF" w:rsidRPr="009C30B9" w:rsidRDefault="00DF2B78" w:rsidP="00670D2F">
            <w:pPr>
              <w:tabs>
                <w:tab w:val="right" w:pos="706"/>
              </w:tabs>
              <w:spacing w:line="360" w:lineRule="auto"/>
              <w:jc w:val="center"/>
              <w:rPr>
                <w:rFonts w:ascii="Arabic Transparent" w:hAnsi="Arabic Transparent" w:cs="Arabic Transparent"/>
                <w:sz w:val="30"/>
                <w:szCs w:val="30"/>
                <w:rtl/>
                <w:lang w:bidi="ar-JO"/>
              </w:rPr>
            </w:pPr>
            <w:r>
              <w:rPr>
                <w:rFonts w:ascii="Arabic Transparent" w:hAnsi="Arabic Transparent" w:cs="Arabic Transparent" w:hint="cs"/>
                <w:sz w:val="30"/>
                <w:szCs w:val="30"/>
                <w:rtl/>
                <w:lang w:bidi="ar-JO"/>
              </w:rPr>
              <w:t>14</w:t>
            </w:r>
          </w:p>
        </w:tc>
      </w:tr>
      <w:tr w:rsidR="00CD0CAF" w:rsidRPr="00827CC8" w14:paraId="087CC439" w14:textId="77777777" w:rsidTr="003D6867">
        <w:trPr>
          <w:trHeight w:hRule="exact" w:val="489"/>
        </w:trPr>
        <w:tc>
          <w:tcPr>
            <w:tcW w:w="7433" w:type="dxa"/>
          </w:tcPr>
          <w:p w14:paraId="20CB79F3" w14:textId="309D1AE7" w:rsidR="00CD0CAF" w:rsidRPr="009C30B9" w:rsidRDefault="00E354FA" w:rsidP="00670D2F">
            <w:pPr>
              <w:tabs>
                <w:tab w:val="right" w:pos="706"/>
              </w:tabs>
              <w:spacing w:line="360" w:lineRule="auto"/>
              <w:jc w:val="both"/>
              <w:rPr>
                <w:rFonts w:ascii="Arabic Transparent" w:hAnsi="Arabic Transparent" w:cs="Arabic Transparent"/>
                <w:sz w:val="30"/>
                <w:szCs w:val="30"/>
                <w:rtl/>
                <w:lang w:bidi="ar-JO"/>
              </w:rPr>
            </w:pPr>
            <w:r w:rsidRPr="009C30B9">
              <w:rPr>
                <w:rFonts w:ascii="Arabic Transparent" w:hAnsi="Arabic Transparent" w:cs="Arabic Transparent" w:hint="cs"/>
                <w:sz w:val="30"/>
                <w:szCs w:val="30"/>
                <w:rtl/>
                <w:lang w:bidi="ar-JO"/>
              </w:rPr>
              <w:t xml:space="preserve">المطلب الثالث: </w:t>
            </w:r>
            <w:r w:rsidRPr="009C30B9">
              <w:rPr>
                <w:rFonts w:ascii="Arabic Transparent" w:hAnsi="Arabic Transparent" w:cs="Arabic Transparent"/>
                <w:sz w:val="30"/>
                <w:szCs w:val="30"/>
                <w:rtl/>
                <w:lang w:bidi="ar-JO"/>
              </w:rPr>
              <w:t>الألفاظ ذات الصلة</w:t>
            </w:r>
          </w:p>
        </w:tc>
        <w:tc>
          <w:tcPr>
            <w:tcW w:w="1701" w:type="dxa"/>
          </w:tcPr>
          <w:p w14:paraId="3912275C" w14:textId="5A6ED19C" w:rsidR="00CD0CAF" w:rsidRPr="009C30B9" w:rsidRDefault="00DF2B78" w:rsidP="00670D2F">
            <w:pPr>
              <w:tabs>
                <w:tab w:val="right" w:pos="706"/>
              </w:tabs>
              <w:spacing w:line="360" w:lineRule="auto"/>
              <w:jc w:val="center"/>
              <w:rPr>
                <w:rFonts w:ascii="Arabic Transparent" w:hAnsi="Arabic Transparent" w:cs="Arabic Transparent"/>
                <w:sz w:val="30"/>
                <w:szCs w:val="30"/>
                <w:rtl/>
                <w:lang w:bidi="ar-JO"/>
              </w:rPr>
            </w:pPr>
            <w:r>
              <w:rPr>
                <w:rFonts w:ascii="Arabic Transparent" w:hAnsi="Arabic Transparent" w:cs="Arabic Transparent" w:hint="cs"/>
                <w:sz w:val="30"/>
                <w:szCs w:val="30"/>
                <w:rtl/>
                <w:lang w:bidi="ar-JO"/>
              </w:rPr>
              <w:t>17</w:t>
            </w:r>
          </w:p>
        </w:tc>
      </w:tr>
      <w:tr w:rsidR="00CD0CAF" w:rsidRPr="00827CC8" w14:paraId="6D089FBC" w14:textId="77777777" w:rsidTr="003D6867">
        <w:trPr>
          <w:trHeight w:hRule="exact" w:val="489"/>
        </w:trPr>
        <w:tc>
          <w:tcPr>
            <w:tcW w:w="7433" w:type="dxa"/>
          </w:tcPr>
          <w:p w14:paraId="35808358" w14:textId="7CCC489A" w:rsidR="00CD0CAF" w:rsidRPr="009C30B9" w:rsidRDefault="00E354FA" w:rsidP="00670D2F">
            <w:pPr>
              <w:tabs>
                <w:tab w:val="right" w:pos="706"/>
              </w:tabs>
              <w:spacing w:line="360" w:lineRule="auto"/>
              <w:jc w:val="both"/>
              <w:rPr>
                <w:rFonts w:ascii="Arabic Transparent" w:hAnsi="Arabic Transparent" w:cs="Arabic Transparent"/>
                <w:sz w:val="30"/>
                <w:szCs w:val="30"/>
                <w:rtl/>
                <w:lang w:bidi="ar-JO"/>
              </w:rPr>
            </w:pPr>
            <w:r w:rsidRPr="009C30B9">
              <w:rPr>
                <w:rFonts w:ascii="Arabic Transparent" w:hAnsi="Arabic Transparent" w:cs="Arabic Transparent" w:hint="cs"/>
                <w:sz w:val="30"/>
                <w:szCs w:val="30"/>
                <w:rtl/>
                <w:lang w:bidi="ar-JO"/>
              </w:rPr>
              <w:t xml:space="preserve">المبحث الثاني: </w:t>
            </w:r>
            <w:r w:rsidRPr="009C30B9">
              <w:rPr>
                <w:rFonts w:ascii="Arabic Transparent" w:hAnsi="Arabic Transparent" w:cs="Arabic Transparent"/>
                <w:sz w:val="30"/>
                <w:szCs w:val="30"/>
                <w:rtl/>
                <w:lang w:bidi="ar-JO"/>
              </w:rPr>
              <w:t>مراتب تحقيق المناط</w:t>
            </w:r>
          </w:p>
        </w:tc>
        <w:tc>
          <w:tcPr>
            <w:tcW w:w="1701" w:type="dxa"/>
          </w:tcPr>
          <w:p w14:paraId="1E3B8922" w14:textId="3F49DB28" w:rsidR="00CD0CAF" w:rsidRPr="009C30B9" w:rsidRDefault="00DF2B78" w:rsidP="00670D2F">
            <w:pPr>
              <w:tabs>
                <w:tab w:val="right" w:pos="706"/>
              </w:tabs>
              <w:spacing w:line="360" w:lineRule="auto"/>
              <w:jc w:val="center"/>
              <w:rPr>
                <w:rFonts w:ascii="Arabic Transparent" w:hAnsi="Arabic Transparent" w:cs="Arabic Transparent"/>
                <w:sz w:val="30"/>
                <w:szCs w:val="30"/>
                <w:rtl/>
                <w:lang w:bidi="ar-JO"/>
              </w:rPr>
            </w:pPr>
            <w:r>
              <w:rPr>
                <w:rFonts w:ascii="Arabic Transparent" w:hAnsi="Arabic Transparent" w:cs="Arabic Transparent" w:hint="cs"/>
                <w:sz w:val="30"/>
                <w:szCs w:val="30"/>
                <w:rtl/>
                <w:lang w:bidi="ar-JO"/>
              </w:rPr>
              <w:t>21</w:t>
            </w:r>
          </w:p>
        </w:tc>
      </w:tr>
      <w:tr w:rsidR="00CD0CAF" w:rsidRPr="00827CC8" w14:paraId="078EE80A" w14:textId="77777777" w:rsidTr="003D6867">
        <w:trPr>
          <w:trHeight w:hRule="exact" w:val="489"/>
        </w:trPr>
        <w:tc>
          <w:tcPr>
            <w:tcW w:w="7433" w:type="dxa"/>
          </w:tcPr>
          <w:p w14:paraId="7EE4ECF3" w14:textId="5904BA2A" w:rsidR="00CD0CAF" w:rsidRPr="009C30B9" w:rsidRDefault="00E354FA" w:rsidP="00670D2F">
            <w:pPr>
              <w:tabs>
                <w:tab w:val="right" w:pos="706"/>
              </w:tabs>
              <w:spacing w:line="360" w:lineRule="auto"/>
              <w:jc w:val="both"/>
              <w:rPr>
                <w:rFonts w:ascii="Arabic Transparent" w:hAnsi="Arabic Transparent" w:cs="Arabic Transparent"/>
                <w:sz w:val="30"/>
                <w:szCs w:val="30"/>
                <w:rtl/>
                <w:lang w:bidi="ar-JO"/>
              </w:rPr>
            </w:pPr>
            <w:r w:rsidRPr="009C30B9">
              <w:rPr>
                <w:rFonts w:ascii="Arabic Transparent" w:hAnsi="Arabic Transparent" w:cs="Arabic Transparent" w:hint="cs"/>
                <w:sz w:val="30"/>
                <w:szCs w:val="30"/>
                <w:rtl/>
                <w:lang w:bidi="ar-JO"/>
              </w:rPr>
              <w:t>المطلب الأول: تحقيق المناط العام</w:t>
            </w:r>
          </w:p>
        </w:tc>
        <w:tc>
          <w:tcPr>
            <w:tcW w:w="1701" w:type="dxa"/>
          </w:tcPr>
          <w:p w14:paraId="2F6317A5" w14:textId="1A7ACB86" w:rsidR="00CD0CAF" w:rsidRPr="009C30B9" w:rsidRDefault="00DF2B78" w:rsidP="00670D2F">
            <w:pPr>
              <w:tabs>
                <w:tab w:val="right" w:pos="706"/>
              </w:tabs>
              <w:spacing w:line="360" w:lineRule="auto"/>
              <w:jc w:val="center"/>
              <w:rPr>
                <w:rFonts w:ascii="Arabic Transparent" w:hAnsi="Arabic Transparent" w:cs="Arabic Transparent"/>
                <w:sz w:val="30"/>
                <w:szCs w:val="30"/>
                <w:rtl/>
                <w:lang w:bidi="ar-JO"/>
              </w:rPr>
            </w:pPr>
            <w:r>
              <w:rPr>
                <w:rFonts w:ascii="Arabic Transparent" w:hAnsi="Arabic Transparent" w:cs="Arabic Transparent" w:hint="cs"/>
                <w:sz w:val="30"/>
                <w:szCs w:val="30"/>
                <w:rtl/>
                <w:lang w:bidi="ar-JO"/>
              </w:rPr>
              <w:t>21</w:t>
            </w:r>
          </w:p>
        </w:tc>
      </w:tr>
      <w:tr w:rsidR="00CD0CAF" w:rsidRPr="00827CC8" w14:paraId="2C87F342" w14:textId="77777777" w:rsidTr="003D6867">
        <w:trPr>
          <w:trHeight w:hRule="exact" w:val="489"/>
        </w:trPr>
        <w:tc>
          <w:tcPr>
            <w:tcW w:w="7433" w:type="dxa"/>
          </w:tcPr>
          <w:p w14:paraId="10688BF8" w14:textId="20BC0500" w:rsidR="00CD0CAF" w:rsidRPr="009C30B9" w:rsidRDefault="00E354FA" w:rsidP="00670D2F">
            <w:pPr>
              <w:tabs>
                <w:tab w:val="right" w:pos="706"/>
              </w:tabs>
              <w:spacing w:line="360" w:lineRule="auto"/>
              <w:jc w:val="both"/>
              <w:rPr>
                <w:rFonts w:ascii="Arabic Transparent" w:hAnsi="Arabic Transparent" w:cs="Arabic Transparent"/>
                <w:sz w:val="30"/>
                <w:szCs w:val="30"/>
                <w:rtl/>
                <w:lang w:bidi="ar-JO"/>
              </w:rPr>
            </w:pPr>
            <w:r w:rsidRPr="009C30B9">
              <w:rPr>
                <w:rFonts w:ascii="Arabic Transparent" w:hAnsi="Arabic Transparent" w:cs="Arabic Transparent" w:hint="cs"/>
                <w:sz w:val="30"/>
                <w:szCs w:val="30"/>
                <w:rtl/>
                <w:lang w:bidi="ar-JO"/>
              </w:rPr>
              <w:t>المطلب الثاني: تحقيق المناط الخاص</w:t>
            </w:r>
          </w:p>
        </w:tc>
        <w:tc>
          <w:tcPr>
            <w:tcW w:w="1701" w:type="dxa"/>
          </w:tcPr>
          <w:p w14:paraId="15CE75C0" w14:textId="66AC60A2" w:rsidR="00CD0CAF" w:rsidRPr="009C30B9" w:rsidRDefault="00DF2B78" w:rsidP="00670D2F">
            <w:pPr>
              <w:tabs>
                <w:tab w:val="right" w:pos="706"/>
              </w:tabs>
              <w:spacing w:line="360" w:lineRule="auto"/>
              <w:jc w:val="center"/>
              <w:rPr>
                <w:rFonts w:ascii="Arabic Transparent" w:hAnsi="Arabic Transparent" w:cs="Arabic Transparent"/>
                <w:sz w:val="30"/>
                <w:szCs w:val="30"/>
                <w:rtl/>
                <w:lang w:bidi="ar-JO"/>
              </w:rPr>
            </w:pPr>
            <w:r>
              <w:rPr>
                <w:rFonts w:ascii="Arabic Transparent" w:hAnsi="Arabic Transparent" w:cs="Arabic Transparent" w:hint="cs"/>
                <w:sz w:val="30"/>
                <w:szCs w:val="30"/>
                <w:rtl/>
                <w:lang w:bidi="ar-JO"/>
              </w:rPr>
              <w:t>22</w:t>
            </w:r>
          </w:p>
        </w:tc>
      </w:tr>
      <w:tr w:rsidR="00CD0CAF" w:rsidRPr="00827CC8" w14:paraId="33674BE0" w14:textId="77777777" w:rsidTr="003D6867">
        <w:trPr>
          <w:trHeight w:hRule="exact" w:val="489"/>
        </w:trPr>
        <w:tc>
          <w:tcPr>
            <w:tcW w:w="7433" w:type="dxa"/>
            <w:tcBorders>
              <w:bottom w:val="single" w:sz="4" w:space="0" w:color="auto"/>
            </w:tcBorders>
          </w:tcPr>
          <w:p w14:paraId="768C00C4" w14:textId="2C073143" w:rsidR="00CD0CAF" w:rsidRPr="009C30B9" w:rsidRDefault="00E354FA" w:rsidP="00670D2F">
            <w:pPr>
              <w:tabs>
                <w:tab w:val="right" w:pos="706"/>
              </w:tabs>
              <w:spacing w:line="360" w:lineRule="auto"/>
              <w:jc w:val="both"/>
              <w:rPr>
                <w:rFonts w:ascii="Arabic Transparent" w:hAnsi="Arabic Transparent" w:cs="Arabic Transparent"/>
                <w:sz w:val="30"/>
                <w:szCs w:val="30"/>
                <w:rtl/>
                <w:lang w:bidi="ar-JO"/>
              </w:rPr>
            </w:pPr>
            <w:r w:rsidRPr="009C30B9">
              <w:rPr>
                <w:rFonts w:ascii="Arabic Transparent" w:hAnsi="Arabic Transparent" w:cs="Arabic Transparent" w:hint="cs"/>
                <w:sz w:val="30"/>
                <w:szCs w:val="30"/>
                <w:rtl/>
                <w:lang w:bidi="ar-JO"/>
              </w:rPr>
              <w:t xml:space="preserve">المبحث الثالث: </w:t>
            </w:r>
            <w:r w:rsidRPr="009C30B9">
              <w:rPr>
                <w:rFonts w:ascii="Arabic Transparent" w:hAnsi="Arabic Transparent" w:cs="Arabic Transparent"/>
                <w:sz w:val="30"/>
                <w:szCs w:val="30"/>
                <w:rtl/>
                <w:lang w:bidi="ar-JO"/>
              </w:rPr>
              <w:t>تحقيق المناط الخاص نشأته ومشروعيته وأهميته</w:t>
            </w:r>
          </w:p>
        </w:tc>
        <w:tc>
          <w:tcPr>
            <w:tcW w:w="1701" w:type="dxa"/>
            <w:tcBorders>
              <w:bottom w:val="single" w:sz="4" w:space="0" w:color="auto"/>
            </w:tcBorders>
          </w:tcPr>
          <w:p w14:paraId="74065E94" w14:textId="417DAA0C" w:rsidR="00CD0CAF" w:rsidRPr="009C30B9" w:rsidRDefault="00DF2B78" w:rsidP="00670D2F">
            <w:pPr>
              <w:tabs>
                <w:tab w:val="right" w:pos="706"/>
              </w:tabs>
              <w:spacing w:line="360" w:lineRule="auto"/>
              <w:jc w:val="center"/>
              <w:rPr>
                <w:rFonts w:ascii="Arabic Transparent" w:hAnsi="Arabic Transparent" w:cs="Arabic Transparent"/>
                <w:sz w:val="30"/>
                <w:szCs w:val="30"/>
                <w:rtl/>
                <w:lang w:bidi="ar-JO"/>
              </w:rPr>
            </w:pPr>
            <w:r>
              <w:rPr>
                <w:rFonts w:ascii="Arabic Transparent" w:hAnsi="Arabic Transparent" w:cs="Arabic Transparent" w:hint="cs"/>
                <w:sz w:val="30"/>
                <w:szCs w:val="30"/>
                <w:rtl/>
                <w:lang w:bidi="ar-JO"/>
              </w:rPr>
              <w:t>24</w:t>
            </w:r>
          </w:p>
        </w:tc>
      </w:tr>
    </w:tbl>
    <w:p w14:paraId="49644D68" w14:textId="77777777" w:rsidR="00C20713" w:rsidRDefault="00C20713" w:rsidP="00670D2F">
      <w:pPr>
        <w:spacing w:line="360" w:lineRule="auto"/>
      </w:pPr>
      <w:r>
        <w:br w:type="page"/>
      </w:r>
    </w:p>
    <w:tbl>
      <w:tblPr>
        <w:bidiVisual/>
        <w:tblW w:w="9134" w:type="dxa"/>
        <w:tblLook w:val="04A0" w:firstRow="1" w:lastRow="0" w:firstColumn="1" w:lastColumn="0" w:noHBand="0" w:noVBand="1"/>
      </w:tblPr>
      <w:tblGrid>
        <w:gridCol w:w="7434"/>
        <w:gridCol w:w="1700"/>
      </w:tblGrid>
      <w:tr w:rsidR="0007082A" w:rsidRPr="00827CC8" w14:paraId="6707C8F1" w14:textId="77777777" w:rsidTr="003D6867">
        <w:trPr>
          <w:trHeight w:hRule="exact" w:val="506"/>
        </w:trPr>
        <w:tc>
          <w:tcPr>
            <w:tcW w:w="7296" w:type="dxa"/>
            <w:tcBorders>
              <w:top w:val="single" w:sz="4" w:space="0" w:color="auto"/>
              <w:bottom w:val="single" w:sz="4" w:space="0" w:color="auto"/>
            </w:tcBorders>
          </w:tcPr>
          <w:p w14:paraId="14329C41" w14:textId="7A311E4C" w:rsidR="0007082A" w:rsidRDefault="002B2E40" w:rsidP="00670D2F">
            <w:pPr>
              <w:tabs>
                <w:tab w:val="right" w:pos="706"/>
              </w:tabs>
              <w:spacing w:line="360" w:lineRule="auto"/>
              <w:rPr>
                <w:rFonts w:ascii="Arabic Transparent" w:hAnsi="Arabic Transparent" w:cs="Arabic Transparent"/>
                <w:sz w:val="28"/>
                <w:szCs w:val="28"/>
                <w:rtl/>
                <w:lang w:bidi="ar-JO"/>
              </w:rPr>
            </w:pPr>
            <w:r>
              <w:br w:type="page"/>
            </w:r>
            <w:r w:rsidR="0007082A" w:rsidRPr="00E17952">
              <w:rPr>
                <w:rFonts w:ascii="Arabic Transparent" w:hAnsi="Arabic Transparent" w:cs="Arabic Transparent" w:hint="cs"/>
                <w:b/>
                <w:bCs/>
                <w:caps/>
                <w:sz w:val="32"/>
                <w:szCs w:val="32"/>
                <w:rtl/>
                <w:lang w:bidi="ar-JO"/>
              </w:rPr>
              <w:t>المحتويات</w:t>
            </w:r>
          </w:p>
        </w:tc>
        <w:tc>
          <w:tcPr>
            <w:tcW w:w="1669" w:type="dxa"/>
            <w:tcBorders>
              <w:top w:val="single" w:sz="4" w:space="0" w:color="auto"/>
              <w:bottom w:val="single" w:sz="4" w:space="0" w:color="auto"/>
            </w:tcBorders>
          </w:tcPr>
          <w:p w14:paraId="74A131FE" w14:textId="64BEDED2" w:rsidR="0007082A" w:rsidRPr="00827CC8" w:rsidRDefault="0007082A" w:rsidP="00670D2F">
            <w:pPr>
              <w:tabs>
                <w:tab w:val="right" w:pos="706"/>
              </w:tabs>
              <w:spacing w:line="360" w:lineRule="auto"/>
              <w:jc w:val="center"/>
              <w:rPr>
                <w:rFonts w:ascii="Arabic Transparent" w:hAnsi="Arabic Transparent" w:cs="Arabic Transparent"/>
                <w:sz w:val="32"/>
                <w:szCs w:val="32"/>
                <w:rtl/>
                <w:lang w:bidi="ar-JO"/>
              </w:rPr>
            </w:pPr>
            <w:r w:rsidRPr="00E17952">
              <w:rPr>
                <w:rFonts w:ascii="Arabic Transparent" w:hAnsi="Arabic Transparent" w:cs="Arabic Transparent" w:hint="cs"/>
                <w:b/>
                <w:bCs/>
                <w:caps/>
                <w:sz w:val="32"/>
                <w:szCs w:val="32"/>
                <w:rtl/>
                <w:lang w:bidi="ar-JO"/>
              </w:rPr>
              <w:t>الصفحة</w:t>
            </w:r>
          </w:p>
        </w:tc>
      </w:tr>
      <w:tr w:rsidR="009C30B9" w:rsidRPr="00827CC8" w14:paraId="74711DFB" w14:textId="77777777" w:rsidTr="003D6867">
        <w:trPr>
          <w:trHeight w:hRule="exact" w:val="506"/>
        </w:trPr>
        <w:tc>
          <w:tcPr>
            <w:tcW w:w="7296" w:type="dxa"/>
            <w:tcBorders>
              <w:top w:val="single" w:sz="4" w:space="0" w:color="auto"/>
            </w:tcBorders>
          </w:tcPr>
          <w:p w14:paraId="6E0FD094" w14:textId="32D7CB9C" w:rsidR="009C30B9" w:rsidRPr="00F87408" w:rsidRDefault="002B2E40" w:rsidP="00670D2F">
            <w:pPr>
              <w:tabs>
                <w:tab w:val="right" w:pos="706"/>
              </w:tabs>
              <w:spacing w:line="360" w:lineRule="auto"/>
              <w:jc w:val="both"/>
              <w:rPr>
                <w:rFonts w:ascii="Arabic Transparent" w:hAnsi="Arabic Transparent" w:cs="Arabic Transparent"/>
                <w:b/>
                <w:bCs/>
                <w:caps/>
                <w:sz w:val="30"/>
                <w:szCs w:val="30"/>
                <w:rtl/>
                <w:lang w:bidi="ar-JO"/>
              </w:rPr>
            </w:pPr>
            <w:r>
              <w:rPr>
                <w:rFonts w:ascii="Arabic Transparent" w:hAnsi="Arabic Transparent" w:cs="Arabic Transparent" w:hint="cs"/>
                <w:sz w:val="30"/>
                <w:szCs w:val="30"/>
                <w:rtl/>
                <w:lang w:bidi="ar-JO"/>
              </w:rPr>
              <w:t>المطلب</w:t>
            </w:r>
            <w:r w:rsidR="009C30B9" w:rsidRPr="00F87408">
              <w:rPr>
                <w:rFonts w:ascii="Arabic Transparent" w:hAnsi="Arabic Transparent" w:cs="Arabic Transparent" w:hint="cs"/>
                <w:sz w:val="30"/>
                <w:szCs w:val="30"/>
                <w:rtl/>
                <w:lang w:bidi="ar-JO"/>
              </w:rPr>
              <w:t xml:space="preserve"> الأول: نشأة تحقيق المناط الخاص</w:t>
            </w:r>
          </w:p>
        </w:tc>
        <w:tc>
          <w:tcPr>
            <w:tcW w:w="1669" w:type="dxa"/>
            <w:tcBorders>
              <w:top w:val="single" w:sz="4" w:space="0" w:color="auto"/>
            </w:tcBorders>
          </w:tcPr>
          <w:p w14:paraId="6FC1AF5B" w14:textId="095DCE6F" w:rsidR="009C30B9" w:rsidRPr="00E94108" w:rsidRDefault="00DF2B78" w:rsidP="00670D2F">
            <w:pPr>
              <w:tabs>
                <w:tab w:val="right" w:pos="706"/>
              </w:tabs>
              <w:spacing w:line="360" w:lineRule="auto"/>
              <w:jc w:val="center"/>
              <w:rPr>
                <w:rFonts w:ascii="Arabic Transparent" w:hAnsi="Arabic Transparent" w:cs="Arabic Transparent"/>
                <w:caps/>
                <w:sz w:val="32"/>
                <w:szCs w:val="32"/>
                <w:rtl/>
                <w:lang w:bidi="ar-JO"/>
              </w:rPr>
            </w:pPr>
            <w:r>
              <w:rPr>
                <w:rFonts w:ascii="Arabic Transparent" w:hAnsi="Arabic Transparent" w:cs="Arabic Transparent" w:hint="cs"/>
                <w:caps/>
                <w:sz w:val="32"/>
                <w:szCs w:val="32"/>
                <w:rtl/>
                <w:lang w:bidi="ar-JO"/>
              </w:rPr>
              <w:t>24</w:t>
            </w:r>
          </w:p>
        </w:tc>
      </w:tr>
      <w:tr w:rsidR="009C30B9" w:rsidRPr="00827CC8" w14:paraId="519B1178" w14:textId="77777777" w:rsidTr="003D6867">
        <w:trPr>
          <w:trHeight w:hRule="exact" w:val="506"/>
        </w:trPr>
        <w:tc>
          <w:tcPr>
            <w:tcW w:w="7296" w:type="dxa"/>
          </w:tcPr>
          <w:p w14:paraId="19E30325" w14:textId="00FCB18B" w:rsidR="009C30B9" w:rsidRPr="00F87408" w:rsidRDefault="009C30B9" w:rsidP="00670D2F">
            <w:pPr>
              <w:tabs>
                <w:tab w:val="right" w:pos="706"/>
              </w:tabs>
              <w:spacing w:line="360" w:lineRule="auto"/>
              <w:jc w:val="both"/>
              <w:rPr>
                <w:rFonts w:ascii="Arabic Transparent" w:hAnsi="Arabic Transparent" w:cs="Arabic Transparent"/>
                <w:b/>
                <w:bCs/>
                <w:caps/>
                <w:sz w:val="30"/>
                <w:szCs w:val="30"/>
                <w:rtl/>
                <w:lang w:bidi="ar-JO"/>
              </w:rPr>
            </w:pPr>
            <w:r w:rsidRPr="00F87408">
              <w:rPr>
                <w:rFonts w:ascii="Arabic Transparent" w:hAnsi="Arabic Transparent" w:cs="Arabic Transparent" w:hint="cs"/>
                <w:sz w:val="30"/>
                <w:szCs w:val="30"/>
                <w:rtl/>
                <w:lang w:bidi="ar-JO"/>
              </w:rPr>
              <w:t>المطلب الثاني</w:t>
            </w:r>
            <w:r w:rsidR="005D7B91">
              <w:rPr>
                <w:rFonts w:ascii="Arabic Transparent" w:hAnsi="Arabic Transparent" w:cs="Arabic Transparent" w:hint="cs"/>
                <w:sz w:val="30"/>
                <w:szCs w:val="30"/>
                <w:rtl/>
                <w:lang w:bidi="ar-JO"/>
              </w:rPr>
              <w:t xml:space="preserve">: </w:t>
            </w:r>
            <w:r w:rsidRPr="00F87408">
              <w:rPr>
                <w:rFonts w:ascii="Arabic Transparent" w:hAnsi="Arabic Transparent" w:cs="Arabic Transparent"/>
                <w:sz w:val="30"/>
                <w:szCs w:val="30"/>
                <w:rtl/>
                <w:lang w:bidi="ar-JO"/>
              </w:rPr>
              <w:t>مشروعية تحقيق المناط الخاص</w:t>
            </w:r>
          </w:p>
        </w:tc>
        <w:tc>
          <w:tcPr>
            <w:tcW w:w="1669" w:type="dxa"/>
          </w:tcPr>
          <w:p w14:paraId="34FC6428" w14:textId="263C6F2D" w:rsidR="009C30B9" w:rsidRPr="00E94108" w:rsidRDefault="00DF2B78" w:rsidP="00670D2F">
            <w:pPr>
              <w:tabs>
                <w:tab w:val="right" w:pos="706"/>
              </w:tabs>
              <w:spacing w:line="360" w:lineRule="auto"/>
              <w:jc w:val="center"/>
              <w:rPr>
                <w:rFonts w:ascii="Arabic Transparent" w:hAnsi="Arabic Transparent" w:cs="Arabic Transparent"/>
                <w:caps/>
                <w:sz w:val="32"/>
                <w:szCs w:val="32"/>
                <w:rtl/>
                <w:lang w:bidi="ar-JO"/>
              </w:rPr>
            </w:pPr>
            <w:r>
              <w:rPr>
                <w:rFonts w:ascii="Arabic Transparent" w:hAnsi="Arabic Transparent" w:cs="Arabic Transparent" w:hint="cs"/>
                <w:caps/>
                <w:sz w:val="32"/>
                <w:szCs w:val="32"/>
                <w:rtl/>
                <w:lang w:bidi="ar-JO"/>
              </w:rPr>
              <w:t>25</w:t>
            </w:r>
          </w:p>
        </w:tc>
      </w:tr>
      <w:tr w:rsidR="009C30B9" w:rsidRPr="00827CC8" w14:paraId="1B0EDEEB" w14:textId="77777777" w:rsidTr="003D6867">
        <w:trPr>
          <w:trHeight w:hRule="exact" w:val="506"/>
        </w:trPr>
        <w:tc>
          <w:tcPr>
            <w:tcW w:w="7296" w:type="dxa"/>
          </w:tcPr>
          <w:p w14:paraId="2DB46AFA" w14:textId="607EE1B2" w:rsidR="009C30B9" w:rsidRPr="00F87408" w:rsidRDefault="009C30B9" w:rsidP="00670D2F">
            <w:pPr>
              <w:tabs>
                <w:tab w:val="right" w:pos="706"/>
              </w:tabs>
              <w:spacing w:line="360" w:lineRule="auto"/>
              <w:jc w:val="both"/>
              <w:rPr>
                <w:rFonts w:ascii="Arabic Transparent" w:hAnsi="Arabic Transparent" w:cs="Arabic Transparent"/>
                <w:b/>
                <w:bCs/>
                <w:caps/>
                <w:sz w:val="30"/>
                <w:szCs w:val="30"/>
                <w:rtl/>
                <w:lang w:bidi="ar-JO"/>
              </w:rPr>
            </w:pPr>
            <w:r w:rsidRPr="00F87408">
              <w:rPr>
                <w:rFonts w:ascii="Arabic Transparent" w:hAnsi="Arabic Transparent" w:cs="Arabic Transparent" w:hint="cs"/>
                <w:sz w:val="30"/>
                <w:szCs w:val="30"/>
                <w:rtl/>
                <w:lang w:bidi="ar-JO"/>
              </w:rPr>
              <w:t>المطلب الثالث: أهمية تحقيق المناط الخاص</w:t>
            </w:r>
          </w:p>
        </w:tc>
        <w:tc>
          <w:tcPr>
            <w:tcW w:w="1669" w:type="dxa"/>
          </w:tcPr>
          <w:p w14:paraId="7D78B6EF" w14:textId="33B3A22E" w:rsidR="009C30B9" w:rsidRPr="00E94108" w:rsidRDefault="00DF2B78" w:rsidP="00670D2F">
            <w:pPr>
              <w:tabs>
                <w:tab w:val="right" w:pos="706"/>
              </w:tabs>
              <w:spacing w:line="360" w:lineRule="auto"/>
              <w:jc w:val="center"/>
              <w:rPr>
                <w:rFonts w:ascii="Arabic Transparent" w:hAnsi="Arabic Transparent" w:cs="Arabic Transparent"/>
                <w:caps/>
                <w:sz w:val="32"/>
                <w:szCs w:val="32"/>
                <w:rtl/>
                <w:lang w:bidi="ar-JO"/>
              </w:rPr>
            </w:pPr>
            <w:r>
              <w:rPr>
                <w:rFonts w:ascii="Arabic Transparent" w:hAnsi="Arabic Transparent" w:cs="Arabic Transparent" w:hint="cs"/>
                <w:caps/>
                <w:sz w:val="32"/>
                <w:szCs w:val="32"/>
                <w:rtl/>
                <w:lang w:bidi="ar-JO"/>
              </w:rPr>
              <w:t>30</w:t>
            </w:r>
          </w:p>
        </w:tc>
      </w:tr>
      <w:tr w:rsidR="009C30B9" w:rsidRPr="00827CC8" w14:paraId="425498F1" w14:textId="77777777" w:rsidTr="003D6867">
        <w:trPr>
          <w:trHeight w:hRule="exact" w:val="506"/>
        </w:trPr>
        <w:tc>
          <w:tcPr>
            <w:tcW w:w="7296" w:type="dxa"/>
          </w:tcPr>
          <w:p w14:paraId="07A6666F" w14:textId="26151D18" w:rsidR="009C30B9" w:rsidRPr="00F87408" w:rsidRDefault="009C30B9" w:rsidP="00670D2F">
            <w:pPr>
              <w:tabs>
                <w:tab w:val="right" w:pos="706"/>
              </w:tabs>
              <w:spacing w:line="360" w:lineRule="auto"/>
              <w:jc w:val="both"/>
              <w:rPr>
                <w:rFonts w:ascii="Arabic Transparent" w:hAnsi="Arabic Transparent" w:cs="Arabic Transparent"/>
                <w:sz w:val="30"/>
                <w:szCs w:val="30"/>
                <w:rtl/>
                <w:lang w:bidi="ar-JO"/>
              </w:rPr>
            </w:pPr>
            <w:r w:rsidRPr="00F87408">
              <w:rPr>
                <w:rFonts w:ascii="Arabic Transparent" w:hAnsi="Arabic Transparent" w:cs="Arabic Transparent" w:hint="cs"/>
                <w:sz w:val="30"/>
                <w:szCs w:val="30"/>
                <w:rtl/>
                <w:lang w:bidi="ar-JO"/>
              </w:rPr>
              <w:t xml:space="preserve">المبحث الرابع: </w:t>
            </w:r>
            <w:r w:rsidRPr="00F87408">
              <w:rPr>
                <w:rFonts w:ascii="Arabic Transparent" w:hAnsi="Arabic Transparent" w:cs="Arabic Transparent"/>
                <w:sz w:val="30"/>
                <w:szCs w:val="30"/>
                <w:rtl/>
                <w:lang w:bidi="ar-JO"/>
              </w:rPr>
              <w:t>تحقيق المناط الخاص موقعه ومجالاته وضوابطه</w:t>
            </w:r>
          </w:p>
        </w:tc>
        <w:tc>
          <w:tcPr>
            <w:tcW w:w="1669" w:type="dxa"/>
          </w:tcPr>
          <w:p w14:paraId="15B45604" w14:textId="5A257E16" w:rsidR="009C30B9" w:rsidRPr="00E94108" w:rsidRDefault="00DF2B78" w:rsidP="00670D2F">
            <w:pPr>
              <w:tabs>
                <w:tab w:val="right" w:pos="706"/>
              </w:tabs>
              <w:spacing w:line="360" w:lineRule="auto"/>
              <w:jc w:val="center"/>
              <w:rPr>
                <w:rFonts w:ascii="Arabic Transparent" w:hAnsi="Arabic Transparent" w:cs="Arabic Transparent"/>
                <w:sz w:val="32"/>
                <w:szCs w:val="32"/>
                <w:rtl/>
                <w:lang w:bidi="ar-JO"/>
              </w:rPr>
            </w:pPr>
            <w:r>
              <w:rPr>
                <w:rFonts w:ascii="Arabic Transparent" w:hAnsi="Arabic Transparent" w:cs="Arabic Transparent" w:hint="cs"/>
                <w:sz w:val="32"/>
                <w:szCs w:val="32"/>
                <w:rtl/>
                <w:lang w:bidi="ar-JO"/>
              </w:rPr>
              <w:t>33</w:t>
            </w:r>
          </w:p>
        </w:tc>
      </w:tr>
      <w:tr w:rsidR="009C30B9" w:rsidRPr="00827CC8" w14:paraId="4146782B" w14:textId="77777777" w:rsidTr="003D6867">
        <w:trPr>
          <w:trHeight w:hRule="exact" w:val="506"/>
        </w:trPr>
        <w:tc>
          <w:tcPr>
            <w:tcW w:w="7296" w:type="dxa"/>
          </w:tcPr>
          <w:p w14:paraId="427C25F3" w14:textId="16C84ED6" w:rsidR="009C30B9" w:rsidRPr="00F87408" w:rsidRDefault="009C30B9" w:rsidP="00670D2F">
            <w:pPr>
              <w:tabs>
                <w:tab w:val="right" w:pos="706"/>
              </w:tabs>
              <w:spacing w:line="360" w:lineRule="auto"/>
              <w:jc w:val="both"/>
              <w:rPr>
                <w:rFonts w:ascii="Arabic Transparent" w:hAnsi="Arabic Transparent" w:cs="Arabic Transparent"/>
                <w:sz w:val="30"/>
                <w:szCs w:val="30"/>
                <w:rtl/>
                <w:lang w:bidi="ar-JO"/>
              </w:rPr>
            </w:pPr>
            <w:r w:rsidRPr="00F87408">
              <w:rPr>
                <w:rFonts w:ascii="Arabic Transparent" w:hAnsi="Arabic Transparent" w:cs="Arabic Transparent" w:hint="cs"/>
                <w:sz w:val="30"/>
                <w:szCs w:val="30"/>
                <w:rtl/>
                <w:lang w:bidi="ar-JO"/>
              </w:rPr>
              <w:t>المطلب الأول: موقع تحقيق المناط الخاص من الاجتهاد</w:t>
            </w:r>
          </w:p>
        </w:tc>
        <w:tc>
          <w:tcPr>
            <w:tcW w:w="1669" w:type="dxa"/>
          </w:tcPr>
          <w:p w14:paraId="2FC8B14C" w14:textId="783E5E95" w:rsidR="009C30B9" w:rsidRPr="00E94108" w:rsidRDefault="00DF2B78" w:rsidP="00670D2F">
            <w:pPr>
              <w:tabs>
                <w:tab w:val="right" w:pos="706"/>
              </w:tabs>
              <w:spacing w:line="360" w:lineRule="auto"/>
              <w:jc w:val="center"/>
              <w:rPr>
                <w:rFonts w:ascii="Arabic Transparent" w:hAnsi="Arabic Transparent" w:cs="Arabic Transparent"/>
                <w:sz w:val="32"/>
                <w:szCs w:val="32"/>
                <w:rtl/>
                <w:lang w:bidi="ar-JO"/>
              </w:rPr>
            </w:pPr>
            <w:r>
              <w:rPr>
                <w:rFonts w:ascii="Arabic Transparent" w:hAnsi="Arabic Transparent" w:cs="Arabic Transparent" w:hint="cs"/>
                <w:sz w:val="32"/>
                <w:szCs w:val="32"/>
                <w:rtl/>
                <w:lang w:bidi="ar-JO"/>
              </w:rPr>
              <w:t>33</w:t>
            </w:r>
          </w:p>
        </w:tc>
      </w:tr>
      <w:tr w:rsidR="009C30B9" w:rsidRPr="00827CC8" w14:paraId="14C45660" w14:textId="77777777" w:rsidTr="003D6867">
        <w:trPr>
          <w:trHeight w:hRule="exact" w:val="506"/>
        </w:trPr>
        <w:tc>
          <w:tcPr>
            <w:tcW w:w="7296" w:type="dxa"/>
          </w:tcPr>
          <w:p w14:paraId="477CCF01" w14:textId="576BD683" w:rsidR="009C30B9" w:rsidRPr="00F87408" w:rsidRDefault="009C30B9" w:rsidP="00670D2F">
            <w:pPr>
              <w:tabs>
                <w:tab w:val="right" w:pos="706"/>
              </w:tabs>
              <w:spacing w:line="360" w:lineRule="auto"/>
              <w:jc w:val="both"/>
              <w:rPr>
                <w:rFonts w:ascii="Arabic Transparent" w:hAnsi="Arabic Transparent" w:cs="Arabic Transparent"/>
                <w:sz w:val="30"/>
                <w:szCs w:val="30"/>
                <w:rtl/>
                <w:lang w:bidi="ar-JO"/>
              </w:rPr>
            </w:pPr>
            <w:r w:rsidRPr="00F87408">
              <w:rPr>
                <w:rFonts w:ascii="Arabic Transparent" w:hAnsi="Arabic Transparent" w:cs="Arabic Transparent" w:hint="cs"/>
                <w:sz w:val="30"/>
                <w:szCs w:val="30"/>
                <w:rtl/>
                <w:lang w:bidi="ar-JO"/>
              </w:rPr>
              <w:t xml:space="preserve">المطلب الثاني: </w:t>
            </w:r>
            <w:r w:rsidRPr="00F87408">
              <w:rPr>
                <w:rFonts w:ascii="Arabic Transparent" w:hAnsi="Arabic Transparent" w:cs="Arabic Transparent"/>
                <w:sz w:val="30"/>
                <w:szCs w:val="30"/>
                <w:rtl/>
                <w:lang w:bidi="ar-JO"/>
              </w:rPr>
              <w:t>مجال تحقيق المناط الخاص</w:t>
            </w:r>
          </w:p>
        </w:tc>
        <w:tc>
          <w:tcPr>
            <w:tcW w:w="1669" w:type="dxa"/>
          </w:tcPr>
          <w:p w14:paraId="1A1E3AD9" w14:textId="6E8D9486" w:rsidR="009C30B9" w:rsidRPr="00E94108" w:rsidRDefault="00DF2B78" w:rsidP="00670D2F">
            <w:pPr>
              <w:tabs>
                <w:tab w:val="right" w:pos="706"/>
              </w:tabs>
              <w:spacing w:line="360" w:lineRule="auto"/>
              <w:jc w:val="center"/>
              <w:rPr>
                <w:rFonts w:ascii="Arabic Transparent" w:hAnsi="Arabic Transparent" w:cs="Arabic Transparent"/>
                <w:sz w:val="32"/>
                <w:szCs w:val="32"/>
                <w:rtl/>
                <w:lang w:bidi="ar-JO"/>
              </w:rPr>
            </w:pPr>
            <w:r>
              <w:rPr>
                <w:rFonts w:ascii="Arabic Transparent" w:hAnsi="Arabic Transparent" w:cs="Arabic Transparent" w:hint="cs"/>
                <w:sz w:val="32"/>
                <w:szCs w:val="32"/>
                <w:rtl/>
                <w:lang w:bidi="ar-JO"/>
              </w:rPr>
              <w:t>37</w:t>
            </w:r>
          </w:p>
        </w:tc>
      </w:tr>
      <w:tr w:rsidR="009C30B9" w:rsidRPr="00827CC8" w14:paraId="1E2BD7CA" w14:textId="77777777" w:rsidTr="003D6867">
        <w:trPr>
          <w:trHeight w:hRule="exact" w:val="506"/>
        </w:trPr>
        <w:tc>
          <w:tcPr>
            <w:tcW w:w="7296" w:type="dxa"/>
          </w:tcPr>
          <w:p w14:paraId="24FFB679" w14:textId="132AC060" w:rsidR="009C30B9" w:rsidRDefault="009C30B9" w:rsidP="00670D2F">
            <w:pPr>
              <w:tabs>
                <w:tab w:val="right" w:pos="706"/>
              </w:tabs>
              <w:spacing w:line="360" w:lineRule="auto"/>
              <w:jc w:val="both"/>
              <w:rPr>
                <w:rFonts w:ascii="Arabic Transparent" w:hAnsi="Arabic Transparent" w:cs="Arabic Transparent"/>
                <w:sz w:val="30"/>
                <w:szCs w:val="30"/>
                <w:rtl/>
                <w:lang w:bidi="ar-JO"/>
              </w:rPr>
            </w:pPr>
            <w:r w:rsidRPr="00F87408">
              <w:rPr>
                <w:rFonts w:ascii="Arabic Transparent" w:hAnsi="Arabic Transparent" w:cs="Arabic Transparent" w:hint="cs"/>
                <w:sz w:val="30"/>
                <w:szCs w:val="30"/>
                <w:rtl/>
                <w:lang w:bidi="ar-JO"/>
              </w:rPr>
              <w:t>المطلب الثالث: ضوابط تحقيق المناط الخاص</w:t>
            </w:r>
          </w:p>
          <w:p w14:paraId="4B32558D" w14:textId="7A0F5B67" w:rsidR="00EE1CAB" w:rsidRPr="00F87408" w:rsidRDefault="00EE1CAB" w:rsidP="00670D2F">
            <w:pPr>
              <w:tabs>
                <w:tab w:val="right" w:pos="706"/>
              </w:tabs>
              <w:spacing w:line="360" w:lineRule="auto"/>
              <w:jc w:val="both"/>
              <w:rPr>
                <w:rFonts w:ascii="Arabic Transparent" w:hAnsi="Arabic Transparent" w:cs="Arabic Transparent"/>
                <w:sz w:val="30"/>
                <w:szCs w:val="30"/>
                <w:rtl/>
                <w:lang w:bidi="ar-JO"/>
              </w:rPr>
            </w:pPr>
          </w:p>
        </w:tc>
        <w:tc>
          <w:tcPr>
            <w:tcW w:w="1669" w:type="dxa"/>
          </w:tcPr>
          <w:p w14:paraId="6508D04C" w14:textId="097C5609" w:rsidR="009C30B9" w:rsidRPr="00E94108" w:rsidRDefault="00DF2B78" w:rsidP="00670D2F">
            <w:pPr>
              <w:tabs>
                <w:tab w:val="right" w:pos="706"/>
              </w:tabs>
              <w:spacing w:line="360" w:lineRule="auto"/>
              <w:jc w:val="center"/>
              <w:rPr>
                <w:rFonts w:ascii="Arabic Transparent" w:hAnsi="Arabic Transparent" w:cs="Arabic Transparent"/>
                <w:sz w:val="32"/>
                <w:szCs w:val="32"/>
                <w:rtl/>
                <w:lang w:bidi="ar-JO"/>
              </w:rPr>
            </w:pPr>
            <w:r>
              <w:rPr>
                <w:rFonts w:ascii="Arabic Transparent" w:hAnsi="Arabic Transparent" w:cs="Arabic Transparent" w:hint="cs"/>
                <w:sz w:val="32"/>
                <w:szCs w:val="32"/>
                <w:rtl/>
                <w:lang w:bidi="ar-JO"/>
              </w:rPr>
              <w:t>39</w:t>
            </w:r>
          </w:p>
        </w:tc>
      </w:tr>
      <w:tr w:rsidR="009C30B9" w:rsidRPr="00827CC8" w14:paraId="267652D4" w14:textId="77777777" w:rsidTr="003D6867">
        <w:trPr>
          <w:trHeight w:hRule="exact" w:val="506"/>
        </w:trPr>
        <w:tc>
          <w:tcPr>
            <w:tcW w:w="7296" w:type="dxa"/>
          </w:tcPr>
          <w:p w14:paraId="1302349B" w14:textId="6DE9D28A" w:rsidR="009C30B9" w:rsidRPr="00F87408" w:rsidRDefault="009C30B9" w:rsidP="00670D2F">
            <w:pPr>
              <w:tabs>
                <w:tab w:val="right" w:pos="706"/>
              </w:tabs>
              <w:spacing w:line="360" w:lineRule="auto"/>
              <w:ind w:left="240"/>
              <w:jc w:val="center"/>
              <w:rPr>
                <w:rFonts w:ascii="Arabic Transparent" w:hAnsi="Arabic Transparent" w:cs="Arabic Transparent"/>
                <w:b/>
                <w:bCs/>
                <w:sz w:val="30"/>
                <w:szCs w:val="30"/>
                <w:rtl/>
                <w:lang w:bidi="ar-JO"/>
              </w:rPr>
            </w:pPr>
            <w:r w:rsidRPr="00F87408">
              <w:rPr>
                <w:rFonts w:ascii="Arabic Transparent" w:hAnsi="Arabic Transparent" w:cs="Arabic Transparent" w:hint="cs"/>
                <w:b/>
                <w:bCs/>
                <w:sz w:val="30"/>
                <w:szCs w:val="30"/>
                <w:rtl/>
                <w:lang w:bidi="ar-JO"/>
              </w:rPr>
              <w:t xml:space="preserve">الفصل الثاني: </w:t>
            </w:r>
            <w:r w:rsidRPr="00F87408">
              <w:rPr>
                <w:rFonts w:ascii="Arabic Transparent" w:hAnsi="Arabic Transparent" w:cs="Arabic Transparent"/>
                <w:b/>
                <w:bCs/>
                <w:sz w:val="30"/>
                <w:szCs w:val="30"/>
                <w:rtl/>
                <w:lang w:bidi="ar-JO"/>
              </w:rPr>
              <w:t>التَّفاوت في المعاملات المالية تعريفا وتأصيلاً</w:t>
            </w:r>
          </w:p>
        </w:tc>
        <w:tc>
          <w:tcPr>
            <w:tcW w:w="1669" w:type="dxa"/>
          </w:tcPr>
          <w:p w14:paraId="56A8D814" w14:textId="24AF0806" w:rsidR="009C30B9" w:rsidRPr="00E94108" w:rsidRDefault="00DF2B78" w:rsidP="00670D2F">
            <w:pPr>
              <w:tabs>
                <w:tab w:val="right" w:pos="706"/>
              </w:tabs>
              <w:spacing w:line="360" w:lineRule="auto"/>
              <w:jc w:val="center"/>
              <w:rPr>
                <w:rFonts w:ascii="Arabic Transparent" w:hAnsi="Arabic Transparent" w:cs="Arabic Transparent"/>
                <w:sz w:val="32"/>
                <w:szCs w:val="32"/>
                <w:rtl/>
                <w:lang w:bidi="ar-JO"/>
              </w:rPr>
            </w:pPr>
            <w:r>
              <w:rPr>
                <w:rFonts w:ascii="Arabic Transparent" w:hAnsi="Arabic Transparent" w:cs="Arabic Transparent" w:hint="cs"/>
                <w:sz w:val="32"/>
                <w:szCs w:val="32"/>
                <w:rtl/>
                <w:lang w:bidi="ar-JO"/>
              </w:rPr>
              <w:t>46</w:t>
            </w:r>
          </w:p>
        </w:tc>
      </w:tr>
      <w:tr w:rsidR="009C30B9" w:rsidRPr="00827CC8" w14:paraId="6EF61DCA" w14:textId="77777777" w:rsidTr="003D6867">
        <w:trPr>
          <w:trHeight w:hRule="exact" w:val="506"/>
        </w:trPr>
        <w:tc>
          <w:tcPr>
            <w:tcW w:w="7296" w:type="dxa"/>
          </w:tcPr>
          <w:p w14:paraId="24546782" w14:textId="1A095B55" w:rsidR="009C30B9" w:rsidRPr="00F87408" w:rsidRDefault="009C30B9" w:rsidP="00670D2F">
            <w:pPr>
              <w:tabs>
                <w:tab w:val="right" w:pos="706"/>
              </w:tabs>
              <w:spacing w:line="360" w:lineRule="auto"/>
              <w:jc w:val="both"/>
              <w:rPr>
                <w:rFonts w:ascii="Arabic Transparent" w:hAnsi="Arabic Transparent" w:cs="Arabic Transparent"/>
                <w:sz w:val="30"/>
                <w:szCs w:val="30"/>
                <w:rtl/>
                <w:lang w:bidi="ar-JO"/>
              </w:rPr>
            </w:pPr>
            <w:r w:rsidRPr="00F87408">
              <w:rPr>
                <w:rFonts w:ascii="Arabic Transparent" w:hAnsi="Arabic Transparent" w:cs="Arabic Transparent" w:hint="cs"/>
                <w:sz w:val="30"/>
                <w:szCs w:val="30"/>
                <w:rtl/>
                <w:lang w:bidi="ar-JO"/>
              </w:rPr>
              <w:t xml:space="preserve">المبحث الأول: </w:t>
            </w:r>
            <w:r w:rsidRPr="00F87408">
              <w:rPr>
                <w:rFonts w:ascii="Arabic Transparent" w:hAnsi="Arabic Transparent" w:cs="Arabic Transparent"/>
                <w:sz w:val="30"/>
                <w:szCs w:val="30"/>
                <w:rtl/>
                <w:lang w:bidi="ar-JO"/>
              </w:rPr>
              <w:t>تعريف التَّفاوت والألفاظ ذات الصلة</w:t>
            </w:r>
          </w:p>
        </w:tc>
        <w:tc>
          <w:tcPr>
            <w:tcW w:w="1669" w:type="dxa"/>
          </w:tcPr>
          <w:p w14:paraId="5513AD8F" w14:textId="67E2BA1B" w:rsidR="009C30B9" w:rsidRPr="00E94108" w:rsidRDefault="00DF2B78" w:rsidP="00670D2F">
            <w:pPr>
              <w:tabs>
                <w:tab w:val="right" w:pos="706"/>
              </w:tabs>
              <w:spacing w:line="360" w:lineRule="auto"/>
              <w:jc w:val="center"/>
              <w:rPr>
                <w:rFonts w:ascii="Arabic Transparent" w:hAnsi="Arabic Transparent" w:cs="Arabic Transparent"/>
                <w:sz w:val="32"/>
                <w:szCs w:val="32"/>
                <w:rtl/>
                <w:lang w:bidi="ar-JO"/>
              </w:rPr>
            </w:pPr>
            <w:r>
              <w:rPr>
                <w:rFonts w:ascii="Arabic Transparent" w:hAnsi="Arabic Transparent" w:cs="Arabic Transparent" w:hint="cs"/>
                <w:sz w:val="32"/>
                <w:szCs w:val="32"/>
                <w:rtl/>
                <w:lang w:bidi="ar-JO"/>
              </w:rPr>
              <w:t>46</w:t>
            </w:r>
          </w:p>
        </w:tc>
      </w:tr>
      <w:tr w:rsidR="009C30B9" w:rsidRPr="00827CC8" w14:paraId="4530E740" w14:textId="77777777" w:rsidTr="003D6867">
        <w:trPr>
          <w:trHeight w:hRule="exact" w:val="506"/>
        </w:trPr>
        <w:tc>
          <w:tcPr>
            <w:tcW w:w="7296" w:type="dxa"/>
          </w:tcPr>
          <w:p w14:paraId="72E1BC3A" w14:textId="2685FB20" w:rsidR="009C30B9" w:rsidRPr="00F87408" w:rsidRDefault="009C30B9" w:rsidP="00670D2F">
            <w:pPr>
              <w:tabs>
                <w:tab w:val="right" w:pos="706"/>
              </w:tabs>
              <w:spacing w:line="360" w:lineRule="auto"/>
              <w:jc w:val="both"/>
              <w:rPr>
                <w:rFonts w:ascii="Arabic Transparent" w:hAnsi="Arabic Transparent" w:cs="Arabic Transparent"/>
                <w:sz w:val="30"/>
                <w:szCs w:val="30"/>
                <w:rtl/>
                <w:lang w:bidi="ar-JO"/>
              </w:rPr>
            </w:pPr>
            <w:r w:rsidRPr="00F87408">
              <w:rPr>
                <w:rFonts w:ascii="Arabic Transparent" w:hAnsi="Arabic Transparent" w:cs="Arabic Transparent" w:hint="cs"/>
                <w:sz w:val="30"/>
                <w:szCs w:val="30"/>
                <w:rtl/>
                <w:lang w:bidi="ar-JO"/>
              </w:rPr>
              <w:t xml:space="preserve">المطلب الأول: </w:t>
            </w:r>
            <w:r w:rsidRPr="00F87408">
              <w:rPr>
                <w:rFonts w:ascii="Arabic Transparent" w:hAnsi="Arabic Transparent" w:cs="Arabic Transparent"/>
                <w:sz w:val="30"/>
                <w:szCs w:val="30"/>
                <w:rtl/>
                <w:lang w:bidi="ar-JO"/>
              </w:rPr>
              <w:t>تعريف التَّفاوت لغةً واصطلاح</w:t>
            </w:r>
            <w:r w:rsidRPr="00F87408">
              <w:rPr>
                <w:rFonts w:ascii="Arabic Transparent" w:hAnsi="Arabic Transparent" w:cs="Arabic Transparent" w:hint="cs"/>
                <w:sz w:val="30"/>
                <w:szCs w:val="30"/>
                <w:rtl/>
                <w:lang w:bidi="ar-JO"/>
              </w:rPr>
              <w:t>اً</w:t>
            </w:r>
          </w:p>
        </w:tc>
        <w:tc>
          <w:tcPr>
            <w:tcW w:w="1669" w:type="dxa"/>
          </w:tcPr>
          <w:p w14:paraId="58FEE1FF" w14:textId="2E02BAA3" w:rsidR="009C30B9" w:rsidRPr="00827CC8" w:rsidRDefault="00DF2B78" w:rsidP="00670D2F">
            <w:pPr>
              <w:tabs>
                <w:tab w:val="right" w:pos="706"/>
              </w:tabs>
              <w:spacing w:line="360" w:lineRule="auto"/>
              <w:jc w:val="center"/>
              <w:rPr>
                <w:rFonts w:ascii="Arabic Transparent" w:hAnsi="Arabic Transparent" w:cs="Arabic Transparent"/>
                <w:sz w:val="32"/>
                <w:szCs w:val="32"/>
                <w:rtl/>
                <w:lang w:bidi="ar-JO"/>
              </w:rPr>
            </w:pPr>
            <w:r>
              <w:rPr>
                <w:rFonts w:ascii="Arabic Transparent" w:hAnsi="Arabic Transparent" w:cs="Arabic Transparent" w:hint="cs"/>
                <w:sz w:val="32"/>
                <w:szCs w:val="32"/>
                <w:rtl/>
                <w:lang w:bidi="ar-JO"/>
              </w:rPr>
              <w:t>46</w:t>
            </w:r>
          </w:p>
        </w:tc>
      </w:tr>
      <w:tr w:rsidR="009C30B9" w:rsidRPr="00827CC8" w14:paraId="52C254BC" w14:textId="77777777" w:rsidTr="003D6867">
        <w:trPr>
          <w:trHeight w:hRule="exact" w:val="506"/>
        </w:trPr>
        <w:tc>
          <w:tcPr>
            <w:tcW w:w="7296" w:type="dxa"/>
          </w:tcPr>
          <w:p w14:paraId="00246682" w14:textId="55B76218" w:rsidR="009C30B9" w:rsidRPr="00F87408" w:rsidRDefault="009C30B9" w:rsidP="00670D2F">
            <w:pPr>
              <w:tabs>
                <w:tab w:val="right" w:pos="706"/>
              </w:tabs>
              <w:spacing w:line="360" w:lineRule="auto"/>
              <w:jc w:val="both"/>
              <w:rPr>
                <w:rFonts w:ascii="Arabic Transparent" w:hAnsi="Arabic Transparent" w:cs="Arabic Transparent"/>
                <w:sz w:val="30"/>
                <w:szCs w:val="30"/>
                <w:rtl/>
                <w:lang w:bidi="ar-JO"/>
              </w:rPr>
            </w:pPr>
            <w:r w:rsidRPr="00F87408">
              <w:rPr>
                <w:rFonts w:ascii="Arabic Transparent" w:hAnsi="Arabic Transparent" w:cs="Arabic Transparent" w:hint="cs"/>
                <w:sz w:val="30"/>
                <w:szCs w:val="30"/>
                <w:rtl/>
                <w:lang w:bidi="ar-JO"/>
              </w:rPr>
              <w:t xml:space="preserve">المطلب الثاني: </w:t>
            </w:r>
            <w:r w:rsidRPr="00F87408">
              <w:rPr>
                <w:rFonts w:ascii="Arabic Transparent" w:hAnsi="Arabic Transparent" w:cs="Arabic Transparent"/>
                <w:sz w:val="30"/>
                <w:szCs w:val="30"/>
                <w:rtl/>
                <w:lang w:bidi="ar-JO"/>
              </w:rPr>
              <w:t>تعريف التَّفاوت في تحقيق المناط الخاص باعتباره لقبا</w:t>
            </w:r>
            <w:r w:rsidRPr="00F87408">
              <w:rPr>
                <w:rFonts w:ascii="Arabic Transparent" w:hAnsi="Arabic Transparent" w:cs="Arabic Transparent" w:hint="cs"/>
                <w:sz w:val="30"/>
                <w:szCs w:val="30"/>
                <w:rtl/>
                <w:lang w:bidi="ar-JO"/>
              </w:rPr>
              <w:t>ً</w:t>
            </w:r>
          </w:p>
        </w:tc>
        <w:tc>
          <w:tcPr>
            <w:tcW w:w="1669" w:type="dxa"/>
          </w:tcPr>
          <w:p w14:paraId="0F7D3E0E" w14:textId="61125180" w:rsidR="009C30B9" w:rsidRPr="00827CC8" w:rsidRDefault="00DF2B78" w:rsidP="00670D2F">
            <w:pPr>
              <w:tabs>
                <w:tab w:val="right" w:pos="706"/>
              </w:tabs>
              <w:spacing w:line="360" w:lineRule="auto"/>
              <w:jc w:val="center"/>
              <w:rPr>
                <w:rFonts w:ascii="Arabic Transparent" w:hAnsi="Arabic Transparent" w:cs="Arabic Transparent"/>
                <w:sz w:val="32"/>
                <w:szCs w:val="32"/>
                <w:rtl/>
                <w:lang w:bidi="ar-JO"/>
              </w:rPr>
            </w:pPr>
            <w:r>
              <w:rPr>
                <w:rFonts w:ascii="Arabic Transparent" w:hAnsi="Arabic Transparent" w:cs="Arabic Transparent" w:hint="cs"/>
                <w:sz w:val="32"/>
                <w:szCs w:val="32"/>
                <w:rtl/>
                <w:lang w:bidi="ar-JO"/>
              </w:rPr>
              <w:t>49</w:t>
            </w:r>
          </w:p>
        </w:tc>
      </w:tr>
      <w:tr w:rsidR="009C30B9" w:rsidRPr="00827CC8" w14:paraId="0A0CF6CC" w14:textId="77777777" w:rsidTr="003D6867">
        <w:trPr>
          <w:trHeight w:hRule="exact" w:val="506"/>
        </w:trPr>
        <w:tc>
          <w:tcPr>
            <w:tcW w:w="7296" w:type="dxa"/>
          </w:tcPr>
          <w:p w14:paraId="04399A9B" w14:textId="52E6AA7F" w:rsidR="009C30B9" w:rsidRPr="00F87408" w:rsidRDefault="009C30B9" w:rsidP="00670D2F">
            <w:pPr>
              <w:tabs>
                <w:tab w:val="right" w:pos="706"/>
              </w:tabs>
              <w:spacing w:line="360" w:lineRule="auto"/>
              <w:jc w:val="both"/>
              <w:rPr>
                <w:rFonts w:ascii="Arabic Transparent" w:hAnsi="Arabic Transparent" w:cs="Arabic Transparent"/>
                <w:sz w:val="30"/>
                <w:szCs w:val="30"/>
                <w:rtl/>
                <w:lang w:bidi="ar-JO"/>
              </w:rPr>
            </w:pPr>
            <w:r w:rsidRPr="00F87408">
              <w:rPr>
                <w:rFonts w:ascii="Arabic Transparent" w:hAnsi="Arabic Transparent" w:cs="Arabic Transparent" w:hint="cs"/>
                <w:sz w:val="30"/>
                <w:szCs w:val="30"/>
                <w:rtl/>
                <w:lang w:bidi="ar-JO"/>
              </w:rPr>
              <w:t>المطلب الثالث: الألفاظ ذات الصلة</w:t>
            </w:r>
          </w:p>
        </w:tc>
        <w:tc>
          <w:tcPr>
            <w:tcW w:w="1669" w:type="dxa"/>
          </w:tcPr>
          <w:p w14:paraId="30ECDDFD" w14:textId="6A7E3CEF" w:rsidR="009C30B9" w:rsidRPr="00827CC8" w:rsidRDefault="00DF2B78" w:rsidP="00670D2F">
            <w:pPr>
              <w:tabs>
                <w:tab w:val="right" w:pos="706"/>
              </w:tabs>
              <w:spacing w:line="360" w:lineRule="auto"/>
              <w:jc w:val="center"/>
              <w:rPr>
                <w:rFonts w:ascii="Arabic Transparent" w:hAnsi="Arabic Transparent" w:cs="Arabic Transparent"/>
                <w:sz w:val="32"/>
                <w:szCs w:val="32"/>
                <w:rtl/>
                <w:lang w:bidi="ar-JO"/>
              </w:rPr>
            </w:pPr>
            <w:r>
              <w:rPr>
                <w:rFonts w:ascii="Arabic Transparent" w:hAnsi="Arabic Transparent" w:cs="Arabic Transparent" w:hint="cs"/>
                <w:sz w:val="32"/>
                <w:szCs w:val="32"/>
                <w:rtl/>
                <w:lang w:bidi="ar-JO"/>
              </w:rPr>
              <w:t>50</w:t>
            </w:r>
          </w:p>
        </w:tc>
      </w:tr>
      <w:tr w:rsidR="009C30B9" w:rsidRPr="00827CC8" w14:paraId="764CAFF0" w14:textId="77777777" w:rsidTr="003D6867">
        <w:trPr>
          <w:trHeight w:hRule="exact" w:val="506"/>
        </w:trPr>
        <w:tc>
          <w:tcPr>
            <w:tcW w:w="7296" w:type="dxa"/>
          </w:tcPr>
          <w:p w14:paraId="2E64B951" w14:textId="31046E6C" w:rsidR="009C30B9" w:rsidRPr="00F87408" w:rsidRDefault="009C30B9" w:rsidP="00670D2F">
            <w:pPr>
              <w:tabs>
                <w:tab w:val="right" w:pos="706"/>
              </w:tabs>
              <w:spacing w:line="360" w:lineRule="auto"/>
              <w:jc w:val="both"/>
              <w:rPr>
                <w:rFonts w:ascii="Arabic Transparent" w:hAnsi="Arabic Transparent" w:cs="Arabic Transparent"/>
                <w:sz w:val="30"/>
                <w:szCs w:val="30"/>
                <w:rtl/>
                <w:lang w:bidi="ar-JO"/>
              </w:rPr>
            </w:pPr>
            <w:r w:rsidRPr="00F87408">
              <w:rPr>
                <w:rFonts w:ascii="Arabic Transparent" w:hAnsi="Arabic Transparent" w:cs="Arabic Transparent" w:hint="cs"/>
                <w:sz w:val="30"/>
                <w:szCs w:val="30"/>
                <w:rtl/>
                <w:lang w:bidi="ar-JO"/>
              </w:rPr>
              <w:t xml:space="preserve">المبحث الثاني: </w:t>
            </w:r>
            <w:r w:rsidRPr="00F87408">
              <w:rPr>
                <w:rFonts w:ascii="Arabic Transparent" w:hAnsi="Arabic Transparent" w:cs="Arabic Transparent"/>
                <w:sz w:val="30"/>
                <w:szCs w:val="30"/>
                <w:rtl/>
                <w:lang w:bidi="ar-JO"/>
              </w:rPr>
              <w:t>مشروعية التَّفاوت وبيان أركانه وشروطه</w:t>
            </w:r>
          </w:p>
        </w:tc>
        <w:tc>
          <w:tcPr>
            <w:tcW w:w="1669" w:type="dxa"/>
          </w:tcPr>
          <w:p w14:paraId="69261DA8" w14:textId="609CC011" w:rsidR="009C30B9" w:rsidRPr="00827CC8" w:rsidRDefault="00DF2B78" w:rsidP="00670D2F">
            <w:pPr>
              <w:tabs>
                <w:tab w:val="right" w:pos="706"/>
              </w:tabs>
              <w:spacing w:line="360" w:lineRule="auto"/>
              <w:jc w:val="center"/>
              <w:rPr>
                <w:rFonts w:ascii="Arabic Transparent" w:hAnsi="Arabic Transparent" w:cs="Arabic Transparent"/>
                <w:sz w:val="32"/>
                <w:szCs w:val="32"/>
                <w:rtl/>
                <w:lang w:bidi="ar-JO"/>
              </w:rPr>
            </w:pPr>
            <w:r>
              <w:rPr>
                <w:rFonts w:ascii="Arabic Transparent" w:hAnsi="Arabic Transparent" w:cs="Arabic Transparent" w:hint="cs"/>
                <w:sz w:val="32"/>
                <w:szCs w:val="32"/>
                <w:rtl/>
                <w:lang w:bidi="ar-JO"/>
              </w:rPr>
              <w:t>56</w:t>
            </w:r>
          </w:p>
        </w:tc>
      </w:tr>
      <w:tr w:rsidR="009C30B9" w:rsidRPr="00827CC8" w14:paraId="027B198F" w14:textId="77777777" w:rsidTr="003D6867">
        <w:trPr>
          <w:trHeight w:hRule="exact" w:val="506"/>
        </w:trPr>
        <w:tc>
          <w:tcPr>
            <w:tcW w:w="7296" w:type="dxa"/>
          </w:tcPr>
          <w:p w14:paraId="77067854" w14:textId="4230A176" w:rsidR="009C30B9" w:rsidRPr="00F87408" w:rsidRDefault="009C30B9" w:rsidP="00670D2F">
            <w:pPr>
              <w:tabs>
                <w:tab w:val="right" w:pos="706"/>
              </w:tabs>
              <w:spacing w:line="360" w:lineRule="auto"/>
              <w:jc w:val="both"/>
              <w:rPr>
                <w:rFonts w:ascii="Arabic Transparent" w:hAnsi="Arabic Transparent" w:cs="Arabic Transparent"/>
                <w:sz w:val="30"/>
                <w:szCs w:val="30"/>
                <w:rtl/>
                <w:lang w:bidi="ar-JO"/>
              </w:rPr>
            </w:pPr>
            <w:r w:rsidRPr="00F87408">
              <w:rPr>
                <w:rFonts w:ascii="Arabic Transparent" w:hAnsi="Arabic Transparent" w:cs="Arabic Transparent" w:hint="cs"/>
                <w:sz w:val="30"/>
                <w:szCs w:val="30"/>
                <w:rtl/>
                <w:lang w:bidi="ar-JO"/>
              </w:rPr>
              <w:t xml:space="preserve">المطلب الأول: </w:t>
            </w:r>
            <w:r w:rsidRPr="00F87408">
              <w:rPr>
                <w:rFonts w:ascii="Arabic Transparent" w:hAnsi="Arabic Transparent" w:cs="Arabic Transparent"/>
                <w:sz w:val="30"/>
                <w:szCs w:val="30"/>
                <w:rtl/>
                <w:lang w:bidi="ar-JO"/>
              </w:rPr>
              <w:t>مشروعية التفاوت وأنواعه</w:t>
            </w:r>
          </w:p>
        </w:tc>
        <w:tc>
          <w:tcPr>
            <w:tcW w:w="1669" w:type="dxa"/>
          </w:tcPr>
          <w:p w14:paraId="4E432F51" w14:textId="1D268180" w:rsidR="009C30B9" w:rsidRPr="00827CC8" w:rsidRDefault="00DF2B78" w:rsidP="00670D2F">
            <w:pPr>
              <w:tabs>
                <w:tab w:val="right" w:pos="706"/>
              </w:tabs>
              <w:spacing w:line="360" w:lineRule="auto"/>
              <w:jc w:val="center"/>
              <w:rPr>
                <w:rFonts w:ascii="Arabic Transparent" w:hAnsi="Arabic Transparent" w:cs="Arabic Transparent"/>
                <w:sz w:val="32"/>
                <w:szCs w:val="32"/>
                <w:rtl/>
                <w:lang w:bidi="ar-JO"/>
              </w:rPr>
            </w:pPr>
            <w:r>
              <w:rPr>
                <w:rFonts w:ascii="Arabic Transparent" w:hAnsi="Arabic Transparent" w:cs="Arabic Transparent" w:hint="cs"/>
                <w:sz w:val="32"/>
                <w:szCs w:val="32"/>
                <w:rtl/>
                <w:lang w:bidi="ar-JO"/>
              </w:rPr>
              <w:t>56</w:t>
            </w:r>
          </w:p>
        </w:tc>
      </w:tr>
      <w:tr w:rsidR="009C30B9" w:rsidRPr="00827CC8" w14:paraId="384C9D13" w14:textId="77777777" w:rsidTr="003D6867">
        <w:trPr>
          <w:trHeight w:hRule="exact" w:val="506"/>
        </w:trPr>
        <w:tc>
          <w:tcPr>
            <w:tcW w:w="7296" w:type="dxa"/>
          </w:tcPr>
          <w:p w14:paraId="47904257" w14:textId="478A6B50" w:rsidR="009C30B9" w:rsidRPr="00F87408" w:rsidRDefault="009C30B9" w:rsidP="00670D2F">
            <w:pPr>
              <w:tabs>
                <w:tab w:val="right" w:pos="706"/>
              </w:tabs>
              <w:spacing w:line="360" w:lineRule="auto"/>
              <w:jc w:val="both"/>
              <w:rPr>
                <w:rFonts w:ascii="Arabic Transparent" w:hAnsi="Arabic Transparent" w:cs="Arabic Transparent"/>
                <w:sz w:val="30"/>
                <w:szCs w:val="30"/>
                <w:rtl/>
                <w:lang w:bidi="ar-JO"/>
              </w:rPr>
            </w:pPr>
            <w:r w:rsidRPr="00F87408">
              <w:rPr>
                <w:rFonts w:ascii="Arabic Transparent" w:hAnsi="Arabic Transparent" w:cs="Arabic Transparent" w:hint="cs"/>
                <w:sz w:val="30"/>
                <w:szCs w:val="30"/>
                <w:rtl/>
                <w:lang w:bidi="ar-JO"/>
              </w:rPr>
              <w:t xml:space="preserve">المطلب الثاني: </w:t>
            </w:r>
            <w:r w:rsidRPr="00F87408">
              <w:rPr>
                <w:rFonts w:ascii="Arabic Transparent" w:hAnsi="Arabic Transparent" w:cs="Arabic Transparent"/>
                <w:sz w:val="30"/>
                <w:szCs w:val="30"/>
                <w:rtl/>
                <w:lang w:bidi="ar-JO"/>
              </w:rPr>
              <w:t>أركان التفاوت في تحقيق المناط الخاص</w:t>
            </w:r>
          </w:p>
        </w:tc>
        <w:tc>
          <w:tcPr>
            <w:tcW w:w="1669" w:type="dxa"/>
          </w:tcPr>
          <w:p w14:paraId="044DD0B7" w14:textId="05B10B6B" w:rsidR="009C30B9" w:rsidRPr="00827CC8" w:rsidRDefault="00DF2B78" w:rsidP="00670D2F">
            <w:pPr>
              <w:tabs>
                <w:tab w:val="right" w:pos="706"/>
              </w:tabs>
              <w:spacing w:line="360" w:lineRule="auto"/>
              <w:jc w:val="center"/>
              <w:rPr>
                <w:rFonts w:ascii="Arabic Transparent" w:hAnsi="Arabic Transparent" w:cs="Arabic Transparent"/>
                <w:sz w:val="32"/>
                <w:szCs w:val="32"/>
                <w:rtl/>
                <w:lang w:bidi="ar-JO"/>
              </w:rPr>
            </w:pPr>
            <w:r>
              <w:rPr>
                <w:rFonts w:ascii="Arabic Transparent" w:hAnsi="Arabic Transparent" w:cs="Arabic Transparent" w:hint="cs"/>
                <w:sz w:val="32"/>
                <w:szCs w:val="32"/>
                <w:rtl/>
                <w:lang w:bidi="ar-JO"/>
              </w:rPr>
              <w:t>68</w:t>
            </w:r>
          </w:p>
        </w:tc>
      </w:tr>
      <w:tr w:rsidR="009C30B9" w:rsidRPr="00827CC8" w14:paraId="1CF4205E" w14:textId="77777777" w:rsidTr="003D6867">
        <w:trPr>
          <w:trHeight w:hRule="exact" w:val="506"/>
        </w:trPr>
        <w:tc>
          <w:tcPr>
            <w:tcW w:w="7296" w:type="dxa"/>
          </w:tcPr>
          <w:p w14:paraId="6E32BC43" w14:textId="53177FB0" w:rsidR="009C30B9" w:rsidRPr="00F87408" w:rsidRDefault="009C30B9" w:rsidP="00670D2F">
            <w:pPr>
              <w:tabs>
                <w:tab w:val="right" w:pos="706"/>
              </w:tabs>
              <w:spacing w:line="360" w:lineRule="auto"/>
              <w:jc w:val="both"/>
              <w:rPr>
                <w:rFonts w:ascii="Arabic Transparent" w:hAnsi="Arabic Transparent" w:cs="Arabic Transparent"/>
                <w:sz w:val="30"/>
                <w:szCs w:val="30"/>
                <w:rtl/>
                <w:lang w:bidi="ar-JO"/>
              </w:rPr>
            </w:pPr>
            <w:r w:rsidRPr="00F87408">
              <w:rPr>
                <w:rFonts w:ascii="Arabic Transparent" w:hAnsi="Arabic Transparent" w:cs="Arabic Transparent" w:hint="cs"/>
                <w:sz w:val="30"/>
                <w:szCs w:val="30"/>
                <w:rtl/>
                <w:lang w:bidi="ar-JO"/>
              </w:rPr>
              <w:t xml:space="preserve">المطلب الثالث: </w:t>
            </w:r>
            <w:r w:rsidRPr="00F87408">
              <w:rPr>
                <w:rFonts w:ascii="Arabic Transparent" w:hAnsi="Arabic Transparent" w:cs="Arabic Transparent"/>
                <w:sz w:val="30"/>
                <w:szCs w:val="30"/>
                <w:rtl/>
                <w:lang w:bidi="ar-JO"/>
              </w:rPr>
              <w:t>شروط التفاوت في تحقيق المناط الخاص</w:t>
            </w:r>
          </w:p>
        </w:tc>
        <w:tc>
          <w:tcPr>
            <w:tcW w:w="1669" w:type="dxa"/>
          </w:tcPr>
          <w:p w14:paraId="2B6D58CB" w14:textId="5E503EE9" w:rsidR="009C30B9" w:rsidRPr="00827CC8" w:rsidRDefault="00DF2B78" w:rsidP="00670D2F">
            <w:pPr>
              <w:tabs>
                <w:tab w:val="right" w:pos="706"/>
              </w:tabs>
              <w:spacing w:line="360" w:lineRule="auto"/>
              <w:jc w:val="center"/>
              <w:rPr>
                <w:rFonts w:ascii="Arabic Transparent" w:hAnsi="Arabic Transparent" w:cs="Arabic Transparent"/>
                <w:sz w:val="32"/>
                <w:szCs w:val="32"/>
                <w:rtl/>
                <w:lang w:bidi="ar-JO"/>
              </w:rPr>
            </w:pPr>
            <w:r>
              <w:rPr>
                <w:rFonts w:ascii="Arabic Transparent" w:hAnsi="Arabic Transparent" w:cs="Arabic Transparent" w:hint="cs"/>
                <w:sz w:val="32"/>
                <w:szCs w:val="32"/>
                <w:rtl/>
                <w:lang w:bidi="ar-JO"/>
              </w:rPr>
              <w:t>69</w:t>
            </w:r>
          </w:p>
        </w:tc>
      </w:tr>
      <w:tr w:rsidR="009C30B9" w:rsidRPr="00827CC8" w14:paraId="7B6F7073" w14:textId="77777777" w:rsidTr="003D6867">
        <w:trPr>
          <w:trHeight w:hRule="exact" w:val="506"/>
        </w:trPr>
        <w:tc>
          <w:tcPr>
            <w:tcW w:w="7296" w:type="dxa"/>
          </w:tcPr>
          <w:p w14:paraId="5C8A679A" w14:textId="544726F1" w:rsidR="009C30B9" w:rsidRPr="00F87408" w:rsidRDefault="009C30B9" w:rsidP="00670D2F">
            <w:pPr>
              <w:tabs>
                <w:tab w:val="right" w:pos="706"/>
              </w:tabs>
              <w:spacing w:line="360" w:lineRule="auto"/>
              <w:jc w:val="both"/>
              <w:rPr>
                <w:rFonts w:ascii="Arabic Transparent" w:hAnsi="Arabic Transparent" w:cs="Arabic Transparent"/>
                <w:sz w:val="30"/>
                <w:szCs w:val="30"/>
                <w:rtl/>
                <w:lang w:bidi="ar-JO"/>
              </w:rPr>
            </w:pPr>
            <w:r w:rsidRPr="00F87408">
              <w:rPr>
                <w:rFonts w:ascii="Arabic Transparent" w:hAnsi="Arabic Transparent" w:cs="Arabic Transparent" w:hint="cs"/>
                <w:sz w:val="30"/>
                <w:szCs w:val="30"/>
                <w:rtl/>
                <w:lang w:bidi="ar-JO"/>
              </w:rPr>
              <w:t xml:space="preserve">المبحث الثالث: </w:t>
            </w:r>
            <w:r w:rsidRPr="00F87408">
              <w:rPr>
                <w:rFonts w:ascii="Arabic Transparent" w:hAnsi="Arabic Transparent" w:cs="Arabic Transparent"/>
                <w:sz w:val="30"/>
                <w:szCs w:val="30"/>
                <w:rtl/>
                <w:lang w:bidi="ar-JO"/>
              </w:rPr>
              <w:t>أسباب التفاوت وبيان مراتبه وأصول ضبطه</w:t>
            </w:r>
          </w:p>
        </w:tc>
        <w:tc>
          <w:tcPr>
            <w:tcW w:w="1669" w:type="dxa"/>
          </w:tcPr>
          <w:p w14:paraId="44B5544A" w14:textId="480474D5" w:rsidR="009C30B9" w:rsidRPr="00827CC8" w:rsidRDefault="00DF2B78" w:rsidP="00670D2F">
            <w:pPr>
              <w:tabs>
                <w:tab w:val="right" w:pos="706"/>
              </w:tabs>
              <w:spacing w:line="360" w:lineRule="auto"/>
              <w:jc w:val="center"/>
              <w:rPr>
                <w:rFonts w:ascii="Arabic Transparent" w:hAnsi="Arabic Transparent" w:cs="Arabic Transparent"/>
                <w:sz w:val="32"/>
                <w:szCs w:val="32"/>
                <w:rtl/>
                <w:lang w:bidi="ar-JO"/>
              </w:rPr>
            </w:pPr>
            <w:r>
              <w:rPr>
                <w:rFonts w:ascii="Arabic Transparent" w:hAnsi="Arabic Transparent" w:cs="Arabic Transparent" w:hint="cs"/>
                <w:sz w:val="32"/>
                <w:szCs w:val="32"/>
                <w:rtl/>
                <w:lang w:bidi="ar-JO"/>
              </w:rPr>
              <w:t>73</w:t>
            </w:r>
          </w:p>
        </w:tc>
      </w:tr>
      <w:tr w:rsidR="009C30B9" w:rsidRPr="00827CC8" w14:paraId="770B0F99" w14:textId="77777777" w:rsidTr="003D6867">
        <w:trPr>
          <w:trHeight w:hRule="exact" w:val="506"/>
        </w:trPr>
        <w:tc>
          <w:tcPr>
            <w:tcW w:w="7296" w:type="dxa"/>
          </w:tcPr>
          <w:p w14:paraId="7D39D63F" w14:textId="2DC15B26" w:rsidR="009C30B9" w:rsidRPr="00F87408" w:rsidRDefault="009C30B9" w:rsidP="00670D2F">
            <w:pPr>
              <w:tabs>
                <w:tab w:val="right" w:pos="706"/>
              </w:tabs>
              <w:spacing w:line="360" w:lineRule="auto"/>
              <w:jc w:val="both"/>
              <w:rPr>
                <w:rFonts w:ascii="Arabic Transparent" w:hAnsi="Arabic Transparent" w:cs="Arabic Transparent"/>
                <w:sz w:val="30"/>
                <w:szCs w:val="30"/>
                <w:rtl/>
                <w:lang w:bidi="ar-JO"/>
              </w:rPr>
            </w:pPr>
            <w:r w:rsidRPr="00F87408">
              <w:rPr>
                <w:rFonts w:ascii="Arabic Transparent" w:hAnsi="Arabic Transparent" w:cs="Arabic Transparent" w:hint="cs"/>
                <w:sz w:val="30"/>
                <w:szCs w:val="30"/>
                <w:rtl/>
                <w:lang w:bidi="ar-JO"/>
              </w:rPr>
              <w:t xml:space="preserve">المطلب الأول: </w:t>
            </w:r>
            <w:r w:rsidRPr="00F87408">
              <w:rPr>
                <w:rFonts w:ascii="Arabic Transparent" w:hAnsi="Arabic Transparent" w:cs="Arabic Transparent"/>
                <w:sz w:val="30"/>
                <w:szCs w:val="30"/>
                <w:rtl/>
                <w:lang w:bidi="ar-JO"/>
              </w:rPr>
              <w:t>أسباب التفاوت المؤثر في تحقيق المناط الخاص</w:t>
            </w:r>
          </w:p>
        </w:tc>
        <w:tc>
          <w:tcPr>
            <w:tcW w:w="1669" w:type="dxa"/>
          </w:tcPr>
          <w:p w14:paraId="2EDD3370" w14:textId="25D76A83" w:rsidR="009C30B9" w:rsidRPr="00827CC8" w:rsidRDefault="00DF2B78" w:rsidP="00670D2F">
            <w:pPr>
              <w:tabs>
                <w:tab w:val="right" w:pos="706"/>
              </w:tabs>
              <w:spacing w:line="360" w:lineRule="auto"/>
              <w:jc w:val="center"/>
              <w:rPr>
                <w:rFonts w:ascii="Arabic Transparent" w:hAnsi="Arabic Transparent" w:cs="Arabic Transparent"/>
                <w:sz w:val="32"/>
                <w:szCs w:val="32"/>
                <w:rtl/>
                <w:lang w:bidi="ar-JO"/>
              </w:rPr>
            </w:pPr>
            <w:r>
              <w:rPr>
                <w:rFonts w:ascii="Arabic Transparent" w:hAnsi="Arabic Transparent" w:cs="Arabic Transparent" w:hint="cs"/>
                <w:sz w:val="32"/>
                <w:szCs w:val="32"/>
                <w:rtl/>
                <w:lang w:bidi="ar-JO"/>
              </w:rPr>
              <w:t>73</w:t>
            </w:r>
          </w:p>
        </w:tc>
      </w:tr>
      <w:tr w:rsidR="009C30B9" w:rsidRPr="00827CC8" w14:paraId="7AF71D27" w14:textId="77777777" w:rsidTr="003D6867">
        <w:trPr>
          <w:trHeight w:hRule="exact" w:val="506"/>
        </w:trPr>
        <w:tc>
          <w:tcPr>
            <w:tcW w:w="7296" w:type="dxa"/>
          </w:tcPr>
          <w:p w14:paraId="7E625E75" w14:textId="29B4ABAC" w:rsidR="009C30B9" w:rsidRPr="00F87408" w:rsidRDefault="009C30B9" w:rsidP="00670D2F">
            <w:pPr>
              <w:tabs>
                <w:tab w:val="right" w:pos="706"/>
              </w:tabs>
              <w:spacing w:line="360" w:lineRule="auto"/>
              <w:jc w:val="both"/>
              <w:rPr>
                <w:rFonts w:ascii="Arabic Transparent" w:hAnsi="Arabic Transparent" w:cs="Arabic Transparent"/>
                <w:sz w:val="30"/>
                <w:szCs w:val="30"/>
                <w:rtl/>
                <w:lang w:bidi="ar-JO"/>
              </w:rPr>
            </w:pPr>
            <w:r w:rsidRPr="00F87408">
              <w:rPr>
                <w:rFonts w:ascii="Arabic Transparent" w:hAnsi="Arabic Transparent" w:cs="Arabic Transparent" w:hint="cs"/>
                <w:sz w:val="30"/>
                <w:szCs w:val="30"/>
                <w:rtl/>
                <w:lang w:bidi="ar-JO"/>
              </w:rPr>
              <w:t xml:space="preserve">المطلب الثاني: </w:t>
            </w:r>
            <w:r w:rsidRPr="00F87408">
              <w:rPr>
                <w:rFonts w:ascii="Arabic Transparent" w:hAnsi="Arabic Transparent" w:cs="Arabic Transparent"/>
                <w:sz w:val="30"/>
                <w:szCs w:val="30"/>
                <w:rtl/>
                <w:lang w:bidi="ar-JO"/>
              </w:rPr>
              <w:t>مراتب التفاوت الذي يتعلق بالمعاملات المالية</w:t>
            </w:r>
          </w:p>
        </w:tc>
        <w:tc>
          <w:tcPr>
            <w:tcW w:w="1669" w:type="dxa"/>
          </w:tcPr>
          <w:p w14:paraId="1ECEB4B4" w14:textId="43F4F554" w:rsidR="009C30B9" w:rsidRPr="00827CC8" w:rsidRDefault="00DF2B78" w:rsidP="00670D2F">
            <w:pPr>
              <w:tabs>
                <w:tab w:val="right" w:pos="706"/>
              </w:tabs>
              <w:spacing w:line="360" w:lineRule="auto"/>
              <w:jc w:val="center"/>
              <w:rPr>
                <w:rFonts w:ascii="Arabic Transparent" w:hAnsi="Arabic Transparent" w:cs="Arabic Transparent"/>
                <w:sz w:val="32"/>
                <w:szCs w:val="32"/>
                <w:rtl/>
                <w:lang w:bidi="ar-JO"/>
              </w:rPr>
            </w:pPr>
            <w:r>
              <w:rPr>
                <w:rFonts w:ascii="Arabic Transparent" w:hAnsi="Arabic Transparent" w:cs="Arabic Transparent" w:hint="cs"/>
                <w:sz w:val="32"/>
                <w:szCs w:val="32"/>
                <w:rtl/>
                <w:lang w:bidi="ar-JO"/>
              </w:rPr>
              <w:t>120</w:t>
            </w:r>
          </w:p>
        </w:tc>
      </w:tr>
      <w:tr w:rsidR="009C30B9" w:rsidRPr="00827CC8" w14:paraId="2E112102" w14:textId="77777777" w:rsidTr="003D6867">
        <w:trPr>
          <w:trHeight w:hRule="exact" w:val="506"/>
        </w:trPr>
        <w:tc>
          <w:tcPr>
            <w:tcW w:w="7296" w:type="dxa"/>
          </w:tcPr>
          <w:p w14:paraId="7526511C" w14:textId="471C74AB" w:rsidR="009C30B9" w:rsidRPr="00F87408" w:rsidRDefault="009C30B9" w:rsidP="00670D2F">
            <w:pPr>
              <w:tabs>
                <w:tab w:val="right" w:pos="706"/>
              </w:tabs>
              <w:spacing w:line="360" w:lineRule="auto"/>
              <w:jc w:val="both"/>
              <w:rPr>
                <w:rFonts w:ascii="Arabic Transparent" w:hAnsi="Arabic Transparent" w:cs="Arabic Transparent"/>
                <w:sz w:val="30"/>
                <w:szCs w:val="30"/>
                <w:rtl/>
                <w:lang w:bidi="ar-JO"/>
              </w:rPr>
            </w:pPr>
            <w:r w:rsidRPr="00F87408">
              <w:rPr>
                <w:rFonts w:ascii="Arabic Transparent" w:hAnsi="Arabic Transparent" w:cs="Arabic Transparent" w:hint="cs"/>
                <w:sz w:val="30"/>
                <w:szCs w:val="30"/>
                <w:rtl/>
                <w:lang w:bidi="ar-JO"/>
              </w:rPr>
              <w:t>المطلب الثالث: أصول ضبط التفاوت في الوقائع والاجتهاد</w:t>
            </w:r>
          </w:p>
        </w:tc>
        <w:tc>
          <w:tcPr>
            <w:tcW w:w="1669" w:type="dxa"/>
          </w:tcPr>
          <w:p w14:paraId="5A028765" w14:textId="089A0658" w:rsidR="009C30B9" w:rsidRPr="00827CC8" w:rsidRDefault="00DF2B78" w:rsidP="00670D2F">
            <w:pPr>
              <w:tabs>
                <w:tab w:val="right" w:pos="706"/>
              </w:tabs>
              <w:spacing w:line="360" w:lineRule="auto"/>
              <w:jc w:val="center"/>
              <w:rPr>
                <w:rFonts w:ascii="Arabic Transparent" w:hAnsi="Arabic Transparent" w:cs="Arabic Transparent"/>
                <w:sz w:val="32"/>
                <w:szCs w:val="32"/>
                <w:rtl/>
                <w:lang w:bidi="ar-JO"/>
              </w:rPr>
            </w:pPr>
            <w:r>
              <w:rPr>
                <w:rFonts w:ascii="Arabic Transparent" w:hAnsi="Arabic Transparent" w:cs="Arabic Transparent" w:hint="cs"/>
                <w:sz w:val="32"/>
                <w:szCs w:val="32"/>
                <w:rtl/>
                <w:lang w:bidi="ar-JO"/>
              </w:rPr>
              <w:t>135</w:t>
            </w:r>
          </w:p>
        </w:tc>
      </w:tr>
      <w:tr w:rsidR="009C30B9" w:rsidRPr="00827CC8" w14:paraId="00D72633" w14:textId="77777777" w:rsidTr="003D6867">
        <w:trPr>
          <w:trHeight w:hRule="exact" w:val="506"/>
        </w:trPr>
        <w:tc>
          <w:tcPr>
            <w:tcW w:w="7296" w:type="dxa"/>
          </w:tcPr>
          <w:p w14:paraId="622C121B" w14:textId="08040133" w:rsidR="009C30B9" w:rsidRPr="00F87408" w:rsidRDefault="009C30B9" w:rsidP="00670D2F">
            <w:pPr>
              <w:tabs>
                <w:tab w:val="right" w:pos="706"/>
              </w:tabs>
              <w:spacing w:line="360" w:lineRule="auto"/>
              <w:ind w:left="524"/>
              <w:jc w:val="center"/>
              <w:rPr>
                <w:rFonts w:ascii="Arabic Transparent" w:hAnsi="Arabic Transparent" w:cs="Arabic Transparent"/>
                <w:b/>
                <w:bCs/>
                <w:sz w:val="30"/>
                <w:szCs w:val="30"/>
                <w:rtl/>
                <w:lang w:bidi="ar-JO"/>
              </w:rPr>
            </w:pPr>
            <w:r w:rsidRPr="00F87408">
              <w:rPr>
                <w:rFonts w:ascii="Arabic Transparent" w:hAnsi="Arabic Transparent" w:cs="Arabic Transparent" w:hint="cs"/>
                <w:b/>
                <w:bCs/>
                <w:sz w:val="30"/>
                <w:szCs w:val="30"/>
                <w:rtl/>
                <w:lang w:bidi="ar-JO"/>
              </w:rPr>
              <w:t xml:space="preserve">الفصل الثالث: </w:t>
            </w:r>
            <w:r w:rsidRPr="00F87408">
              <w:rPr>
                <w:rFonts w:ascii="Arabic Transparent" w:hAnsi="Arabic Transparent" w:cs="Arabic Transparent"/>
                <w:b/>
                <w:bCs/>
                <w:sz w:val="30"/>
                <w:szCs w:val="30"/>
                <w:rtl/>
                <w:lang w:bidi="ar-JO"/>
              </w:rPr>
              <w:t>تطبيقات التفاوت في فتاوى المعاملات المالية المعاصرة</w:t>
            </w:r>
          </w:p>
        </w:tc>
        <w:tc>
          <w:tcPr>
            <w:tcW w:w="1669" w:type="dxa"/>
          </w:tcPr>
          <w:p w14:paraId="4FBF817B" w14:textId="12956956" w:rsidR="009C30B9" w:rsidRPr="00827CC8" w:rsidRDefault="00DF2B78" w:rsidP="00670D2F">
            <w:pPr>
              <w:tabs>
                <w:tab w:val="right" w:pos="706"/>
              </w:tabs>
              <w:spacing w:line="360" w:lineRule="auto"/>
              <w:jc w:val="center"/>
              <w:rPr>
                <w:rFonts w:ascii="Arabic Transparent" w:hAnsi="Arabic Transparent" w:cs="Arabic Transparent"/>
                <w:sz w:val="32"/>
                <w:szCs w:val="32"/>
                <w:rtl/>
                <w:lang w:bidi="ar-JO"/>
              </w:rPr>
            </w:pPr>
            <w:r>
              <w:rPr>
                <w:rFonts w:ascii="Arabic Transparent" w:hAnsi="Arabic Transparent" w:cs="Arabic Transparent" w:hint="cs"/>
                <w:sz w:val="32"/>
                <w:szCs w:val="32"/>
                <w:rtl/>
                <w:lang w:bidi="ar-JO"/>
              </w:rPr>
              <w:t>148</w:t>
            </w:r>
          </w:p>
        </w:tc>
      </w:tr>
      <w:tr w:rsidR="009C30B9" w:rsidRPr="00827CC8" w14:paraId="42D28482" w14:textId="77777777" w:rsidTr="003D6867">
        <w:trPr>
          <w:trHeight w:hRule="exact" w:val="506"/>
        </w:trPr>
        <w:tc>
          <w:tcPr>
            <w:tcW w:w="7296" w:type="dxa"/>
          </w:tcPr>
          <w:p w14:paraId="58E13630" w14:textId="239FFD11" w:rsidR="009C30B9" w:rsidRPr="00F87408" w:rsidRDefault="009C30B9" w:rsidP="00670D2F">
            <w:pPr>
              <w:tabs>
                <w:tab w:val="right" w:pos="706"/>
              </w:tabs>
              <w:spacing w:line="360" w:lineRule="auto"/>
              <w:jc w:val="both"/>
              <w:rPr>
                <w:rFonts w:ascii="Arabic Transparent" w:hAnsi="Arabic Transparent" w:cs="Arabic Transparent"/>
                <w:sz w:val="30"/>
                <w:szCs w:val="30"/>
                <w:rtl/>
                <w:lang w:bidi="ar-JO"/>
              </w:rPr>
            </w:pPr>
            <w:r w:rsidRPr="00F87408">
              <w:rPr>
                <w:rFonts w:ascii="Arabic Transparent" w:hAnsi="Arabic Transparent" w:cs="Arabic Transparent" w:hint="cs"/>
                <w:sz w:val="30"/>
                <w:szCs w:val="30"/>
                <w:rtl/>
                <w:lang w:bidi="ar-JO"/>
              </w:rPr>
              <w:t xml:space="preserve">المبحث الأول: </w:t>
            </w:r>
            <w:r w:rsidRPr="00F87408">
              <w:rPr>
                <w:rFonts w:ascii="Arabic Transparent" w:hAnsi="Arabic Transparent" w:cs="Arabic Transparent"/>
                <w:sz w:val="30"/>
                <w:szCs w:val="30"/>
                <w:rtl/>
                <w:lang w:bidi="ar-JO"/>
              </w:rPr>
              <w:t>تطبيقات من فتاوى التمويل الإسلامي</w:t>
            </w:r>
          </w:p>
        </w:tc>
        <w:tc>
          <w:tcPr>
            <w:tcW w:w="1669" w:type="dxa"/>
          </w:tcPr>
          <w:p w14:paraId="52E8AA1A" w14:textId="0AF9C43A" w:rsidR="009C30B9" w:rsidRPr="00827CC8" w:rsidRDefault="00DF2B78" w:rsidP="00670D2F">
            <w:pPr>
              <w:tabs>
                <w:tab w:val="right" w:pos="706"/>
              </w:tabs>
              <w:spacing w:line="360" w:lineRule="auto"/>
              <w:jc w:val="center"/>
              <w:rPr>
                <w:rFonts w:ascii="Arabic Transparent" w:hAnsi="Arabic Transparent" w:cs="Arabic Transparent"/>
                <w:sz w:val="32"/>
                <w:szCs w:val="32"/>
                <w:rtl/>
                <w:lang w:bidi="ar-JO"/>
              </w:rPr>
            </w:pPr>
            <w:r>
              <w:rPr>
                <w:rFonts w:ascii="Arabic Transparent" w:hAnsi="Arabic Transparent" w:cs="Arabic Transparent" w:hint="cs"/>
                <w:sz w:val="32"/>
                <w:szCs w:val="32"/>
                <w:rtl/>
                <w:lang w:bidi="ar-JO"/>
              </w:rPr>
              <w:t>148</w:t>
            </w:r>
          </w:p>
        </w:tc>
      </w:tr>
      <w:tr w:rsidR="009C30B9" w:rsidRPr="00827CC8" w14:paraId="224742BF" w14:textId="77777777" w:rsidTr="003D6867">
        <w:trPr>
          <w:trHeight w:hRule="exact" w:val="506"/>
        </w:trPr>
        <w:tc>
          <w:tcPr>
            <w:tcW w:w="7296" w:type="dxa"/>
          </w:tcPr>
          <w:p w14:paraId="213239A2" w14:textId="07F46D29" w:rsidR="009C30B9" w:rsidRPr="00F87408" w:rsidRDefault="009C30B9" w:rsidP="00670D2F">
            <w:pPr>
              <w:tabs>
                <w:tab w:val="right" w:pos="706"/>
              </w:tabs>
              <w:spacing w:line="360" w:lineRule="auto"/>
              <w:jc w:val="both"/>
              <w:rPr>
                <w:rFonts w:ascii="Arabic Transparent" w:hAnsi="Arabic Transparent" w:cs="Arabic Transparent"/>
                <w:sz w:val="30"/>
                <w:szCs w:val="30"/>
                <w:rtl/>
                <w:lang w:bidi="ar-JO"/>
              </w:rPr>
            </w:pPr>
            <w:r w:rsidRPr="00F87408">
              <w:rPr>
                <w:rFonts w:ascii="Arabic Transparent" w:hAnsi="Arabic Transparent" w:cs="Arabic Transparent"/>
                <w:sz w:val="30"/>
                <w:szCs w:val="30"/>
                <w:rtl/>
                <w:lang w:bidi="ar-JO"/>
              </w:rPr>
              <w:t>المطلب الأول: التَّورُّق المصرفي المنظم</w:t>
            </w:r>
          </w:p>
        </w:tc>
        <w:tc>
          <w:tcPr>
            <w:tcW w:w="1669" w:type="dxa"/>
          </w:tcPr>
          <w:p w14:paraId="1ED9BD7E" w14:textId="204E0140" w:rsidR="009C30B9" w:rsidRPr="00827CC8" w:rsidRDefault="00DF2B78" w:rsidP="00670D2F">
            <w:pPr>
              <w:tabs>
                <w:tab w:val="right" w:pos="706"/>
              </w:tabs>
              <w:spacing w:line="360" w:lineRule="auto"/>
              <w:jc w:val="center"/>
              <w:rPr>
                <w:rFonts w:ascii="Arabic Transparent" w:hAnsi="Arabic Transparent" w:cs="Arabic Transparent"/>
                <w:sz w:val="32"/>
                <w:szCs w:val="32"/>
                <w:rtl/>
                <w:lang w:bidi="ar-JO"/>
              </w:rPr>
            </w:pPr>
            <w:r>
              <w:rPr>
                <w:rFonts w:ascii="Arabic Transparent" w:hAnsi="Arabic Transparent" w:cs="Arabic Transparent" w:hint="cs"/>
                <w:sz w:val="32"/>
                <w:szCs w:val="32"/>
                <w:rtl/>
                <w:lang w:bidi="ar-JO"/>
              </w:rPr>
              <w:t>148</w:t>
            </w:r>
          </w:p>
        </w:tc>
      </w:tr>
      <w:tr w:rsidR="009C30B9" w:rsidRPr="00827CC8" w14:paraId="3ED63F04" w14:textId="77777777" w:rsidTr="003D6867">
        <w:trPr>
          <w:trHeight w:hRule="exact" w:val="506"/>
        </w:trPr>
        <w:tc>
          <w:tcPr>
            <w:tcW w:w="7296" w:type="dxa"/>
            <w:tcBorders>
              <w:bottom w:val="single" w:sz="4" w:space="0" w:color="auto"/>
            </w:tcBorders>
          </w:tcPr>
          <w:p w14:paraId="22D8672A" w14:textId="7B3B2F73" w:rsidR="009C30B9" w:rsidRPr="00F87408" w:rsidRDefault="009C30B9" w:rsidP="00670D2F">
            <w:pPr>
              <w:tabs>
                <w:tab w:val="right" w:pos="706"/>
              </w:tabs>
              <w:spacing w:line="360" w:lineRule="auto"/>
              <w:jc w:val="both"/>
              <w:rPr>
                <w:rFonts w:ascii="Arabic Transparent" w:hAnsi="Arabic Transparent" w:cs="Arabic Transparent"/>
                <w:sz w:val="30"/>
                <w:szCs w:val="30"/>
                <w:rtl/>
                <w:lang w:bidi="ar-JO"/>
              </w:rPr>
            </w:pPr>
            <w:r w:rsidRPr="00F87408">
              <w:rPr>
                <w:rFonts w:ascii="Arabic Transparent" w:hAnsi="Arabic Transparent" w:cs="Arabic Transparent"/>
                <w:sz w:val="30"/>
                <w:szCs w:val="30"/>
                <w:rtl/>
                <w:lang w:bidi="ar-JO"/>
              </w:rPr>
              <w:lastRenderedPageBreak/>
              <w:t>المطلب الثاني: تمويل خدمات التعليم والعلاج</w:t>
            </w:r>
          </w:p>
        </w:tc>
        <w:tc>
          <w:tcPr>
            <w:tcW w:w="1669" w:type="dxa"/>
            <w:tcBorders>
              <w:bottom w:val="single" w:sz="4" w:space="0" w:color="auto"/>
            </w:tcBorders>
          </w:tcPr>
          <w:p w14:paraId="62FA7E90" w14:textId="28D464B5" w:rsidR="009C30B9" w:rsidRPr="00827CC8" w:rsidRDefault="00DF2B78" w:rsidP="00670D2F">
            <w:pPr>
              <w:tabs>
                <w:tab w:val="right" w:pos="706"/>
              </w:tabs>
              <w:spacing w:line="360" w:lineRule="auto"/>
              <w:jc w:val="center"/>
              <w:rPr>
                <w:rFonts w:ascii="Arabic Transparent" w:hAnsi="Arabic Transparent" w:cs="Arabic Transparent"/>
                <w:sz w:val="32"/>
                <w:szCs w:val="32"/>
                <w:rtl/>
                <w:lang w:bidi="ar-JO"/>
              </w:rPr>
            </w:pPr>
            <w:r>
              <w:rPr>
                <w:rFonts w:ascii="Arabic Transparent" w:hAnsi="Arabic Transparent" w:cs="Arabic Transparent" w:hint="cs"/>
                <w:sz w:val="32"/>
                <w:szCs w:val="32"/>
                <w:rtl/>
                <w:lang w:bidi="ar-JO"/>
              </w:rPr>
              <w:t>162</w:t>
            </w:r>
          </w:p>
        </w:tc>
      </w:tr>
    </w:tbl>
    <w:p w14:paraId="2C01CD88" w14:textId="77777777" w:rsidR="002B2E40" w:rsidRDefault="002B2E40" w:rsidP="00670D2F">
      <w:pPr>
        <w:spacing w:line="360" w:lineRule="auto"/>
        <w:rPr>
          <w:rtl/>
          <w:lang w:bidi="ar-JO"/>
        </w:rPr>
      </w:pPr>
      <w:r>
        <w:br w:type="page"/>
      </w:r>
    </w:p>
    <w:tbl>
      <w:tblPr>
        <w:bidiVisual/>
        <w:tblW w:w="9187" w:type="dxa"/>
        <w:tblLook w:val="04A0" w:firstRow="1" w:lastRow="0" w:firstColumn="1" w:lastColumn="0" w:noHBand="0" w:noVBand="1"/>
      </w:tblPr>
      <w:tblGrid>
        <w:gridCol w:w="7476"/>
        <w:gridCol w:w="1711"/>
      </w:tblGrid>
      <w:tr w:rsidR="009C30B9" w:rsidRPr="00827CC8" w14:paraId="5178D047" w14:textId="77777777" w:rsidTr="002B2E40">
        <w:trPr>
          <w:trHeight w:hRule="exact" w:val="615"/>
        </w:trPr>
        <w:tc>
          <w:tcPr>
            <w:tcW w:w="7476" w:type="dxa"/>
            <w:tcBorders>
              <w:top w:val="single" w:sz="4" w:space="0" w:color="auto"/>
              <w:bottom w:val="single" w:sz="4" w:space="0" w:color="auto"/>
            </w:tcBorders>
          </w:tcPr>
          <w:p w14:paraId="5AE755DA" w14:textId="2FF6157C" w:rsidR="009C30B9" w:rsidRPr="008A172B" w:rsidRDefault="009C30B9" w:rsidP="00670D2F">
            <w:pPr>
              <w:tabs>
                <w:tab w:val="right" w:pos="706"/>
              </w:tabs>
              <w:spacing w:line="360" w:lineRule="auto"/>
              <w:rPr>
                <w:rFonts w:ascii="Arabic Transparent" w:hAnsi="Arabic Transparent" w:cs="Arabic Transparent"/>
                <w:sz w:val="28"/>
                <w:szCs w:val="28"/>
                <w:rtl/>
                <w:lang w:bidi="ar-JO"/>
              </w:rPr>
            </w:pPr>
            <w:r w:rsidRPr="00E17952">
              <w:rPr>
                <w:rFonts w:ascii="Arabic Transparent" w:hAnsi="Arabic Transparent" w:cs="Arabic Transparent" w:hint="cs"/>
                <w:b/>
                <w:bCs/>
                <w:caps/>
                <w:sz w:val="32"/>
                <w:szCs w:val="32"/>
                <w:rtl/>
                <w:lang w:bidi="ar-JO"/>
              </w:rPr>
              <w:t>المحتويات</w:t>
            </w:r>
          </w:p>
        </w:tc>
        <w:tc>
          <w:tcPr>
            <w:tcW w:w="1711" w:type="dxa"/>
            <w:tcBorders>
              <w:top w:val="single" w:sz="4" w:space="0" w:color="auto"/>
              <w:bottom w:val="single" w:sz="4" w:space="0" w:color="auto"/>
            </w:tcBorders>
          </w:tcPr>
          <w:p w14:paraId="77D56B0D" w14:textId="0EA30F38" w:rsidR="009C30B9" w:rsidRPr="00827CC8" w:rsidRDefault="009C30B9" w:rsidP="00670D2F">
            <w:pPr>
              <w:tabs>
                <w:tab w:val="right" w:pos="706"/>
              </w:tabs>
              <w:spacing w:line="360" w:lineRule="auto"/>
              <w:jc w:val="center"/>
              <w:rPr>
                <w:rFonts w:ascii="Arabic Transparent" w:hAnsi="Arabic Transparent" w:cs="Arabic Transparent"/>
                <w:sz w:val="32"/>
                <w:szCs w:val="32"/>
                <w:rtl/>
                <w:lang w:bidi="ar-JO"/>
              </w:rPr>
            </w:pPr>
            <w:r w:rsidRPr="00E17952">
              <w:rPr>
                <w:rFonts w:ascii="Arabic Transparent" w:hAnsi="Arabic Transparent" w:cs="Arabic Transparent" w:hint="cs"/>
                <w:b/>
                <w:bCs/>
                <w:caps/>
                <w:sz w:val="32"/>
                <w:szCs w:val="32"/>
                <w:rtl/>
                <w:lang w:bidi="ar-JO"/>
              </w:rPr>
              <w:t>الصفحة</w:t>
            </w:r>
          </w:p>
        </w:tc>
      </w:tr>
      <w:tr w:rsidR="009C30B9" w:rsidRPr="00827CC8" w14:paraId="7F9716E6" w14:textId="77777777" w:rsidTr="002B2E40">
        <w:trPr>
          <w:trHeight w:hRule="exact" w:val="615"/>
        </w:trPr>
        <w:tc>
          <w:tcPr>
            <w:tcW w:w="7476" w:type="dxa"/>
            <w:tcBorders>
              <w:top w:val="single" w:sz="4" w:space="0" w:color="auto"/>
            </w:tcBorders>
          </w:tcPr>
          <w:p w14:paraId="7FCA7850" w14:textId="7D73D7ED" w:rsidR="009C30B9" w:rsidRPr="008A172B" w:rsidRDefault="009C30B9" w:rsidP="00670D2F">
            <w:pPr>
              <w:tabs>
                <w:tab w:val="right" w:pos="706"/>
              </w:tabs>
              <w:spacing w:line="360" w:lineRule="auto"/>
              <w:rPr>
                <w:rFonts w:ascii="Arabic Transparent" w:hAnsi="Arabic Transparent" w:cs="Arabic Transparent"/>
                <w:sz w:val="28"/>
                <w:szCs w:val="28"/>
                <w:rtl/>
                <w:lang w:bidi="ar-JO"/>
              </w:rPr>
            </w:pPr>
            <w:r>
              <w:rPr>
                <w:rFonts w:ascii="Arabic Transparent" w:hAnsi="Arabic Transparent" w:cs="Arabic Transparent" w:hint="cs"/>
                <w:sz w:val="28"/>
                <w:szCs w:val="28"/>
                <w:rtl/>
                <w:lang w:bidi="ar-JO"/>
              </w:rPr>
              <w:t xml:space="preserve">المبحث الثاني: </w:t>
            </w:r>
            <w:r w:rsidRPr="008A172B">
              <w:rPr>
                <w:rFonts w:ascii="Arabic Transparent" w:hAnsi="Arabic Transparent" w:cs="Arabic Transparent"/>
                <w:sz w:val="28"/>
                <w:szCs w:val="28"/>
                <w:rtl/>
                <w:lang w:bidi="ar-JO"/>
              </w:rPr>
              <w:t>تطبيقات من الفتاوى المتعلقة بالديون المؤجلة</w:t>
            </w:r>
          </w:p>
        </w:tc>
        <w:tc>
          <w:tcPr>
            <w:tcW w:w="1711" w:type="dxa"/>
            <w:tcBorders>
              <w:top w:val="single" w:sz="4" w:space="0" w:color="auto"/>
            </w:tcBorders>
          </w:tcPr>
          <w:p w14:paraId="157689F4" w14:textId="7604E349" w:rsidR="009C30B9" w:rsidRPr="00827CC8" w:rsidRDefault="00DF2B78" w:rsidP="00670D2F">
            <w:pPr>
              <w:tabs>
                <w:tab w:val="right" w:pos="706"/>
              </w:tabs>
              <w:spacing w:line="360" w:lineRule="auto"/>
              <w:jc w:val="center"/>
              <w:rPr>
                <w:rFonts w:ascii="Arabic Transparent" w:hAnsi="Arabic Transparent" w:cs="Arabic Transparent"/>
                <w:sz w:val="32"/>
                <w:szCs w:val="32"/>
                <w:rtl/>
                <w:lang w:bidi="ar-JO"/>
              </w:rPr>
            </w:pPr>
            <w:r>
              <w:rPr>
                <w:rFonts w:ascii="Arabic Transparent" w:hAnsi="Arabic Transparent" w:cs="Arabic Transparent" w:hint="cs"/>
                <w:sz w:val="32"/>
                <w:szCs w:val="32"/>
                <w:rtl/>
                <w:lang w:bidi="ar-JO"/>
              </w:rPr>
              <w:t>174</w:t>
            </w:r>
          </w:p>
        </w:tc>
      </w:tr>
      <w:tr w:rsidR="009C30B9" w:rsidRPr="00827CC8" w14:paraId="475E24F8" w14:textId="77777777" w:rsidTr="002B2E40">
        <w:trPr>
          <w:trHeight w:hRule="exact" w:val="615"/>
        </w:trPr>
        <w:tc>
          <w:tcPr>
            <w:tcW w:w="7476" w:type="dxa"/>
          </w:tcPr>
          <w:p w14:paraId="1DD93E3D" w14:textId="30AC5EB8" w:rsidR="009C30B9" w:rsidRPr="008A172B" w:rsidRDefault="009C30B9" w:rsidP="00670D2F">
            <w:pPr>
              <w:tabs>
                <w:tab w:val="right" w:pos="706"/>
              </w:tabs>
              <w:spacing w:line="360" w:lineRule="auto"/>
              <w:rPr>
                <w:rFonts w:ascii="Arabic Transparent" w:hAnsi="Arabic Transparent" w:cs="Arabic Transparent"/>
                <w:sz w:val="28"/>
                <w:szCs w:val="28"/>
                <w:rtl/>
                <w:lang w:bidi="ar-JO"/>
              </w:rPr>
            </w:pPr>
            <w:r w:rsidRPr="008A172B">
              <w:rPr>
                <w:rFonts w:ascii="Arabic Transparent" w:hAnsi="Arabic Transparent" w:cs="Arabic Transparent"/>
                <w:sz w:val="28"/>
                <w:szCs w:val="28"/>
                <w:rtl/>
                <w:lang w:bidi="ar-JO"/>
              </w:rPr>
              <w:t>المطلب الأول: غرامة التأخير عن سداد الدين</w:t>
            </w:r>
          </w:p>
        </w:tc>
        <w:tc>
          <w:tcPr>
            <w:tcW w:w="1711" w:type="dxa"/>
          </w:tcPr>
          <w:p w14:paraId="323571DE" w14:textId="3CAFB411" w:rsidR="009C30B9" w:rsidRPr="00827CC8" w:rsidRDefault="00DF2B78" w:rsidP="00670D2F">
            <w:pPr>
              <w:tabs>
                <w:tab w:val="right" w:pos="706"/>
              </w:tabs>
              <w:spacing w:line="360" w:lineRule="auto"/>
              <w:jc w:val="center"/>
              <w:rPr>
                <w:rFonts w:ascii="Arabic Transparent" w:hAnsi="Arabic Transparent" w:cs="Arabic Transparent"/>
                <w:sz w:val="32"/>
                <w:szCs w:val="32"/>
                <w:rtl/>
                <w:lang w:bidi="ar-JO"/>
              </w:rPr>
            </w:pPr>
            <w:r>
              <w:rPr>
                <w:rFonts w:ascii="Arabic Transparent" w:hAnsi="Arabic Transparent" w:cs="Arabic Transparent" w:hint="cs"/>
                <w:sz w:val="32"/>
                <w:szCs w:val="32"/>
                <w:rtl/>
                <w:lang w:bidi="ar-JO"/>
              </w:rPr>
              <w:t>174</w:t>
            </w:r>
          </w:p>
        </w:tc>
      </w:tr>
      <w:tr w:rsidR="009C30B9" w:rsidRPr="00827CC8" w14:paraId="4C21BF2A" w14:textId="77777777" w:rsidTr="002B2E40">
        <w:trPr>
          <w:trHeight w:hRule="exact" w:val="615"/>
        </w:trPr>
        <w:tc>
          <w:tcPr>
            <w:tcW w:w="7476" w:type="dxa"/>
          </w:tcPr>
          <w:p w14:paraId="62157B67" w14:textId="5FBA790E" w:rsidR="009C30B9" w:rsidRPr="008A172B" w:rsidRDefault="009C30B9" w:rsidP="00670D2F">
            <w:pPr>
              <w:tabs>
                <w:tab w:val="right" w:pos="706"/>
              </w:tabs>
              <w:spacing w:line="360" w:lineRule="auto"/>
              <w:rPr>
                <w:rFonts w:ascii="Arabic Transparent" w:hAnsi="Arabic Transparent" w:cs="Arabic Transparent"/>
                <w:sz w:val="28"/>
                <w:szCs w:val="28"/>
                <w:rtl/>
                <w:lang w:bidi="ar-JO"/>
              </w:rPr>
            </w:pPr>
            <w:r w:rsidRPr="008A172B">
              <w:rPr>
                <w:rFonts w:ascii="Arabic Transparent" w:hAnsi="Arabic Transparent" w:cs="Arabic Transparent"/>
                <w:sz w:val="28"/>
                <w:szCs w:val="28"/>
                <w:rtl/>
                <w:lang w:bidi="ar-JO"/>
              </w:rPr>
              <w:t>المطلب الثاني: دفع الزيادة في القرض من طرف ثالث</w:t>
            </w:r>
          </w:p>
        </w:tc>
        <w:tc>
          <w:tcPr>
            <w:tcW w:w="1711" w:type="dxa"/>
          </w:tcPr>
          <w:p w14:paraId="6D2C00A6" w14:textId="5EB2CCE2" w:rsidR="009C30B9" w:rsidRPr="00827CC8" w:rsidRDefault="00DF2B78" w:rsidP="00670D2F">
            <w:pPr>
              <w:tabs>
                <w:tab w:val="right" w:pos="706"/>
              </w:tabs>
              <w:spacing w:line="360" w:lineRule="auto"/>
              <w:jc w:val="center"/>
              <w:rPr>
                <w:rFonts w:ascii="Arabic Transparent" w:hAnsi="Arabic Transparent" w:cs="Arabic Transparent"/>
                <w:sz w:val="32"/>
                <w:szCs w:val="32"/>
                <w:rtl/>
                <w:lang w:bidi="ar-JO"/>
              </w:rPr>
            </w:pPr>
            <w:r>
              <w:rPr>
                <w:rFonts w:ascii="Arabic Transparent" w:hAnsi="Arabic Transparent" w:cs="Arabic Transparent" w:hint="cs"/>
                <w:sz w:val="32"/>
                <w:szCs w:val="32"/>
                <w:rtl/>
                <w:lang w:bidi="ar-JO"/>
              </w:rPr>
              <w:t>183</w:t>
            </w:r>
          </w:p>
        </w:tc>
      </w:tr>
      <w:tr w:rsidR="009C30B9" w:rsidRPr="00827CC8" w14:paraId="1E69B793" w14:textId="77777777" w:rsidTr="002B2E40">
        <w:trPr>
          <w:trHeight w:hRule="exact" w:val="615"/>
        </w:trPr>
        <w:tc>
          <w:tcPr>
            <w:tcW w:w="7476" w:type="dxa"/>
          </w:tcPr>
          <w:p w14:paraId="7D54BDBF" w14:textId="27C15038" w:rsidR="009C30B9" w:rsidRPr="00E354FA" w:rsidRDefault="009C30B9" w:rsidP="00670D2F">
            <w:pPr>
              <w:tabs>
                <w:tab w:val="right" w:pos="706"/>
              </w:tabs>
              <w:spacing w:line="360" w:lineRule="auto"/>
              <w:rPr>
                <w:rFonts w:ascii="Arabic Transparent" w:hAnsi="Arabic Transparent" w:cs="Arabic Transparent"/>
                <w:sz w:val="28"/>
                <w:szCs w:val="28"/>
                <w:rtl/>
                <w:lang w:bidi="ar-JO"/>
              </w:rPr>
            </w:pPr>
            <w:r w:rsidRPr="008A172B">
              <w:rPr>
                <w:rFonts w:ascii="Arabic Transparent" w:hAnsi="Arabic Transparent" w:cs="Arabic Transparent"/>
                <w:sz w:val="28"/>
                <w:szCs w:val="28"/>
                <w:rtl/>
                <w:lang w:bidi="ar-JO"/>
              </w:rPr>
              <w:t>المطلب الثالث: الربط القياسي للديون والالتزامات الآجلة</w:t>
            </w:r>
          </w:p>
        </w:tc>
        <w:tc>
          <w:tcPr>
            <w:tcW w:w="1711" w:type="dxa"/>
          </w:tcPr>
          <w:p w14:paraId="370037CE" w14:textId="74A6A4F7" w:rsidR="009C30B9" w:rsidRPr="00827CC8" w:rsidRDefault="00DF2B78" w:rsidP="00670D2F">
            <w:pPr>
              <w:tabs>
                <w:tab w:val="right" w:pos="706"/>
              </w:tabs>
              <w:spacing w:line="360" w:lineRule="auto"/>
              <w:jc w:val="center"/>
              <w:rPr>
                <w:rFonts w:ascii="Arabic Transparent" w:hAnsi="Arabic Transparent" w:cs="Arabic Transparent"/>
                <w:sz w:val="32"/>
                <w:szCs w:val="32"/>
                <w:rtl/>
                <w:lang w:bidi="ar-JO"/>
              </w:rPr>
            </w:pPr>
            <w:r>
              <w:rPr>
                <w:rFonts w:ascii="Arabic Transparent" w:hAnsi="Arabic Transparent" w:cs="Arabic Transparent" w:hint="cs"/>
                <w:sz w:val="32"/>
                <w:szCs w:val="32"/>
                <w:rtl/>
                <w:lang w:bidi="ar-JO"/>
              </w:rPr>
              <w:t>188</w:t>
            </w:r>
          </w:p>
        </w:tc>
      </w:tr>
      <w:tr w:rsidR="009C30B9" w:rsidRPr="00827CC8" w14:paraId="61B43085" w14:textId="77777777" w:rsidTr="002B2E40">
        <w:trPr>
          <w:trHeight w:hRule="exact" w:val="527"/>
        </w:trPr>
        <w:tc>
          <w:tcPr>
            <w:tcW w:w="7476" w:type="dxa"/>
          </w:tcPr>
          <w:p w14:paraId="58B43ECB" w14:textId="63FDCC38" w:rsidR="009C30B9" w:rsidRPr="00E354FA" w:rsidRDefault="009C30B9" w:rsidP="00670D2F">
            <w:pPr>
              <w:tabs>
                <w:tab w:val="right" w:pos="706"/>
              </w:tabs>
              <w:spacing w:line="360" w:lineRule="auto"/>
              <w:rPr>
                <w:rFonts w:ascii="Arabic Transparent" w:hAnsi="Arabic Transparent" w:cs="Arabic Transparent"/>
                <w:sz w:val="28"/>
                <w:szCs w:val="28"/>
                <w:rtl/>
                <w:lang w:bidi="ar-JO"/>
              </w:rPr>
            </w:pPr>
            <w:r>
              <w:rPr>
                <w:rFonts w:ascii="Arabic Transparent" w:hAnsi="Arabic Transparent" w:cs="Arabic Transparent" w:hint="cs"/>
                <w:sz w:val="28"/>
                <w:szCs w:val="28"/>
                <w:rtl/>
                <w:lang w:bidi="ar-JO"/>
              </w:rPr>
              <w:t xml:space="preserve">المبحث الثالث: </w:t>
            </w:r>
            <w:r w:rsidRPr="008A172B">
              <w:rPr>
                <w:rFonts w:ascii="Arabic Transparent" w:hAnsi="Arabic Transparent" w:cs="Arabic Transparent"/>
                <w:sz w:val="28"/>
                <w:szCs w:val="28"/>
                <w:rtl/>
                <w:lang w:bidi="ar-JO"/>
              </w:rPr>
              <w:t>تطبيقات من فتاوى العملات الرقمية والتجارة الالكترونية</w:t>
            </w:r>
          </w:p>
        </w:tc>
        <w:tc>
          <w:tcPr>
            <w:tcW w:w="1711" w:type="dxa"/>
          </w:tcPr>
          <w:p w14:paraId="15D9DB06" w14:textId="109B7882" w:rsidR="009C30B9" w:rsidRPr="00827CC8" w:rsidRDefault="00DF2B78" w:rsidP="00670D2F">
            <w:pPr>
              <w:tabs>
                <w:tab w:val="right" w:pos="706"/>
              </w:tabs>
              <w:spacing w:line="360" w:lineRule="auto"/>
              <w:jc w:val="center"/>
              <w:rPr>
                <w:rFonts w:ascii="Arabic Transparent" w:hAnsi="Arabic Transparent" w:cs="Arabic Transparent"/>
                <w:sz w:val="32"/>
                <w:szCs w:val="32"/>
                <w:rtl/>
                <w:lang w:bidi="ar-JO"/>
              </w:rPr>
            </w:pPr>
            <w:r>
              <w:rPr>
                <w:rFonts w:ascii="Arabic Transparent" w:hAnsi="Arabic Transparent" w:cs="Arabic Transparent" w:hint="cs"/>
                <w:sz w:val="32"/>
                <w:szCs w:val="32"/>
                <w:rtl/>
                <w:lang w:bidi="ar-JO"/>
              </w:rPr>
              <w:t>197</w:t>
            </w:r>
          </w:p>
        </w:tc>
      </w:tr>
      <w:tr w:rsidR="009C30B9" w:rsidRPr="00827CC8" w14:paraId="3B3A2C2C" w14:textId="77777777" w:rsidTr="002B2E40">
        <w:trPr>
          <w:trHeight w:hRule="exact" w:val="615"/>
        </w:trPr>
        <w:tc>
          <w:tcPr>
            <w:tcW w:w="7476" w:type="dxa"/>
          </w:tcPr>
          <w:p w14:paraId="58B6591F" w14:textId="0FC3017B" w:rsidR="009C30B9" w:rsidRPr="00E354FA" w:rsidRDefault="009C30B9" w:rsidP="00670D2F">
            <w:pPr>
              <w:tabs>
                <w:tab w:val="right" w:pos="706"/>
              </w:tabs>
              <w:spacing w:line="360" w:lineRule="auto"/>
              <w:rPr>
                <w:rFonts w:ascii="Arabic Transparent" w:hAnsi="Arabic Transparent" w:cs="Arabic Transparent"/>
                <w:sz w:val="28"/>
                <w:szCs w:val="28"/>
                <w:rtl/>
                <w:lang w:bidi="ar-JO"/>
              </w:rPr>
            </w:pPr>
            <w:r>
              <w:rPr>
                <w:rFonts w:ascii="Arabic Transparent" w:hAnsi="Arabic Transparent" w:cs="Arabic Transparent" w:hint="cs"/>
                <w:sz w:val="28"/>
                <w:szCs w:val="28"/>
                <w:rtl/>
                <w:lang w:bidi="ar-JO"/>
              </w:rPr>
              <w:t>المطلب الأول</w:t>
            </w:r>
            <w:r w:rsidRPr="008A172B">
              <w:rPr>
                <w:rFonts w:ascii="Arabic Transparent" w:hAnsi="Arabic Transparent" w:cs="Arabic Transparent"/>
                <w:sz w:val="28"/>
                <w:szCs w:val="28"/>
                <w:rtl/>
                <w:lang w:bidi="ar-JO"/>
              </w:rPr>
              <w:t>: العملات الرقمية المشفرة</w:t>
            </w:r>
          </w:p>
        </w:tc>
        <w:tc>
          <w:tcPr>
            <w:tcW w:w="1711" w:type="dxa"/>
          </w:tcPr>
          <w:p w14:paraId="6685EF4C" w14:textId="57EB8135" w:rsidR="009C30B9" w:rsidRPr="00827CC8" w:rsidRDefault="00DF2B78" w:rsidP="00670D2F">
            <w:pPr>
              <w:tabs>
                <w:tab w:val="right" w:pos="706"/>
              </w:tabs>
              <w:spacing w:line="360" w:lineRule="auto"/>
              <w:jc w:val="center"/>
              <w:rPr>
                <w:rFonts w:ascii="Arabic Transparent" w:hAnsi="Arabic Transparent" w:cs="Arabic Transparent"/>
                <w:sz w:val="32"/>
                <w:szCs w:val="32"/>
                <w:rtl/>
                <w:lang w:bidi="ar-JO"/>
              </w:rPr>
            </w:pPr>
            <w:r>
              <w:rPr>
                <w:rFonts w:ascii="Arabic Transparent" w:hAnsi="Arabic Transparent" w:cs="Arabic Transparent" w:hint="cs"/>
                <w:sz w:val="32"/>
                <w:szCs w:val="32"/>
                <w:rtl/>
                <w:lang w:bidi="ar-JO"/>
              </w:rPr>
              <w:t>197</w:t>
            </w:r>
          </w:p>
        </w:tc>
      </w:tr>
      <w:tr w:rsidR="009C30B9" w:rsidRPr="00827CC8" w14:paraId="123E50DF" w14:textId="77777777" w:rsidTr="00440727">
        <w:trPr>
          <w:trHeight w:hRule="exact" w:val="615"/>
        </w:trPr>
        <w:tc>
          <w:tcPr>
            <w:tcW w:w="7476" w:type="dxa"/>
          </w:tcPr>
          <w:p w14:paraId="41BD6D99" w14:textId="436745C6" w:rsidR="009C30B9" w:rsidRPr="00E354FA" w:rsidRDefault="009C30B9" w:rsidP="00670D2F">
            <w:pPr>
              <w:tabs>
                <w:tab w:val="right" w:pos="706"/>
              </w:tabs>
              <w:spacing w:line="360" w:lineRule="auto"/>
              <w:rPr>
                <w:rFonts w:ascii="Arabic Transparent" w:hAnsi="Arabic Transparent" w:cs="Arabic Transparent"/>
                <w:sz w:val="28"/>
                <w:szCs w:val="28"/>
                <w:rtl/>
                <w:lang w:bidi="ar-JO"/>
              </w:rPr>
            </w:pPr>
            <w:r w:rsidRPr="008A172B">
              <w:rPr>
                <w:rFonts w:ascii="Arabic Transparent" w:hAnsi="Arabic Transparent" w:cs="Arabic Transparent"/>
                <w:sz w:val="28"/>
                <w:szCs w:val="28"/>
                <w:rtl/>
                <w:lang w:bidi="ar-JO"/>
              </w:rPr>
              <w:t>المطلب الثاني: بيوع إسقاط الشحن (</w:t>
            </w:r>
            <w:r w:rsidRPr="008A172B">
              <w:rPr>
                <w:rFonts w:ascii="Arabic Transparent" w:hAnsi="Arabic Transparent" w:cs="Arabic Transparent"/>
                <w:sz w:val="28"/>
                <w:szCs w:val="28"/>
                <w:lang w:bidi="ar-JO"/>
              </w:rPr>
              <w:t>drop shipping</w:t>
            </w:r>
            <w:r w:rsidRPr="008A172B">
              <w:rPr>
                <w:rFonts w:ascii="Arabic Transparent" w:hAnsi="Arabic Transparent" w:cs="Arabic Transparent"/>
                <w:sz w:val="28"/>
                <w:szCs w:val="28"/>
                <w:rtl/>
                <w:lang w:bidi="ar-JO"/>
              </w:rPr>
              <w:t>)</w:t>
            </w:r>
          </w:p>
        </w:tc>
        <w:tc>
          <w:tcPr>
            <w:tcW w:w="1711" w:type="dxa"/>
          </w:tcPr>
          <w:p w14:paraId="1B2269B7" w14:textId="5604E571" w:rsidR="009C30B9" w:rsidRPr="00827CC8" w:rsidRDefault="00DF2B78" w:rsidP="00670D2F">
            <w:pPr>
              <w:tabs>
                <w:tab w:val="right" w:pos="706"/>
              </w:tabs>
              <w:spacing w:line="360" w:lineRule="auto"/>
              <w:jc w:val="center"/>
              <w:rPr>
                <w:rFonts w:ascii="Arabic Transparent" w:hAnsi="Arabic Transparent" w:cs="Arabic Transparent"/>
                <w:sz w:val="32"/>
                <w:szCs w:val="32"/>
                <w:rtl/>
                <w:lang w:bidi="ar-JO"/>
              </w:rPr>
            </w:pPr>
            <w:r>
              <w:rPr>
                <w:rFonts w:ascii="Arabic Transparent" w:hAnsi="Arabic Transparent" w:cs="Arabic Transparent" w:hint="cs"/>
                <w:sz w:val="32"/>
                <w:szCs w:val="32"/>
                <w:rtl/>
                <w:lang w:bidi="ar-JO"/>
              </w:rPr>
              <w:t>203</w:t>
            </w:r>
          </w:p>
        </w:tc>
      </w:tr>
      <w:tr w:rsidR="00440727" w:rsidRPr="00827CC8" w14:paraId="17E6703E" w14:textId="77777777" w:rsidTr="00440727">
        <w:trPr>
          <w:trHeight w:hRule="exact" w:val="615"/>
        </w:trPr>
        <w:tc>
          <w:tcPr>
            <w:tcW w:w="7476" w:type="dxa"/>
          </w:tcPr>
          <w:p w14:paraId="73F07032" w14:textId="47893DE3" w:rsidR="00440727" w:rsidRPr="00440727" w:rsidRDefault="00440727" w:rsidP="00670D2F">
            <w:pPr>
              <w:tabs>
                <w:tab w:val="right" w:pos="706"/>
              </w:tabs>
              <w:spacing w:line="360" w:lineRule="auto"/>
              <w:jc w:val="center"/>
              <w:rPr>
                <w:rFonts w:ascii="Arabic Transparent" w:hAnsi="Arabic Transparent" w:cs="Arabic Transparent"/>
                <w:b/>
                <w:bCs/>
                <w:sz w:val="32"/>
                <w:szCs w:val="32"/>
                <w:rtl/>
                <w:lang w:bidi="ar-JO"/>
              </w:rPr>
            </w:pPr>
            <w:r w:rsidRPr="00440727">
              <w:rPr>
                <w:rFonts w:ascii="Arabic Transparent" w:hAnsi="Arabic Transparent" w:cs="Arabic Transparent" w:hint="cs"/>
                <w:b/>
                <w:bCs/>
                <w:sz w:val="32"/>
                <w:szCs w:val="32"/>
                <w:rtl/>
                <w:lang w:bidi="ar-JO"/>
              </w:rPr>
              <w:t>الخاتمة</w:t>
            </w:r>
          </w:p>
        </w:tc>
        <w:tc>
          <w:tcPr>
            <w:tcW w:w="1711" w:type="dxa"/>
          </w:tcPr>
          <w:p w14:paraId="6A0D363B" w14:textId="2A34B675" w:rsidR="00440727" w:rsidRDefault="00DF2B78" w:rsidP="00670D2F">
            <w:pPr>
              <w:tabs>
                <w:tab w:val="right" w:pos="706"/>
              </w:tabs>
              <w:spacing w:line="360" w:lineRule="auto"/>
              <w:jc w:val="center"/>
              <w:rPr>
                <w:rFonts w:ascii="Arabic Transparent" w:hAnsi="Arabic Transparent" w:cs="Arabic Transparent"/>
                <w:sz w:val="32"/>
                <w:szCs w:val="32"/>
                <w:rtl/>
                <w:lang w:bidi="ar-JO"/>
              </w:rPr>
            </w:pPr>
            <w:r>
              <w:rPr>
                <w:rFonts w:ascii="Arabic Transparent" w:hAnsi="Arabic Transparent" w:cs="Arabic Transparent" w:hint="cs"/>
                <w:sz w:val="32"/>
                <w:szCs w:val="32"/>
                <w:rtl/>
                <w:lang w:bidi="ar-JO"/>
              </w:rPr>
              <w:t>210</w:t>
            </w:r>
          </w:p>
        </w:tc>
      </w:tr>
      <w:tr w:rsidR="00440727" w:rsidRPr="00827CC8" w14:paraId="25682989" w14:textId="77777777" w:rsidTr="00440727">
        <w:trPr>
          <w:trHeight w:hRule="exact" w:val="615"/>
        </w:trPr>
        <w:tc>
          <w:tcPr>
            <w:tcW w:w="7476" w:type="dxa"/>
          </w:tcPr>
          <w:p w14:paraId="05775143" w14:textId="02F34ABE" w:rsidR="00440727" w:rsidRPr="00440727" w:rsidRDefault="00440727" w:rsidP="00670D2F">
            <w:pPr>
              <w:tabs>
                <w:tab w:val="right" w:pos="706"/>
              </w:tabs>
              <w:spacing w:line="360" w:lineRule="auto"/>
              <w:rPr>
                <w:rFonts w:ascii="Arabic Transparent" w:hAnsi="Arabic Transparent" w:cs="Arabic Transparent"/>
                <w:b/>
                <w:bCs/>
                <w:sz w:val="28"/>
                <w:szCs w:val="28"/>
                <w:rtl/>
                <w:lang w:bidi="ar-JO"/>
              </w:rPr>
            </w:pPr>
            <w:r w:rsidRPr="00440727">
              <w:rPr>
                <w:rFonts w:ascii="Arabic Transparent" w:hAnsi="Arabic Transparent" w:cs="Arabic Transparent" w:hint="cs"/>
                <w:b/>
                <w:bCs/>
                <w:sz w:val="28"/>
                <w:szCs w:val="28"/>
                <w:rtl/>
                <w:lang w:bidi="ar-JO"/>
              </w:rPr>
              <w:t>النتائج</w:t>
            </w:r>
          </w:p>
        </w:tc>
        <w:tc>
          <w:tcPr>
            <w:tcW w:w="1711" w:type="dxa"/>
          </w:tcPr>
          <w:p w14:paraId="4D753B13" w14:textId="6DD8227A" w:rsidR="00440727" w:rsidRDefault="00DF2B78" w:rsidP="00670D2F">
            <w:pPr>
              <w:tabs>
                <w:tab w:val="right" w:pos="706"/>
              </w:tabs>
              <w:spacing w:line="360" w:lineRule="auto"/>
              <w:jc w:val="center"/>
              <w:rPr>
                <w:rFonts w:ascii="Arabic Transparent" w:hAnsi="Arabic Transparent" w:cs="Arabic Transparent"/>
                <w:sz w:val="32"/>
                <w:szCs w:val="32"/>
                <w:rtl/>
                <w:lang w:bidi="ar-JO"/>
              </w:rPr>
            </w:pPr>
            <w:r>
              <w:rPr>
                <w:rFonts w:ascii="Arabic Transparent" w:hAnsi="Arabic Transparent" w:cs="Arabic Transparent" w:hint="cs"/>
                <w:sz w:val="32"/>
                <w:szCs w:val="32"/>
                <w:rtl/>
                <w:lang w:bidi="ar-JO"/>
              </w:rPr>
              <w:t>210</w:t>
            </w:r>
          </w:p>
        </w:tc>
      </w:tr>
      <w:tr w:rsidR="00440727" w:rsidRPr="00827CC8" w14:paraId="2FB023C0" w14:textId="77777777" w:rsidTr="00440727">
        <w:trPr>
          <w:trHeight w:hRule="exact" w:val="615"/>
        </w:trPr>
        <w:tc>
          <w:tcPr>
            <w:tcW w:w="7476" w:type="dxa"/>
          </w:tcPr>
          <w:p w14:paraId="5B209FF8" w14:textId="220C25C3" w:rsidR="00440727" w:rsidRPr="00440727" w:rsidRDefault="00440727" w:rsidP="00670D2F">
            <w:pPr>
              <w:tabs>
                <w:tab w:val="right" w:pos="706"/>
              </w:tabs>
              <w:spacing w:line="360" w:lineRule="auto"/>
              <w:rPr>
                <w:rFonts w:ascii="Arabic Transparent" w:hAnsi="Arabic Transparent" w:cs="Arabic Transparent"/>
                <w:b/>
                <w:bCs/>
                <w:sz w:val="28"/>
                <w:szCs w:val="28"/>
                <w:rtl/>
                <w:lang w:bidi="ar-JO"/>
              </w:rPr>
            </w:pPr>
            <w:r w:rsidRPr="00440727">
              <w:rPr>
                <w:rFonts w:ascii="Arabic Transparent" w:hAnsi="Arabic Transparent" w:cs="Arabic Transparent" w:hint="cs"/>
                <w:b/>
                <w:bCs/>
                <w:sz w:val="28"/>
                <w:szCs w:val="28"/>
                <w:rtl/>
                <w:lang w:bidi="ar-JO"/>
              </w:rPr>
              <w:t>التوصيات</w:t>
            </w:r>
          </w:p>
        </w:tc>
        <w:tc>
          <w:tcPr>
            <w:tcW w:w="1711" w:type="dxa"/>
          </w:tcPr>
          <w:p w14:paraId="0DA5E0DD" w14:textId="1555A8F8" w:rsidR="00440727" w:rsidRDefault="00DF2B78" w:rsidP="00670D2F">
            <w:pPr>
              <w:tabs>
                <w:tab w:val="right" w:pos="706"/>
              </w:tabs>
              <w:spacing w:line="360" w:lineRule="auto"/>
              <w:jc w:val="center"/>
              <w:rPr>
                <w:rFonts w:ascii="Arabic Transparent" w:hAnsi="Arabic Transparent" w:cs="Arabic Transparent"/>
                <w:sz w:val="32"/>
                <w:szCs w:val="32"/>
                <w:rtl/>
                <w:lang w:bidi="ar-JO"/>
              </w:rPr>
            </w:pPr>
            <w:r>
              <w:rPr>
                <w:rFonts w:ascii="Arabic Transparent" w:hAnsi="Arabic Transparent" w:cs="Arabic Transparent" w:hint="cs"/>
                <w:sz w:val="32"/>
                <w:szCs w:val="32"/>
                <w:rtl/>
                <w:lang w:bidi="ar-JO"/>
              </w:rPr>
              <w:t>212</w:t>
            </w:r>
          </w:p>
        </w:tc>
      </w:tr>
      <w:tr w:rsidR="00440727" w:rsidRPr="00827CC8" w14:paraId="2FE15B4D" w14:textId="77777777" w:rsidTr="002B2E40">
        <w:trPr>
          <w:trHeight w:hRule="exact" w:val="615"/>
        </w:trPr>
        <w:tc>
          <w:tcPr>
            <w:tcW w:w="7476" w:type="dxa"/>
            <w:tcBorders>
              <w:bottom w:val="single" w:sz="4" w:space="0" w:color="auto"/>
            </w:tcBorders>
          </w:tcPr>
          <w:p w14:paraId="20F0D401" w14:textId="41EC7623" w:rsidR="00440727" w:rsidRPr="00440727" w:rsidRDefault="00440727" w:rsidP="00670D2F">
            <w:pPr>
              <w:tabs>
                <w:tab w:val="right" w:pos="706"/>
              </w:tabs>
              <w:spacing w:line="360" w:lineRule="auto"/>
              <w:jc w:val="center"/>
              <w:rPr>
                <w:rFonts w:ascii="Arabic Transparent" w:hAnsi="Arabic Transparent" w:cs="Arabic Transparent"/>
                <w:b/>
                <w:bCs/>
                <w:sz w:val="32"/>
                <w:szCs w:val="32"/>
                <w:rtl/>
                <w:lang w:bidi="ar-JO"/>
              </w:rPr>
            </w:pPr>
            <w:r w:rsidRPr="00440727">
              <w:rPr>
                <w:rFonts w:ascii="Arabic Transparent" w:hAnsi="Arabic Transparent" w:cs="Arabic Transparent" w:hint="cs"/>
                <w:b/>
                <w:bCs/>
                <w:sz w:val="32"/>
                <w:szCs w:val="32"/>
                <w:rtl/>
                <w:lang w:bidi="ar-JO"/>
              </w:rPr>
              <w:t>المصادر والمراجع</w:t>
            </w:r>
          </w:p>
        </w:tc>
        <w:tc>
          <w:tcPr>
            <w:tcW w:w="1711" w:type="dxa"/>
            <w:tcBorders>
              <w:bottom w:val="single" w:sz="4" w:space="0" w:color="auto"/>
            </w:tcBorders>
          </w:tcPr>
          <w:p w14:paraId="5201F358" w14:textId="56FCDA16" w:rsidR="00440727" w:rsidRDefault="00DF2B78" w:rsidP="00670D2F">
            <w:pPr>
              <w:tabs>
                <w:tab w:val="right" w:pos="706"/>
              </w:tabs>
              <w:spacing w:line="360" w:lineRule="auto"/>
              <w:jc w:val="center"/>
              <w:rPr>
                <w:rFonts w:ascii="Arabic Transparent" w:hAnsi="Arabic Transparent" w:cs="Arabic Transparent"/>
                <w:sz w:val="32"/>
                <w:szCs w:val="32"/>
                <w:rtl/>
                <w:lang w:bidi="ar-JO"/>
              </w:rPr>
            </w:pPr>
            <w:r>
              <w:rPr>
                <w:rFonts w:ascii="Arabic Transparent" w:hAnsi="Arabic Transparent" w:cs="Arabic Transparent" w:hint="cs"/>
                <w:sz w:val="32"/>
                <w:szCs w:val="32"/>
                <w:rtl/>
                <w:lang w:bidi="ar-JO"/>
              </w:rPr>
              <w:t>213</w:t>
            </w:r>
          </w:p>
        </w:tc>
      </w:tr>
    </w:tbl>
    <w:p w14:paraId="3AA11FF4" w14:textId="77777777" w:rsidR="00F36733" w:rsidRPr="00827CC8" w:rsidRDefault="00F36733" w:rsidP="002D51B3">
      <w:pPr>
        <w:tabs>
          <w:tab w:val="right" w:pos="706"/>
        </w:tabs>
        <w:spacing w:line="360" w:lineRule="auto"/>
        <w:jc w:val="center"/>
        <w:rPr>
          <w:rFonts w:ascii="Arabic Transparent" w:hAnsi="Arabic Transparent" w:cs="Arabic Transparent"/>
          <w:sz w:val="32"/>
          <w:szCs w:val="32"/>
          <w:rtl/>
          <w:lang w:bidi="ar-JO"/>
        </w:rPr>
        <w:sectPr w:rsidR="00F36733" w:rsidRPr="00827CC8" w:rsidSect="00867764">
          <w:headerReference w:type="default" r:id="rId15"/>
          <w:headerReference w:type="first" r:id="rId16"/>
          <w:pgSz w:w="12240" w:h="15840"/>
          <w:pgMar w:top="1418" w:right="1985" w:bottom="1418" w:left="1418" w:header="720" w:footer="720" w:gutter="0"/>
          <w:pgNumType w:fmt="arabicAbjad" w:start="3"/>
          <w:cols w:space="720"/>
          <w:titlePg/>
          <w:docGrid w:linePitch="360"/>
        </w:sectPr>
      </w:pPr>
    </w:p>
    <w:p w14:paraId="49102026" w14:textId="77777777" w:rsidR="00E17952" w:rsidRDefault="00E17952" w:rsidP="00E17952">
      <w:pPr>
        <w:tabs>
          <w:tab w:val="right" w:pos="706"/>
        </w:tabs>
        <w:spacing w:line="240" w:lineRule="auto"/>
        <w:jc w:val="center"/>
        <w:rPr>
          <w:rFonts w:ascii="Arabic Transparent" w:hAnsi="Arabic Transparent" w:cs="Arabic Transparent"/>
          <w:b/>
          <w:bCs/>
          <w:sz w:val="32"/>
          <w:szCs w:val="32"/>
          <w:rtl/>
          <w:lang w:bidi="ar-JO"/>
        </w:rPr>
      </w:pPr>
      <w:r w:rsidRPr="00E17952">
        <w:rPr>
          <w:rFonts w:ascii="Arabic Transparent" w:hAnsi="Arabic Transparent" w:cs="Arabic Transparent" w:hint="cs"/>
          <w:b/>
          <w:bCs/>
          <w:sz w:val="32"/>
          <w:szCs w:val="32"/>
          <w:rtl/>
          <w:lang w:bidi="ar-JO"/>
        </w:rPr>
        <w:lastRenderedPageBreak/>
        <w:t>ال</w:t>
      </w:r>
      <w:r w:rsidR="003E2ABB" w:rsidRPr="00E17952">
        <w:rPr>
          <w:rFonts w:ascii="Arabic Transparent" w:hAnsi="Arabic Transparent" w:cs="Arabic Transparent" w:hint="cs"/>
          <w:b/>
          <w:bCs/>
          <w:sz w:val="32"/>
          <w:szCs w:val="32"/>
          <w:rtl/>
          <w:lang w:bidi="ar-JO"/>
        </w:rPr>
        <w:t>ملخص</w:t>
      </w:r>
    </w:p>
    <w:p w14:paraId="2FB3D351" w14:textId="136D36DD" w:rsidR="00E17952" w:rsidRDefault="00E17952" w:rsidP="00E17952">
      <w:pPr>
        <w:tabs>
          <w:tab w:val="right" w:pos="706"/>
        </w:tabs>
        <w:spacing w:line="240" w:lineRule="auto"/>
        <w:jc w:val="center"/>
        <w:rPr>
          <w:rFonts w:ascii="Arabic Transparent" w:hAnsi="Arabic Transparent" w:cs="Arabic Transparent"/>
          <w:b/>
          <w:bCs/>
          <w:sz w:val="32"/>
          <w:szCs w:val="32"/>
          <w:rtl/>
          <w:lang w:bidi="ar-JO"/>
        </w:rPr>
      </w:pPr>
      <w:r w:rsidRPr="00E17952">
        <w:rPr>
          <w:rFonts w:ascii="Arabic Transparent" w:hAnsi="Arabic Transparent" w:cs="Arabic Transparent"/>
          <w:b/>
          <w:bCs/>
          <w:sz w:val="32"/>
          <w:szCs w:val="32"/>
          <w:rtl/>
          <w:lang w:bidi="ar-JO"/>
        </w:rPr>
        <w:t>التفاوت في تحقيق المناط الخاص وتطبيقاته في المعاملات المالية المعاصرة</w:t>
      </w:r>
    </w:p>
    <w:p w14:paraId="5253A696" w14:textId="2E95EBE2" w:rsidR="00C66007" w:rsidRDefault="00E17952" w:rsidP="00E17952">
      <w:pPr>
        <w:tabs>
          <w:tab w:val="right" w:pos="706"/>
        </w:tabs>
        <w:spacing w:line="240" w:lineRule="auto"/>
        <w:jc w:val="center"/>
        <w:rPr>
          <w:rFonts w:ascii="Arabic Transparent" w:hAnsi="Arabic Transparent" w:cs="Arabic Transparent"/>
          <w:b/>
          <w:bCs/>
          <w:sz w:val="32"/>
          <w:szCs w:val="32"/>
          <w:rtl/>
          <w:lang w:bidi="ar-JO"/>
        </w:rPr>
      </w:pPr>
      <w:r>
        <w:rPr>
          <w:rFonts w:ascii="Arabic Transparent" w:hAnsi="Arabic Transparent" w:cs="Arabic Transparent" w:hint="cs"/>
          <w:b/>
          <w:bCs/>
          <w:sz w:val="32"/>
          <w:szCs w:val="32"/>
          <w:rtl/>
          <w:lang w:bidi="ar-JO"/>
        </w:rPr>
        <w:t>إعداد</w:t>
      </w:r>
    </w:p>
    <w:p w14:paraId="7E3DB31D" w14:textId="407F105A" w:rsidR="00E17952" w:rsidRDefault="00E17952" w:rsidP="00E17952">
      <w:pPr>
        <w:tabs>
          <w:tab w:val="right" w:pos="706"/>
        </w:tabs>
        <w:spacing w:line="240" w:lineRule="auto"/>
        <w:jc w:val="center"/>
        <w:rPr>
          <w:rFonts w:ascii="Arabic Transparent" w:hAnsi="Arabic Transparent" w:cs="Arabic Transparent"/>
          <w:b/>
          <w:bCs/>
          <w:sz w:val="32"/>
          <w:szCs w:val="32"/>
          <w:rtl/>
          <w:lang w:bidi="ar-JO"/>
        </w:rPr>
      </w:pPr>
      <w:r>
        <w:rPr>
          <w:rFonts w:ascii="Arabic Transparent" w:hAnsi="Arabic Transparent" w:cs="Arabic Transparent" w:hint="cs"/>
          <w:b/>
          <w:bCs/>
          <w:sz w:val="32"/>
          <w:szCs w:val="32"/>
          <w:rtl/>
          <w:lang w:bidi="ar-JO"/>
        </w:rPr>
        <w:t>حمزة نعيم حسين مسلم</w:t>
      </w:r>
    </w:p>
    <w:p w14:paraId="3F496499" w14:textId="5FDE6AF7" w:rsidR="00E17952" w:rsidRDefault="00E17952" w:rsidP="00E17952">
      <w:pPr>
        <w:tabs>
          <w:tab w:val="right" w:pos="706"/>
        </w:tabs>
        <w:spacing w:line="240" w:lineRule="auto"/>
        <w:jc w:val="center"/>
        <w:rPr>
          <w:rFonts w:ascii="Arabic Transparent" w:hAnsi="Arabic Transparent" w:cs="Arabic Transparent"/>
          <w:b/>
          <w:bCs/>
          <w:sz w:val="32"/>
          <w:szCs w:val="32"/>
          <w:rtl/>
          <w:lang w:bidi="ar-JO"/>
        </w:rPr>
      </w:pPr>
      <w:r>
        <w:rPr>
          <w:rFonts w:ascii="Arabic Transparent" w:hAnsi="Arabic Transparent" w:cs="Arabic Transparent" w:hint="cs"/>
          <w:b/>
          <w:bCs/>
          <w:sz w:val="32"/>
          <w:szCs w:val="32"/>
          <w:rtl/>
          <w:lang w:bidi="ar-JO"/>
        </w:rPr>
        <w:t>إشراف</w:t>
      </w:r>
    </w:p>
    <w:p w14:paraId="5142FFBB" w14:textId="0BB2D30C" w:rsidR="00E17952" w:rsidRDefault="00E17952" w:rsidP="00E17952">
      <w:pPr>
        <w:tabs>
          <w:tab w:val="right" w:pos="706"/>
        </w:tabs>
        <w:spacing w:line="240" w:lineRule="auto"/>
        <w:jc w:val="center"/>
        <w:rPr>
          <w:rFonts w:ascii="Arabic Transparent" w:hAnsi="Arabic Transparent" w:cs="Arabic Transparent"/>
          <w:b/>
          <w:bCs/>
          <w:sz w:val="32"/>
          <w:szCs w:val="32"/>
          <w:rtl/>
          <w:lang w:bidi="ar-JO"/>
        </w:rPr>
      </w:pPr>
      <w:r>
        <w:rPr>
          <w:rFonts w:ascii="Arabic Transparent" w:hAnsi="Arabic Transparent" w:cs="Arabic Transparent" w:hint="cs"/>
          <w:b/>
          <w:bCs/>
          <w:sz w:val="32"/>
          <w:szCs w:val="32"/>
          <w:rtl/>
          <w:lang w:bidi="ar-JO"/>
        </w:rPr>
        <w:t>أ.د أنس عبد الواحد الجابر</w:t>
      </w:r>
    </w:p>
    <w:p w14:paraId="3987E542" w14:textId="1E2C3865" w:rsidR="00E17952" w:rsidRDefault="00E17952" w:rsidP="00E17952">
      <w:pPr>
        <w:tabs>
          <w:tab w:val="right" w:pos="706"/>
        </w:tabs>
        <w:spacing w:line="240" w:lineRule="auto"/>
        <w:jc w:val="center"/>
        <w:rPr>
          <w:rFonts w:ascii="Arabic Transparent" w:hAnsi="Arabic Transparent" w:cs="Arabic Transparent"/>
          <w:b/>
          <w:bCs/>
          <w:sz w:val="32"/>
          <w:szCs w:val="32"/>
          <w:rtl/>
          <w:lang w:bidi="ar-JO"/>
        </w:rPr>
      </w:pPr>
      <w:r>
        <w:rPr>
          <w:rFonts w:ascii="Arabic Transparent" w:hAnsi="Arabic Transparent" w:cs="Arabic Transparent" w:hint="cs"/>
          <w:b/>
          <w:bCs/>
          <w:sz w:val="32"/>
          <w:szCs w:val="32"/>
          <w:rtl/>
          <w:lang w:bidi="ar-JO"/>
        </w:rPr>
        <w:t>تاريخ المناقشة</w:t>
      </w:r>
      <w:r w:rsidR="002C6240">
        <w:rPr>
          <w:rFonts w:ascii="Arabic Transparent" w:hAnsi="Arabic Transparent" w:cs="Arabic Transparent" w:hint="cs"/>
          <w:b/>
          <w:bCs/>
          <w:sz w:val="32"/>
          <w:szCs w:val="32"/>
          <w:rtl/>
          <w:lang w:bidi="ar-JO"/>
        </w:rPr>
        <w:t xml:space="preserve">: عمان - </w:t>
      </w:r>
      <w:r>
        <w:rPr>
          <w:rFonts w:ascii="Arabic Transparent" w:hAnsi="Arabic Transparent" w:cs="Arabic Transparent" w:hint="cs"/>
          <w:b/>
          <w:bCs/>
          <w:sz w:val="32"/>
          <w:szCs w:val="32"/>
          <w:rtl/>
          <w:lang w:bidi="ar-JO"/>
        </w:rPr>
        <w:t xml:space="preserve"> /  /2026</w:t>
      </w:r>
    </w:p>
    <w:p w14:paraId="5773C489" w14:textId="3CCB4B09" w:rsidR="0066480A" w:rsidRDefault="005D7B91" w:rsidP="0066480A">
      <w:pPr>
        <w:tabs>
          <w:tab w:val="right" w:pos="706"/>
        </w:tabs>
        <w:spacing w:line="360" w:lineRule="auto"/>
        <w:jc w:val="both"/>
        <w:rPr>
          <w:rFonts w:ascii="Arabic Transparent" w:hAnsi="Arabic Transparent" w:cs="Arabic Transparent"/>
          <w:sz w:val="28"/>
          <w:szCs w:val="28"/>
          <w:rtl/>
          <w:lang w:bidi="ar-JO"/>
        </w:rPr>
      </w:pPr>
      <w:r>
        <w:rPr>
          <w:rFonts w:ascii="Arabic Transparent" w:hAnsi="Arabic Transparent" w:cs="Arabic Transparent" w:hint="cs"/>
          <w:sz w:val="28"/>
          <w:szCs w:val="28"/>
          <w:rtl/>
          <w:lang w:bidi="ar-JO"/>
        </w:rPr>
        <w:t xml:space="preserve">     </w:t>
      </w:r>
      <w:r w:rsidR="00641A74">
        <w:rPr>
          <w:rFonts w:ascii="Arabic Transparent" w:hAnsi="Arabic Transparent" w:cs="Arabic Transparent" w:hint="cs"/>
          <w:sz w:val="28"/>
          <w:szCs w:val="28"/>
          <w:rtl/>
          <w:lang w:bidi="ar-JO"/>
        </w:rPr>
        <w:t xml:space="preserve">  </w:t>
      </w:r>
      <w:r w:rsidR="003F47EB">
        <w:rPr>
          <w:rFonts w:ascii="Arabic Transparent" w:hAnsi="Arabic Transparent" w:cs="Arabic Transparent" w:hint="cs"/>
          <w:sz w:val="28"/>
          <w:szCs w:val="28"/>
          <w:rtl/>
          <w:lang w:bidi="ar-JO"/>
        </w:rPr>
        <w:t xml:space="preserve">هدفت هذه الدراسة إلى بيان التفاوت </w:t>
      </w:r>
      <w:r w:rsidR="00D1459D">
        <w:rPr>
          <w:rFonts w:ascii="Arabic Transparent" w:hAnsi="Arabic Transparent" w:cs="Arabic Transparent" w:hint="cs"/>
          <w:sz w:val="28"/>
          <w:szCs w:val="28"/>
          <w:rtl/>
          <w:lang w:bidi="ar-JO"/>
        </w:rPr>
        <w:t>ال</w:t>
      </w:r>
      <w:r w:rsidR="00B437A1">
        <w:rPr>
          <w:rFonts w:ascii="Arabic Transparent" w:hAnsi="Arabic Transparent" w:cs="Arabic Transparent" w:hint="cs"/>
          <w:sz w:val="28"/>
          <w:szCs w:val="28"/>
          <w:rtl/>
          <w:lang w:bidi="ar-JO"/>
        </w:rPr>
        <w:t>ناشئ</w:t>
      </w:r>
      <w:r w:rsidR="003F47EB">
        <w:rPr>
          <w:rFonts w:ascii="Arabic Transparent" w:hAnsi="Arabic Transparent" w:cs="Arabic Transparent" w:hint="cs"/>
          <w:sz w:val="28"/>
          <w:szCs w:val="28"/>
          <w:rtl/>
          <w:lang w:bidi="ar-JO"/>
        </w:rPr>
        <w:t xml:space="preserve"> عن تحقيق المناط الخاص</w:t>
      </w:r>
      <w:r w:rsidR="00B437A1">
        <w:rPr>
          <w:rFonts w:ascii="Arabic Transparent" w:hAnsi="Arabic Transparent" w:cs="Arabic Transparent" w:hint="cs"/>
          <w:sz w:val="28"/>
          <w:szCs w:val="28"/>
          <w:rtl/>
          <w:lang w:bidi="ar-JO"/>
        </w:rPr>
        <w:t>،</w:t>
      </w:r>
      <w:r w:rsidR="003F47EB">
        <w:rPr>
          <w:rFonts w:ascii="Arabic Transparent" w:hAnsi="Arabic Transparent" w:cs="Arabic Transparent" w:hint="cs"/>
          <w:sz w:val="28"/>
          <w:szCs w:val="28"/>
          <w:rtl/>
          <w:lang w:bidi="ar-JO"/>
        </w:rPr>
        <w:t xml:space="preserve"> و</w:t>
      </w:r>
      <w:r w:rsidR="00B437A1">
        <w:rPr>
          <w:rFonts w:ascii="Arabic Transparent" w:hAnsi="Arabic Transparent" w:cs="Arabic Transparent" w:hint="cs"/>
          <w:sz w:val="28"/>
          <w:szCs w:val="28"/>
          <w:rtl/>
          <w:lang w:bidi="ar-JO"/>
        </w:rPr>
        <w:t>الكشف</w:t>
      </w:r>
      <w:r w:rsidR="003F47EB">
        <w:rPr>
          <w:rFonts w:ascii="Arabic Transparent" w:hAnsi="Arabic Transparent" w:cs="Arabic Transparent" w:hint="cs"/>
          <w:sz w:val="28"/>
          <w:szCs w:val="28"/>
          <w:rtl/>
          <w:lang w:bidi="ar-JO"/>
        </w:rPr>
        <w:t xml:space="preserve"> </w:t>
      </w:r>
      <w:r w:rsidR="00B437A1">
        <w:rPr>
          <w:rFonts w:ascii="Arabic Transparent" w:hAnsi="Arabic Transparent" w:cs="Arabic Transparent" w:hint="cs"/>
          <w:sz w:val="28"/>
          <w:szCs w:val="28"/>
          <w:rtl/>
          <w:lang w:bidi="ar-JO"/>
        </w:rPr>
        <w:t>عن</w:t>
      </w:r>
      <w:r w:rsidR="003F47EB">
        <w:rPr>
          <w:rFonts w:ascii="Arabic Transparent" w:hAnsi="Arabic Transparent" w:cs="Arabic Transparent" w:hint="cs"/>
          <w:sz w:val="28"/>
          <w:szCs w:val="28"/>
          <w:rtl/>
          <w:lang w:bidi="ar-JO"/>
        </w:rPr>
        <w:t xml:space="preserve"> تطبيقاته في المعاملات المالية المعاصرة، وذلك من خلال </w:t>
      </w:r>
      <w:r w:rsidR="00A74910">
        <w:rPr>
          <w:rFonts w:ascii="Arabic Transparent" w:hAnsi="Arabic Transparent" w:cs="Arabic Transparent" w:hint="cs"/>
          <w:sz w:val="28"/>
          <w:szCs w:val="28"/>
          <w:rtl/>
          <w:lang w:bidi="ar-JO"/>
        </w:rPr>
        <w:t>التعريف بحقيقة المناط الخاص والألفاظ ذات الصلة</w:t>
      </w:r>
      <w:r w:rsidR="00B437A1">
        <w:rPr>
          <w:rFonts w:ascii="Arabic Transparent" w:hAnsi="Arabic Transparent" w:cs="Arabic Transparent" w:hint="cs"/>
          <w:sz w:val="28"/>
          <w:szCs w:val="28"/>
          <w:rtl/>
          <w:lang w:bidi="ar-JO"/>
        </w:rPr>
        <w:t xml:space="preserve"> به، </w:t>
      </w:r>
      <w:r w:rsidR="00A74910">
        <w:rPr>
          <w:rFonts w:ascii="Arabic Transparent" w:hAnsi="Arabic Transparent" w:cs="Arabic Transparent" w:hint="cs"/>
          <w:sz w:val="28"/>
          <w:szCs w:val="28"/>
          <w:rtl/>
          <w:lang w:bidi="ar-JO"/>
        </w:rPr>
        <w:t>والتعرف على مراتب</w:t>
      </w:r>
      <w:r w:rsidR="00B437A1">
        <w:rPr>
          <w:rFonts w:ascii="Arabic Transparent" w:hAnsi="Arabic Transparent" w:cs="Arabic Transparent" w:hint="cs"/>
          <w:sz w:val="28"/>
          <w:szCs w:val="28"/>
          <w:rtl/>
          <w:lang w:bidi="ar-JO"/>
        </w:rPr>
        <w:t>ه</w:t>
      </w:r>
      <w:r w:rsidR="00A74910">
        <w:rPr>
          <w:rFonts w:ascii="Arabic Transparent" w:hAnsi="Arabic Transparent" w:cs="Arabic Transparent" w:hint="cs"/>
          <w:sz w:val="28"/>
          <w:szCs w:val="28"/>
          <w:rtl/>
          <w:lang w:bidi="ar-JO"/>
        </w:rPr>
        <w:t xml:space="preserve"> ونشأته</w:t>
      </w:r>
      <w:r w:rsidR="00B437A1">
        <w:rPr>
          <w:rFonts w:ascii="Arabic Transparent" w:hAnsi="Arabic Transparent" w:cs="Arabic Transparent" w:hint="cs"/>
          <w:sz w:val="28"/>
          <w:szCs w:val="28"/>
          <w:rtl/>
          <w:lang w:bidi="ar-JO"/>
        </w:rPr>
        <w:t>،</w:t>
      </w:r>
      <w:r w:rsidR="00A74910">
        <w:rPr>
          <w:rFonts w:ascii="Arabic Transparent" w:hAnsi="Arabic Transparent" w:cs="Arabic Transparent" w:hint="cs"/>
          <w:sz w:val="28"/>
          <w:szCs w:val="28"/>
          <w:rtl/>
          <w:lang w:bidi="ar-JO"/>
        </w:rPr>
        <w:t xml:space="preserve"> </w:t>
      </w:r>
      <w:r w:rsidR="00641A74">
        <w:rPr>
          <w:rFonts w:ascii="Arabic Transparent" w:hAnsi="Arabic Transparent" w:cs="Arabic Transparent" w:hint="cs"/>
          <w:sz w:val="28"/>
          <w:szCs w:val="28"/>
          <w:rtl/>
          <w:lang w:bidi="ar-JO"/>
        </w:rPr>
        <w:t xml:space="preserve">وبيان </w:t>
      </w:r>
      <w:r w:rsidR="00A74910">
        <w:rPr>
          <w:rFonts w:ascii="Arabic Transparent" w:hAnsi="Arabic Transparent" w:cs="Arabic Transparent" w:hint="cs"/>
          <w:sz w:val="28"/>
          <w:szCs w:val="28"/>
          <w:rtl/>
          <w:lang w:bidi="ar-JO"/>
        </w:rPr>
        <w:t>مشروعيته وأهميته وموقعه من الاجتهاد في المعاملات المعاصرة</w:t>
      </w:r>
      <w:r w:rsidR="00B437A1">
        <w:rPr>
          <w:rFonts w:ascii="Arabic Transparent" w:hAnsi="Arabic Transparent" w:cs="Arabic Transparent" w:hint="cs"/>
          <w:sz w:val="28"/>
          <w:szCs w:val="28"/>
          <w:rtl/>
          <w:lang w:bidi="ar-JO"/>
        </w:rPr>
        <w:t>،</w:t>
      </w:r>
      <w:r w:rsidR="00A74910">
        <w:rPr>
          <w:rFonts w:ascii="Arabic Transparent" w:hAnsi="Arabic Transparent" w:cs="Arabic Transparent" w:hint="cs"/>
          <w:sz w:val="28"/>
          <w:szCs w:val="28"/>
          <w:rtl/>
          <w:lang w:bidi="ar-JO"/>
        </w:rPr>
        <w:t xml:space="preserve"> </w:t>
      </w:r>
      <w:r w:rsidR="00B437A1">
        <w:rPr>
          <w:rFonts w:ascii="Arabic Transparent" w:hAnsi="Arabic Transparent" w:cs="Arabic Transparent" w:hint="cs"/>
          <w:sz w:val="28"/>
          <w:szCs w:val="28"/>
          <w:rtl/>
          <w:lang w:bidi="ar-JO"/>
        </w:rPr>
        <w:t>مع بيان ضوابطه</w:t>
      </w:r>
      <w:r w:rsidR="00641A74">
        <w:rPr>
          <w:rFonts w:ascii="Arabic Transparent" w:hAnsi="Arabic Transparent" w:cs="Arabic Transparent" w:hint="cs"/>
          <w:sz w:val="28"/>
          <w:szCs w:val="28"/>
          <w:rtl/>
          <w:lang w:bidi="ar-JO"/>
        </w:rPr>
        <w:t xml:space="preserve">، </w:t>
      </w:r>
      <w:r w:rsidR="00B437A1">
        <w:rPr>
          <w:rFonts w:ascii="Arabic Transparent" w:hAnsi="Arabic Transparent" w:cs="Arabic Transparent" w:hint="cs"/>
          <w:sz w:val="28"/>
          <w:szCs w:val="28"/>
          <w:rtl/>
          <w:lang w:bidi="ar-JO"/>
        </w:rPr>
        <w:t xml:space="preserve">كما تناولت الدراسة </w:t>
      </w:r>
      <w:r w:rsidR="00641A74">
        <w:rPr>
          <w:rFonts w:ascii="Arabic Transparent" w:hAnsi="Arabic Transparent" w:cs="Arabic Transparent" w:hint="cs"/>
          <w:sz w:val="28"/>
          <w:szCs w:val="28"/>
          <w:rtl/>
          <w:lang w:bidi="ar-JO"/>
        </w:rPr>
        <w:t>التفاوت الواقع في المعاملات المالية تعريفاً وتأصيلاً، وبي</w:t>
      </w:r>
      <w:r w:rsidR="00B437A1">
        <w:rPr>
          <w:rFonts w:ascii="Arabic Transparent" w:hAnsi="Arabic Transparent" w:cs="Arabic Transparent" w:hint="cs"/>
          <w:sz w:val="28"/>
          <w:szCs w:val="28"/>
          <w:rtl/>
          <w:lang w:bidi="ar-JO"/>
        </w:rPr>
        <w:t>نت</w:t>
      </w:r>
      <w:r w:rsidR="00641A74">
        <w:rPr>
          <w:rFonts w:ascii="Arabic Transparent" w:hAnsi="Arabic Transparent" w:cs="Arabic Transparent" w:hint="cs"/>
          <w:sz w:val="28"/>
          <w:szCs w:val="28"/>
          <w:rtl/>
          <w:lang w:bidi="ar-JO"/>
        </w:rPr>
        <w:t xml:space="preserve"> أركانه وشروطه وأسبابه ومراتبه</w:t>
      </w:r>
      <w:r w:rsidR="00B437A1">
        <w:rPr>
          <w:rFonts w:ascii="Arabic Transparent" w:hAnsi="Arabic Transparent" w:cs="Arabic Transparent" w:hint="cs"/>
          <w:sz w:val="28"/>
          <w:szCs w:val="28"/>
          <w:rtl/>
          <w:lang w:bidi="ar-JO"/>
        </w:rPr>
        <w:t>،</w:t>
      </w:r>
      <w:r w:rsidR="00641A74">
        <w:rPr>
          <w:rFonts w:ascii="Arabic Transparent" w:hAnsi="Arabic Transparent" w:cs="Arabic Transparent" w:hint="cs"/>
          <w:sz w:val="28"/>
          <w:szCs w:val="28"/>
          <w:rtl/>
          <w:lang w:bidi="ar-JO"/>
        </w:rPr>
        <w:t xml:space="preserve"> ثم </w:t>
      </w:r>
      <w:r w:rsidR="00B437A1">
        <w:rPr>
          <w:rFonts w:ascii="Arabic Transparent" w:hAnsi="Arabic Transparent" w:cs="Arabic Transparent" w:hint="cs"/>
          <w:sz w:val="28"/>
          <w:szCs w:val="28"/>
          <w:rtl/>
          <w:lang w:bidi="ar-JO"/>
        </w:rPr>
        <w:t>وقفت</w:t>
      </w:r>
      <w:r w:rsidR="00641A74">
        <w:rPr>
          <w:rFonts w:ascii="Arabic Transparent" w:hAnsi="Arabic Transparent" w:cs="Arabic Transparent" w:hint="cs"/>
          <w:sz w:val="28"/>
          <w:szCs w:val="28"/>
          <w:rtl/>
          <w:lang w:bidi="ar-JO"/>
        </w:rPr>
        <w:t xml:space="preserve"> على أصول ضبطه في الوقائع والاجتهاد، </w:t>
      </w:r>
      <w:r w:rsidR="00B437A1">
        <w:rPr>
          <w:rFonts w:ascii="Arabic Transparent" w:hAnsi="Arabic Transparent" w:cs="Arabic Transparent" w:hint="cs"/>
          <w:sz w:val="28"/>
          <w:szCs w:val="28"/>
          <w:rtl/>
          <w:lang w:bidi="ar-JO"/>
        </w:rPr>
        <w:t xml:space="preserve">وأبرزت تطبيقاته في فتاوى المعاملات المالية </w:t>
      </w:r>
      <w:r w:rsidR="00641A74">
        <w:rPr>
          <w:rFonts w:ascii="Arabic Transparent" w:hAnsi="Arabic Transparent" w:cs="Arabic Transparent" w:hint="cs"/>
          <w:sz w:val="28"/>
          <w:szCs w:val="28"/>
          <w:rtl/>
          <w:lang w:bidi="ar-JO"/>
        </w:rPr>
        <w:t>المعاصرة من خلال عرض</w:t>
      </w:r>
      <w:r w:rsidR="0066480A">
        <w:rPr>
          <w:rFonts w:ascii="Arabic Transparent" w:hAnsi="Arabic Transparent" w:cs="Arabic Transparent" w:hint="cs"/>
          <w:sz w:val="28"/>
          <w:szCs w:val="28"/>
          <w:rtl/>
          <w:lang w:bidi="ar-JO"/>
        </w:rPr>
        <w:t xml:space="preserve"> الفتاوى</w:t>
      </w:r>
      <w:r w:rsidR="00B437A1">
        <w:rPr>
          <w:rFonts w:ascii="Arabic Transparent" w:hAnsi="Arabic Transparent" w:cs="Arabic Transparent" w:hint="cs"/>
          <w:sz w:val="28"/>
          <w:szCs w:val="28"/>
          <w:rtl/>
          <w:lang w:bidi="ar-JO"/>
        </w:rPr>
        <w:t xml:space="preserve"> وتحليلها،</w:t>
      </w:r>
      <w:r w:rsidR="0066480A">
        <w:rPr>
          <w:rFonts w:ascii="Arabic Transparent" w:hAnsi="Arabic Transparent" w:cs="Arabic Transparent" w:hint="cs"/>
          <w:sz w:val="28"/>
          <w:szCs w:val="28"/>
          <w:rtl/>
          <w:lang w:bidi="ar-JO"/>
        </w:rPr>
        <w:t xml:space="preserve"> والتعرف على وجه التفاوت عند تحقيق المناط الخاص بالنسبة للواقعة </w:t>
      </w:r>
      <w:r w:rsidR="00B437A1">
        <w:rPr>
          <w:rFonts w:ascii="Arabic Transparent" w:hAnsi="Arabic Transparent" w:cs="Arabic Transparent" w:hint="cs"/>
          <w:sz w:val="28"/>
          <w:szCs w:val="28"/>
          <w:rtl/>
          <w:lang w:bidi="ar-JO"/>
        </w:rPr>
        <w:t>واجتهاد المجتهدين،</w:t>
      </w:r>
      <w:r w:rsidR="0066480A">
        <w:rPr>
          <w:rFonts w:ascii="Arabic Transparent" w:hAnsi="Arabic Transparent" w:cs="Arabic Transparent" w:hint="cs"/>
          <w:sz w:val="28"/>
          <w:szCs w:val="28"/>
          <w:rtl/>
          <w:lang w:bidi="ar-JO"/>
        </w:rPr>
        <w:t xml:space="preserve"> و</w:t>
      </w:r>
      <w:r w:rsidR="00B437A1">
        <w:rPr>
          <w:rFonts w:ascii="Arabic Transparent" w:hAnsi="Arabic Transparent" w:cs="Arabic Transparent" w:hint="cs"/>
          <w:sz w:val="28"/>
          <w:szCs w:val="28"/>
          <w:rtl/>
          <w:lang w:bidi="ar-JO"/>
        </w:rPr>
        <w:t>بيان</w:t>
      </w:r>
      <w:r w:rsidR="00CF7414">
        <w:rPr>
          <w:rFonts w:ascii="Arabic Transparent" w:hAnsi="Arabic Transparent" w:cs="Arabic Transparent" w:hint="cs"/>
          <w:sz w:val="28"/>
          <w:szCs w:val="28"/>
          <w:rtl/>
          <w:lang w:bidi="ar-JO"/>
        </w:rPr>
        <w:t xml:space="preserve"> </w:t>
      </w:r>
      <w:r w:rsidR="0066480A">
        <w:rPr>
          <w:rFonts w:ascii="Arabic Transparent" w:hAnsi="Arabic Transparent" w:cs="Arabic Transparent" w:hint="cs"/>
          <w:sz w:val="28"/>
          <w:szCs w:val="28"/>
          <w:rtl/>
          <w:lang w:bidi="ar-JO"/>
        </w:rPr>
        <w:t xml:space="preserve">الأصول التي يجب </w:t>
      </w:r>
      <w:r w:rsidR="00B437A1">
        <w:rPr>
          <w:rFonts w:ascii="Arabic Transparent" w:hAnsi="Arabic Transparent" w:cs="Arabic Transparent" w:hint="cs"/>
          <w:sz w:val="28"/>
          <w:szCs w:val="28"/>
          <w:rtl/>
          <w:lang w:bidi="ar-JO"/>
        </w:rPr>
        <w:t>مراعاتها</w:t>
      </w:r>
      <w:r w:rsidR="0066480A">
        <w:rPr>
          <w:rFonts w:ascii="Arabic Transparent" w:hAnsi="Arabic Transparent" w:cs="Arabic Transparent" w:hint="cs"/>
          <w:sz w:val="28"/>
          <w:szCs w:val="28"/>
          <w:rtl/>
          <w:lang w:bidi="ar-JO"/>
        </w:rPr>
        <w:t xml:space="preserve"> من أجل ضبط تحقيق المناط </w:t>
      </w:r>
      <w:r w:rsidR="00CF7414">
        <w:rPr>
          <w:rFonts w:ascii="Arabic Transparent" w:hAnsi="Arabic Transparent" w:cs="Arabic Transparent" w:hint="cs"/>
          <w:sz w:val="28"/>
          <w:szCs w:val="28"/>
          <w:rtl/>
          <w:lang w:bidi="ar-JO"/>
        </w:rPr>
        <w:t xml:space="preserve">في الوقائع والأشخاص </w:t>
      </w:r>
      <w:r w:rsidR="00B437A1">
        <w:rPr>
          <w:rFonts w:ascii="Arabic Transparent" w:hAnsi="Arabic Transparent" w:cs="Arabic Transparent" w:hint="cs"/>
          <w:sz w:val="28"/>
          <w:szCs w:val="28"/>
          <w:rtl/>
          <w:lang w:bidi="ar-JO"/>
        </w:rPr>
        <w:t>الذين يختلف الحكم عليهم باختلاف صورة المسألة.</w:t>
      </w:r>
      <w:r w:rsidR="00CF7414">
        <w:rPr>
          <w:rFonts w:ascii="Arabic Transparent" w:hAnsi="Arabic Transparent" w:cs="Arabic Transparent" w:hint="cs"/>
          <w:sz w:val="28"/>
          <w:szCs w:val="28"/>
          <w:rtl/>
          <w:lang w:bidi="ar-JO"/>
        </w:rPr>
        <w:t xml:space="preserve"> </w:t>
      </w:r>
    </w:p>
    <w:p w14:paraId="7D7E836C" w14:textId="498BFFBA" w:rsidR="00BF2E0A" w:rsidRDefault="005D7B91" w:rsidP="00CF7414">
      <w:pPr>
        <w:tabs>
          <w:tab w:val="right" w:pos="706"/>
        </w:tabs>
        <w:spacing w:line="360" w:lineRule="auto"/>
        <w:jc w:val="both"/>
        <w:rPr>
          <w:rFonts w:ascii="Arabic Transparent" w:hAnsi="Arabic Transparent" w:cs="Arabic Transparent"/>
          <w:sz w:val="28"/>
          <w:szCs w:val="28"/>
          <w:rtl/>
          <w:lang w:bidi="ar-JO"/>
        </w:rPr>
        <w:sectPr w:rsidR="00BF2E0A" w:rsidSect="003E2ABB">
          <w:headerReference w:type="default" r:id="rId17"/>
          <w:pgSz w:w="12240" w:h="15840"/>
          <w:pgMar w:top="1418" w:right="1985" w:bottom="1418" w:left="1418" w:header="720" w:footer="720" w:gutter="0"/>
          <w:pgNumType w:fmt="arabicAbjad" w:start="9"/>
          <w:cols w:space="720"/>
          <w:docGrid w:linePitch="360"/>
        </w:sectPr>
      </w:pPr>
      <w:r>
        <w:rPr>
          <w:rFonts w:ascii="Arabic Transparent" w:hAnsi="Arabic Transparent" w:cs="Arabic Transparent" w:hint="cs"/>
          <w:sz w:val="28"/>
          <w:szCs w:val="28"/>
          <w:rtl/>
          <w:lang w:bidi="ar-JO"/>
        </w:rPr>
        <w:t xml:space="preserve">     </w:t>
      </w:r>
      <w:r w:rsidR="00CF7414">
        <w:rPr>
          <w:rFonts w:ascii="Arabic Transparent" w:hAnsi="Arabic Transparent" w:cs="Arabic Transparent" w:hint="cs"/>
          <w:sz w:val="28"/>
          <w:szCs w:val="28"/>
          <w:rtl/>
          <w:lang w:bidi="ar-JO"/>
        </w:rPr>
        <w:t xml:space="preserve">  وا</w:t>
      </w:r>
      <w:r w:rsidR="00EA4314">
        <w:rPr>
          <w:rFonts w:ascii="Arabic Transparent" w:hAnsi="Arabic Transparent" w:cs="Arabic Transparent" w:hint="cs"/>
          <w:sz w:val="28"/>
          <w:szCs w:val="28"/>
          <w:rtl/>
          <w:lang w:bidi="ar-JO"/>
        </w:rPr>
        <w:t>تبعَ</w:t>
      </w:r>
      <w:r w:rsidR="00CF7414">
        <w:rPr>
          <w:rFonts w:ascii="Arabic Transparent" w:hAnsi="Arabic Transparent" w:cs="Arabic Transparent" w:hint="cs"/>
          <w:sz w:val="28"/>
          <w:szCs w:val="28"/>
          <w:rtl/>
          <w:lang w:bidi="ar-JO"/>
        </w:rPr>
        <w:t xml:space="preserve"> في هذه الدراسة كل</w:t>
      </w:r>
      <w:r w:rsidR="00BD0E37">
        <w:rPr>
          <w:rFonts w:ascii="Arabic Transparent" w:hAnsi="Arabic Transparent" w:cs="Arabic Transparent" w:hint="cs"/>
          <w:sz w:val="28"/>
          <w:szCs w:val="28"/>
          <w:rtl/>
          <w:lang w:bidi="ar-JO"/>
        </w:rPr>
        <w:t>ٌّ</w:t>
      </w:r>
      <w:r w:rsidR="00CF7414">
        <w:rPr>
          <w:rFonts w:ascii="Arabic Transparent" w:hAnsi="Arabic Transparent" w:cs="Arabic Transparent" w:hint="cs"/>
          <w:sz w:val="28"/>
          <w:szCs w:val="28"/>
          <w:rtl/>
          <w:lang w:bidi="ar-JO"/>
        </w:rPr>
        <w:t xml:space="preserve"> من المنهج الاستقرائي</w:t>
      </w:r>
      <w:r w:rsidR="00BD0E37">
        <w:rPr>
          <w:rFonts w:ascii="Arabic Transparent" w:hAnsi="Arabic Transparent" w:cs="Arabic Transparent" w:hint="cs"/>
          <w:sz w:val="28"/>
          <w:szCs w:val="28"/>
          <w:rtl/>
          <w:lang w:bidi="ar-JO"/>
        </w:rPr>
        <w:t>،</w:t>
      </w:r>
      <w:r w:rsidR="00CF7414">
        <w:rPr>
          <w:rFonts w:ascii="Arabic Transparent" w:hAnsi="Arabic Transparent" w:cs="Arabic Transparent" w:hint="cs"/>
          <w:sz w:val="28"/>
          <w:szCs w:val="28"/>
          <w:rtl/>
          <w:lang w:bidi="ar-JO"/>
        </w:rPr>
        <w:t xml:space="preserve"> والوصفي</w:t>
      </w:r>
      <w:r w:rsidR="00BD0E37">
        <w:rPr>
          <w:rFonts w:ascii="Arabic Transparent" w:hAnsi="Arabic Transparent" w:cs="Arabic Transparent" w:hint="cs"/>
          <w:sz w:val="28"/>
          <w:szCs w:val="28"/>
          <w:rtl/>
          <w:lang w:bidi="ar-JO"/>
        </w:rPr>
        <w:t>،</w:t>
      </w:r>
      <w:r w:rsidR="00CF7414">
        <w:rPr>
          <w:rFonts w:ascii="Arabic Transparent" w:hAnsi="Arabic Transparent" w:cs="Arabic Transparent" w:hint="cs"/>
          <w:sz w:val="28"/>
          <w:szCs w:val="28"/>
          <w:rtl/>
          <w:lang w:bidi="ar-JO"/>
        </w:rPr>
        <w:t xml:space="preserve"> والتحليلي</w:t>
      </w:r>
      <w:r w:rsidR="00BD0E37">
        <w:rPr>
          <w:rFonts w:ascii="Arabic Transparent" w:hAnsi="Arabic Transparent" w:cs="Arabic Transparent" w:hint="cs"/>
          <w:sz w:val="28"/>
          <w:szCs w:val="28"/>
          <w:rtl/>
          <w:lang w:bidi="ar-JO"/>
        </w:rPr>
        <w:t>،</w:t>
      </w:r>
      <w:r w:rsidR="00CF7414">
        <w:rPr>
          <w:rFonts w:ascii="Arabic Transparent" w:hAnsi="Arabic Transparent" w:cs="Arabic Transparent" w:hint="cs"/>
          <w:sz w:val="28"/>
          <w:szCs w:val="28"/>
          <w:rtl/>
          <w:lang w:bidi="ar-JO"/>
        </w:rPr>
        <w:t xml:space="preserve"> والتطبيقي</w:t>
      </w:r>
      <w:r w:rsidR="00BD0E37">
        <w:rPr>
          <w:rFonts w:ascii="Arabic Transparent" w:hAnsi="Arabic Transparent" w:cs="Arabic Transparent" w:hint="cs"/>
          <w:sz w:val="28"/>
          <w:szCs w:val="28"/>
          <w:rtl/>
          <w:lang w:bidi="ar-JO"/>
        </w:rPr>
        <w:t>،</w:t>
      </w:r>
      <w:r w:rsidR="00CF7414">
        <w:rPr>
          <w:rFonts w:ascii="Arabic Transparent" w:hAnsi="Arabic Transparent" w:cs="Arabic Transparent" w:hint="cs"/>
          <w:sz w:val="28"/>
          <w:szCs w:val="28"/>
          <w:rtl/>
          <w:lang w:bidi="ar-JO"/>
        </w:rPr>
        <w:t xml:space="preserve"> وذلك </w:t>
      </w:r>
      <w:r w:rsidR="00BD0E37">
        <w:rPr>
          <w:rFonts w:ascii="Arabic Transparent" w:hAnsi="Arabic Transparent" w:cs="Arabic Transparent" w:hint="cs"/>
          <w:sz w:val="28"/>
          <w:szCs w:val="28"/>
          <w:rtl/>
          <w:lang w:bidi="ar-JO"/>
        </w:rPr>
        <w:t xml:space="preserve">من خلال استقراء </w:t>
      </w:r>
      <w:r w:rsidR="008313A2">
        <w:rPr>
          <w:rFonts w:ascii="Arabic Transparent" w:hAnsi="Arabic Transparent" w:cs="Arabic Transparent" w:hint="cs"/>
          <w:sz w:val="28"/>
          <w:szCs w:val="28"/>
          <w:rtl/>
          <w:lang w:bidi="ar-JO"/>
        </w:rPr>
        <w:t>تطبيقات الفت</w:t>
      </w:r>
      <w:r w:rsidR="00BD0E37">
        <w:rPr>
          <w:rFonts w:ascii="Arabic Transparent" w:hAnsi="Arabic Transparent" w:cs="Arabic Transparent" w:hint="cs"/>
          <w:sz w:val="28"/>
          <w:szCs w:val="28"/>
          <w:rtl/>
          <w:lang w:bidi="ar-JO"/>
        </w:rPr>
        <w:t>اوى</w:t>
      </w:r>
      <w:r w:rsidR="008313A2">
        <w:rPr>
          <w:rFonts w:ascii="Arabic Transparent" w:hAnsi="Arabic Transparent" w:cs="Arabic Transparent" w:hint="cs"/>
          <w:sz w:val="28"/>
          <w:szCs w:val="28"/>
          <w:rtl/>
          <w:lang w:bidi="ar-JO"/>
        </w:rPr>
        <w:t xml:space="preserve"> المالية التي </w:t>
      </w:r>
      <w:r w:rsidR="00BD0E37">
        <w:rPr>
          <w:rFonts w:ascii="Arabic Transparent" w:hAnsi="Arabic Transparent" w:cs="Arabic Transparent" w:hint="cs"/>
          <w:sz w:val="28"/>
          <w:szCs w:val="28"/>
          <w:rtl/>
          <w:lang w:bidi="ar-JO"/>
        </w:rPr>
        <w:t>ي</w:t>
      </w:r>
      <w:r w:rsidR="008313A2">
        <w:rPr>
          <w:rFonts w:ascii="Arabic Transparent" w:hAnsi="Arabic Transparent" w:cs="Arabic Transparent" w:hint="cs"/>
          <w:sz w:val="28"/>
          <w:szCs w:val="28"/>
          <w:rtl/>
          <w:lang w:bidi="ar-JO"/>
        </w:rPr>
        <w:t>برز بها الاجتهاد التنزيلي</w:t>
      </w:r>
      <w:r w:rsidR="00CF7414">
        <w:rPr>
          <w:rFonts w:ascii="Arabic Transparent" w:hAnsi="Arabic Transparent" w:cs="Arabic Transparent" w:hint="cs"/>
          <w:sz w:val="28"/>
          <w:szCs w:val="28"/>
          <w:rtl/>
          <w:lang w:bidi="ar-JO"/>
        </w:rPr>
        <w:t xml:space="preserve"> </w:t>
      </w:r>
      <w:r w:rsidR="00BD0E37">
        <w:rPr>
          <w:rFonts w:ascii="Arabic Transparent" w:hAnsi="Arabic Transparent" w:cs="Arabic Transparent" w:hint="cs"/>
          <w:sz w:val="28"/>
          <w:szCs w:val="28"/>
          <w:rtl/>
          <w:lang w:bidi="ar-JO"/>
        </w:rPr>
        <w:t>للمجتهدين المعاصرين،</w:t>
      </w:r>
      <w:r w:rsidR="00CF7414">
        <w:rPr>
          <w:rFonts w:ascii="Arabic Transparent" w:hAnsi="Arabic Transparent" w:cs="Arabic Transparent" w:hint="cs"/>
          <w:sz w:val="28"/>
          <w:szCs w:val="28"/>
          <w:rtl/>
          <w:lang w:bidi="ar-JO"/>
        </w:rPr>
        <w:t xml:space="preserve"> وتحليلها ووصف</w:t>
      </w:r>
      <w:r w:rsidR="00BD0E37">
        <w:rPr>
          <w:rFonts w:ascii="Arabic Transparent" w:hAnsi="Arabic Transparent" w:cs="Arabic Transparent" w:hint="cs"/>
          <w:sz w:val="28"/>
          <w:szCs w:val="28"/>
          <w:rtl/>
          <w:lang w:bidi="ar-JO"/>
        </w:rPr>
        <w:t>ه</w:t>
      </w:r>
      <w:r w:rsidR="008313A2">
        <w:rPr>
          <w:rFonts w:ascii="Arabic Transparent" w:hAnsi="Arabic Transparent" w:cs="Arabic Transparent" w:hint="cs"/>
          <w:sz w:val="28"/>
          <w:szCs w:val="28"/>
          <w:rtl/>
          <w:lang w:bidi="ar-JO"/>
        </w:rPr>
        <w:t>ا</w:t>
      </w:r>
      <w:r w:rsidR="00BD0E37">
        <w:rPr>
          <w:rFonts w:ascii="Arabic Transparent" w:hAnsi="Arabic Transparent" w:cs="Arabic Transparent" w:hint="cs"/>
          <w:sz w:val="28"/>
          <w:szCs w:val="28"/>
          <w:rtl/>
          <w:lang w:bidi="ar-JO"/>
        </w:rPr>
        <w:t>،</w:t>
      </w:r>
      <w:r w:rsidR="008313A2">
        <w:rPr>
          <w:rFonts w:ascii="Arabic Transparent" w:hAnsi="Arabic Transparent" w:cs="Arabic Transparent" w:hint="cs"/>
          <w:sz w:val="28"/>
          <w:szCs w:val="28"/>
          <w:rtl/>
          <w:lang w:bidi="ar-JO"/>
        </w:rPr>
        <w:t xml:space="preserve"> وبيان</w:t>
      </w:r>
      <w:r w:rsidR="00CF7414">
        <w:rPr>
          <w:rFonts w:ascii="Arabic Transparent" w:hAnsi="Arabic Transparent" w:cs="Arabic Transparent" w:hint="cs"/>
          <w:sz w:val="28"/>
          <w:szCs w:val="28"/>
          <w:rtl/>
          <w:lang w:bidi="ar-JO"/>
        </w:rPr>
        <w:t xml:space="preserve"> وجه التفاوت </w:t>
      </w:r>
      <w:r w:rsidR="00BD0E37">
        <w:rPr>
          <w:rFonts w:ascii="Arabic Transparent" w:hAnsi="Arabic Transparent" w:cs="Arabic Transparent" w:hint="cs"/>
          <w:sz w:val="28"/>
          <w:szCs w:val="28"/>
          <w:rtl/>
          <w:lang w:bidi="ar-JO"/>
        </w:rPr>
        <w:t>عند تحقيق المناط الخاص،</w:t>
      </w:r>
      <w:r w:rsidR="008313A2">
        <w:rPr>
          <w:rFonts w:ascii="Arabic Transparent" w:hAnsi="Arabic Transparent" w:cs="Arabic Transparent" w:hint="cs"/>
          <w:sz w:val="28"/>
          <w:szCs w:val="28"/>
          <w:rtl/>
          <w:lang w:bidi="ar-JO"/>
        </w:rPr>
        <w:t xml:space="preserve"> </w:t>
      </w:r>
      <w:r w:rsidR="00BD0E37">
        <w:rPr>
          <w:rFonts w:ascii="Arabic Transparent" w:hAnsi="Arabic Transparent" w:cs="Arabic Transparent" w:hint="cs"/>
          <w:sz w:val="28"/>
          <w:szCs w:val="28"/>
          <w:rtl/>
          <w:lang w:bidi="ar-JO"/>
        </w:rPr>
        <w:t xml:space="preserve">والتي </w:t>
      </w:r>
      <w:r w:rsidR="008313A2">
        <w:rPr>
          <w:rFonts w:ascii="Arabic Transparent" w:hAnsi="Arabic Transparent" w:cs="Arabic Transparent" w:hint="cs"/>
          <w:sz w:val="28"/>
          <w:szCs w:val="28"/>
          <w:rtl/>
          <w:lang w:bidi="ar-JO"/>
        </w:rPr>
        <w:t xml:space="preserve">يجب أن تتغير الفتوى فيها تبعاً لتغير الأوصاف المؤثرة في الحكم، وقد خلصت الدراسة إلى عدة </w:t>
      </w:r>
      <w:r w:rsidR="006E5B32">
        <w:rPr>
          <w:rFonts w:ascii="Arabic Transparent" w:hAnsi="Arabic Transparent" w:cs="Arabic Transparent" w:hint="cs"/>
          <w:sz w:val="28"/>
          <w:szCs w:val="28"/>
          <w:rtl/>
          <w:lang w:bidi="ar-JO"/>
        </w:rPr>
        <w:t xml:space="preserve">نتائج </w:t>
      </w:r>
      <w:r w:rsidR="008313A2">
        <w:rPr>
          <w:rFonts w:ascii="Arabic Transparent" w:hAnsi="Arabic Transparent" w:cs="Arabic Transparent" w:hint="cs"/>
          <w:sz w:val="28"/>
          <w:szCs w:val="28"/>
          <w:rtl/>
          <w:lang w:bidi="ar-JO"/>
        </w:rPr>
        <w:t xml:space="preserve">أبرزها: </w:t>
      </w:r>
      <w:r w:rsidR="00F2052D">
        <w:rPr>
          <w:rFonts w:ascii="Arabic Transparent" w:hAnsi="Arabic Transparent" w:cs="Arabic Transparent" w:hint="cs"/>
          <w:sz w:val="28"/>
          <w:szCs w:val="28"/>
          <w:rtl/>
          <w:lang w:bidi="ar-JO"/>
        </w:rPr>
        <w:t xml:space="preserve">أن تفاوت الحكم بين الإباحة والتحريم أثر ضروري للاجتهاد التنزيلي عند دراسة فروع المسائل المالية المطبقة بأساليب مختلفة، وأن </w:t>
      </w:r>
      <w:r w:rsidR="00D50D9D">
        <w:rPr>
          <w:rFonts w:ascii="Arabic Transparent" w:hAnsi="Arabic Transparent" w:cs="Arabic Transparent" w:hint="cs"/>
          <w:sz w:val="28"/>
          <w:szCs w:val="28"/>
          <w:rtl/>
          <w:lang w:bidi="ar-JO"/>
        </w:rPr>
        <w:t>ل</w:t>
      </w:r>
      <w:r w:rsidR="00F2052D">
        <w:rPr>
          <w:rFonts w:ascii="Arabic Transparent" w:hAnsi="Arabic Transparent" w:cs="Arabic Transparent" w:hint="cs"/>
          <w:sz w:val="28"/>
          <w:szCs w:val="28"/>
          <w:rtl/>
          <w:lang w:bidi="ar-JO"/>
        </w:rPr>
        <w:t>لتفاوت أسباب</w:t>
      </w:r>
      <w:r w:rsidR="006E5B32">
        <w:rPr>
          <w:rFonts w:ascii="Arabic Transparent" w:hAnsi="Arabic Transparent" w:cs="Arabic Transparent" w:hint="cs"/>
          <w:sz w:val="28"/>
          <w:szCs w:val="28"/>
          <w:rtl/>
          <w:lang w:bidi="ar-JO"/>
        </w:rPr>
        <w:t>اً</w:t>
      </w:r>
      <w:r w:rsidR="00F2052D">
        <w:rPr>
          <w:rFonts w:ascii="Arabic Transparent" w:hAnsi="Arabic Transparent" w:cs="Arabic Transparent" w:hint="cs"/>
          <w:sz w:val="28"/>
          <w:szCs w:val="28"/>
          <w:rtl/>
          <w:lang w:bidi="ar-JO"/>
        </w:rPr>
        <w:t xml:space="preserve"> تتعلق بالواقعة وأوصافها</w:t>
      </w:r>
      <w:r w:rsidR="006E5B32">
        <w:rPr>
          <w:rFonts w:ascii="Arabic Transparent" w:hAnsi="Arabic Transparent" w:cs="Arabic Transparent" w:hint="cs"/>
          <w:sz w:val="28"/>
          <w:szCs w:val="28"/>
          <w:rtl/>
          <w:lang w:bidi="ar-JO"/>
        </w:rPr>
        <w:t>،</w:t>
      </w:r>
      <w:r w:rsidR="00F2052D">
        <w:rPr>
          <w:rFonts w:ascii="Arabic Transparent" w:hAnsi="Arabic Transparent" w:cs="Arabic Transparent" w:hint="cs"/>
          <w:sz w:val="28"/>
          <w:szCs w:val="28"/>
          <w:rtl/>
          <w:lang w:bidi="ar-JO"/>
        </w:rPr>
        <w:t xml:space="preserve"> </w:t>
      </w:r>
      <w:r w:rsidR="006E5B32">
        <w:rPr>
          <w:rFonts w:ascii="Arabic Transparent" w:hAnsi="Arabic Transparent" w:cs="Arabic Transparent" w:hint="cs"/>
          <w:sz w:val="28"/>
          <w:szCs w:val="28"/>
          <w:rtl/>
          <w:lang w:bidi="ar-JO"/>
        </w:rPr>
        <w:t xml:space="preserve">كما </w:t>
      </w:r>
      <w:r w:rsidR="00D50D9D">
        <w:rPr>
          <w:rFonts w:ascii="Arabic Transparent" w:hAnsi="Arabic Transparent" w:cs="Arabic Transparent" w:hint="cs"/>
          <w:sz w:val="28"/>
          <w:szCs w:val="28"/>
          <w:rtl/>
          <w:lang w:bidi="ar-JO"/>
        </w:rPr>
        <w:t>تتعلق ب</w:t>
      </w:r>
      <w:r w:rsidR="00F2052D">
        <w:rPr>
          <w:rFonts w:ascii="Arabic Transparent" w:hAnsi="Arabic Transparent" w:cs="Arabic Transparent" w:hint="cs"/>
          <w:sz w:val="28"/>
          <w:szCs w:val="28"/>
          <w:rtl/>
          <w:lang w:bidi="ar-JO"/>
        </w:rPr>
        <w:t>طريقة الاجتهاد ومنهجه</w:t>
      </w:r>
      <w:r w:rsidR="006E5B32">
        <w:rPr>
          <w:rFonts w:ascii="Arabic Transparent" w:hAnsi="Arabic Transparent" w:cs="Arabic Transparent" w:hint="cs"/>
          <w:sz w:val="28"/>
          <w:szCs w:val="28"/>
          <w:rtl/>
          <w:lang w:bidi="ar-JO"/>
        </w:rPr>
        <w:t>،</w:t>
      </w:r>
      <w:r w:rsidR="00F2052D">
        <w:rPr>
          <w:rFonts w:ascii="Arabic Transparent" w:hAnsi="Arabic Transparent" w:cs="Arabic Transparent" w:hint="cs"/>
          <w:sz w:val="28"/>
          <w:szCs w:val="28"/>
          <w:rtl/>
          <w:lang w:bidi="ar-JO"/>
        </w:rPr>
        <w:t xml:space="preserve"> و</w:t>
      </w:r>
      <w:r w:rsidR="00D50D9D">
        <w:rPr>
          <w:rFonts w:ascii="Arabic Transparent" w:hAnsi="Arabic Transparent" w:cs="Arabic Transparent" w:hint="cs"/>
          <w:sz w:val="28"/>
          <w:szCs w:val="28"/>
          <w:rtl/>
          <w:lang w:bidi="ar-JO"/>
        </w:rPr>
        <w:t>أوضحت</w:t>
      </w:r>
      <w:r w:rsidR="006E5B32">
        <w:rPr>
          <w:rFonts w:ascii="Arabic Transparent" w:hAnsi="Arabic Transparent" w:cs="Arabic Transparent" w:hint="cs"/>
          <w:sz w:val="28"/>
          <w:szCs w:val="28"/>
          <w:rtl/>
          <w:lang w:bidi="ar-JO"/>
        </w:rPr>
        <w:t xml:space="preserve"> الدراسة</w:t>
      </w:r>
      <w:r w:rsidR="00D50D9D">
        <w:rPr>
          <w:rFonts w:ascii="Arabic Transparent" w:hAnsi="Arabic Transparent" w:cs="Arabic Transparent" w:hint="cs"/>
          <w:sz w:val="28"/>
          <w:szCs w:val="28"/>
          <w:rtl/>
          <w:lang w:bidi="ar-JO"/>
        </w:rPr>
        <w:t xml:space="preserve"> أنَّ</w:t>
      </w:r>
      <w:r w:rsidR="00F2052D">
        <w:rPr>
          <w:rFonts w:ascii="Arabic Transparent" w:hAnsi="Arabic Transparent" w:cs="Arabic Transparent" w:hint="cs"/>
          <w:sz w:val="28"/>
          <w:szCs w:val="28"/>
          <w:rtl/>
          <w:lang w:bidi="ar-JO"/>
        </w:rPr>
        <w:t xml:space="preserve"> للتفاوت مراتب</w:t>
      </w:r>
      <w:r w:rsidR="006E5B32">
        <w:rPr>
          <w:rFonts w:ascii="Arabic Transparent" w:hAnsi="Arabic Transparent" w:cs="Arabic Transparent" w:hint="cs"/>
          <w:sz w:val="28"/>
          <w:szCs w:val="28"/>
          <w:rtl/>
          <w:lang w:bidi="ar-JO"/>
        </w:rPr>
        <w:t>؛</w:t>
      </w:r>
      <w:r w:rsidR="00F2052D">
        <w:rPr>
          <w:rFonts w:ascii="Arabic Transparent" w:hAnsi="Arabic Transparent" w:cs="Arabic Transparent" w:hint="cs"/>
          <w:sz w:val="28"/>
          <w:szCs w:val="28"/>
          <w:rtl/>
          <w:lang w:bidi="ar-JO"/>
        </w:rPr>
        <w:t xml:space="preserve"> فمنه ما يكون مؤثراً</w:t>
      </w:r>
      <w:r w:rsidR="006E5B32">
        <w:rPr>
          <w:rFonts w:ascii="Arabic Transparent" w:hAnsi="Arabic Transparent" w:cs="Arabic Transparent" w:hint="cs"/>
          <w:sz w:val="28"/>
          <w:szCs w:val="28"/>
          <w:rtl/>
          <w:lang w:bidi="ar-JO"/>
        </w:rPr>
        <w:t>،</w:t>
      </w:r>
      <w:r w:rsidR="00F2052D">
        <w:rPr>
          <w:rFonts w:ascii="Arabic Transparent" w:hAnsi="Arabic Transparent" w:cs="Arabic Transparent" w:hint="cs"/>
          <w:sz w:val="28"/>
          <w:szCs w:val="28"/>
          <w:rtl/>
          <w:lang w:bidi="ar-JO"/>
        </w:rPr>
        <w:t xml:space="preserve"> ومنه ما</w:t>
      </w:r>
      <w:r w:rsidR="006E5B32">
        <w:rPr>
          <w:rFonts w:ascii="Arabic Transparent" w:hAnsi="Arabic Transparent" w:cs="Arabic Transparent" w:hint="cs"/>
          <w:sz w:val="28"/>
          <w:szCs w:val="28"/>
          <w:rtl/>
          <w:lang w:bidi="ar-JO"/>
        </w:rPr>
        <w:t xml:space="preserve"> لا يكون مؤثراً، كما </w:t>
      </w:r>
      <w:r w:rsidR="00D50D9D" w:rsidRPr="00D50D9D">
        <w:rPr>
          <w:rFonts w:ascii="Arabic Transparent" w:hAnsi="Arabic Transparent" w:cs="Arabic Transparent"/>
          <w:sz w:val="28"/>
          <w:szCs w:val="28"/>
          <w:rtl/>
          <w:lang w:bidi="ar-JO"/>
        </w:rPr>
        <w:t>بينت جملة من أصول الضبط التي ي</w:t>
      </w:r>
      <w:r w:rsidR="006E5B32">
        <w:rPr>
          <w:rFonts w:ascii="Arabic Transparent" w:hAnsi="Arabic Transparent" w:cs="Arabic Transparent" w:hint="cs"/>
          <w:sz w:val="28"/>
          <w:szCs w:val="28"/>
          <w:rtl/>
          <w:lang w:bidi="ar-JO"/>
        </w:rPr>
        <w:t>ُ</w:t>
      </w:r>
      <w:r w:rsidR="00D50D9D" w:rsidRPr="00D50D9D">
        <w:rPr>
          <w:rFonts w:ascii="Arabic Transparent" w:hAnsi="Arabic Transparent" w:cs="Arabic Transparent"/>
          <w:sz w:val="28"/>
          <w:szCs w:val="28"/>
          <w:rtl/>
          <w:lang w:bidi="ar-JO"/>
        </w:rPr>
        <w:t>ستحسن العمل بها لضبط الاجتهاد في الواقعات المالية المعاصرة</w:t>
      </w:r>
      <w:r w:rsidR="00CA301A">
        <w:rPr>
          <w:rFonts w:ascii="Arabic Transparent" w:hAnsi="Arabic Transparent" w:cs="Arabic Transparent" w:hint="cs"/>
          <w:b/>
          <w:bCs/>
          <w:sz w:val="32"/>
          <w:szCs w:val="32"/>
          <w:rtl/>
          <w:lang w:bidi="ar-JO"/>
        </w:rPr>
        <w:t>،</w:t>
      </w:r>
      <w:r w:rsidR="00CA301A">
        <w:rPr>
          <w:rFonts w:ascii="Arabic Transparent" w:hAnsi="Arabic Transparent" w:cs="Arabic Transparent" w:hint="cs"/>
          <w:sz w:val="28"/>
          <w:szCs w:val="28"/>
          <w:rtl/>
        </w:rPr>
        <w:t xml:space="preserve"> </w:t>
      </w:r>
      <w:r w:rsidR="006E5B32">
        <w:rPr>
          <w:rFonts w:ascii="Arabic Transparent" w:hAnsi="Arabic Transparent" w:cs="Arabic Transparent" w:hint="cs"/>
          <w:sz w:val="28"/>
          <w:szCs w:val="28"/>
          <w:rtl/>
        </w:rPr>
        <w:t>و</w:t>
      </w:r>
      <w:r w:rsidR="00CA301A">
        <w:rPr>
          <w:rFonts w:ascii="Arabic Transparent" w:hAnsi="Arabic Transparent" w:cs="Arabic Transparent" w:hint="cs"/>
          <w:sz w:val="28"/>
          <w:szCs w:val="28"/>
          <w:rtl/>
        </w:rPr>
        <w:t xml:space="preserve">توصلت </w:t>
      </w:r>
      <w:r w:rsidR="00CA301A">
        <w:rPr>
          <w:rFonts w:ascii="Arabic Transparent" w:hAnsi="Arabic Transparent" w:cs="Arabic Transparent" w:hint="cs"/>
          <w:sz w:val="28"/>
          <w:szCs w:val="28"/>
          <w:rtl/>
          <w:lang w:bidi="ar-JO"/>
        </w:rPr>
        <w:t>م</w:t>
      </w:r>
      <w:r w:rsidR="00CA301A" w:rsidRPr="0059156B">
        <w:rPr>
          <w:rFonts w:ascii="Arabic Transparent" w:hAnsi="Arabic Transparent" w:cs="Arabic Transparent" w:hint="eastAsia"/>
          <w:sz w:val="28"/>
          <w:szCs w:val="28"/>
          <w:rtl/>
          <w:lang w:bidi="ar-JO"/>
        </w:rPr>
        <w:t>ن</w:t>
      </w:r>
      <w:r w:rsidR="00CA301A" w:rsidRPr="0059156B">
        <w:rPr>
          <w:rFonts w:ascii="Arabic Transparent" w:hAnsi="Arabic Transparent" w:cs="Arabic Transparent"/>
          <w:sz w:val="28"/>
          <w:szCs w:val="28"/>
          <w:rtl/>
          <w:lang w:bidi="ar-JO"/>
        </w:rPr>
        <w:t xml:space="preserve"> </w:t>
      </w:r>
      <w:r w:rsidR="00CA301A" w:rsidRPr="0059156B">
        <w:rPr>
          <w:rFonts w:ascii="Arabic Transparent" w:hAnsi="Arabic Transparent" w:cs="Arabic Transparent" w:hint="eastAsia"/>
          <w:sz w:val="28"/>
          <w:szCs w:val="28"/>
          <w:rtl/>
          <w:lang w:bidi="ar-JO"/>
        </w:rPr>
        <w:t>خلال</w:t>
      </w:r>
      <w:r w:rsidR="00CA301A" w:rsidRPr="0059156B">
        <w:rPr>
          <w:rFonts w:ascii="Arabic Transparent" w:hAnsi="Arabic Transparent" w:cs="Arabic Transparent"/>
          <w:sz w:val="28"/>
          <w:szCs w:val="28"/>
          <w:rtl/>
          <w:lang w:bidi="ar-JO"/>
        </w:rPr>
        <w:t xml:space="preserve"> </w:t>
      </w:r>
    </w:p>
    <w:p w14:paraId="5185E817" w14:textId="66B41B49" w:rsidR="00E17952" w:rsidRPr="00CA301A" w:rsidRDefault="00CA301A" w:rsidP="00CF7414">
      <w:pPr>
        <w:tabs>
          <w:tab w:val="right" w:pos="706"/>
        </w:tabs>
        <w:spacing w:line="360" w:lineRule="auto"/>
        <w:jc w:val="both"/>
        <w:rPr>
          <w:rFonts w:ascii="Arabic Transparent" w:hAnsi="Arabic Transparent" w:cs="Arabic Transparent"/>
          <w:sz w:val="28"/>
          <w:szCs w:val="28"/>
          <w:rtl/>
          <w:lang w:bidi="ar-JO"/>
        </w:rPr>
      </w:pPr>
      <w:r w:rsidRPr="0059156B">
        <w:rPr>
          <w:rFonts w:ascii="Arabic Transparent" w:hAnsi="Arabic Transparent" w:cs="Arabic Transparent" w:hint="eastAsia"/>
          <w:sz w:val="28"/>
          <w:szCs w:val="28"/>
          <w:rtl/>
          <w:lang w:bidi="ar-JO"/>
        </w:rPr>
        <w:lastRenderedPageBreak/>
        <w:t>استقراء</w:t>
      </w:r>
      <w:r w:rsidRPr="0059156B">
        <w:rPr>
          <w:rFonts w:ascii="Arabic Transparent" w:hAnsi="Arabic Transparent" w:cs="Arabic Transparent"/>
          <w:sz w:val="28"/>
          <w:szCs w:val="28"/>
          <w:rtl/>
          <w:lang w:bidi="ar-JO"/>
        </w:rPr>
        <w:t xml:space="preserve"> </w:t>
      </w:r>
      <w:r w:rsidRPr="0059156B">
        <w:rPr>
          <w:rFonts w:ascii="Arabic Transparent" w:hAnsi="Arabic Transparent" w:cs="Arabic Transparent" w:hint="eastAsia"/>
          <w:sz w:val="28"/>
          <w:szCs w:val="28"/>
          <w:rtl/>
          <w:lang w:bidi="ar-JO"/>
        </w:rPr>
        <w:t>الفتاوى</w:t>
      </w:r>
      <w:r w:rsidRPr="0059156B">
        <w:rPr>
          <w:rFonts w:ascii="Arabic Transparent" w:hAnsi="Arabic Transparent" w:cs="Arabic Transparent"/>
          <w:sz w:val="28"/>
          <w:szCs w:val="28"/>
          <w:rtl/>
          <w:lang w:bidi="ar-JO"/>
        </w:rPr>
        <w:t xml:space="preserve"> </w:t>
      </w:r>
      <w:r w:rsidRPr="0059156B">
        <w:rPr>
          <w:rFonts w:ascii="Arabic Transparent" w:hAnsi="Arabic Transparent" w:cs="Arabic Transparent" w:hint="eastAsia"/>
          <w:sz w:val="28"/>
          <w:szCs w:val="28"/>
          <w:rtl/>
          <w:lang w:bidi="ar-JO"/>
        </w:rPr>
        <w:t>المالية</w:t>
      </w:r>
      <w:r w:rsidRPr="0059156B">
        <w:rPr>
          <w:rFonts w:ascii="Arabic Transparent" w:hAnsi="Arabic Transparent" w:cs="Arabic Transparent"/>
          <w:sz w:val="28"/>
          <w:szCs w:val="28"/>
          <w:rtl/>
          <w:lang w:bidi="ar-JO"/>
        </w:rPr>
        <w:t xml:space="preserve"> </w:t>
      </w:r>
      <w:r>
        <w:rPr>
          <w:rFonts w:ascii="Arabic Transparent" w:hAnsi="Arabic Transparent" w:cs="Arabic Transparent" w:hint="cs"/>
          <w:sz w:val="28"/>
          <w:szCs w:val="28"/>
          <w:rtl/>
          <w:lang w:bidi="ar-JO"/>
        </w:rPr>
        <w:t xml:space="preserve">وتحليلها أن </w:t>
      </w:r>
      <w:r w:rsidR="006E5B32">
        <w:rPr>
          <w:rFonts w:ascii="Arabic Transparent" w:hAnsi="Arabic Transparent" w:cs="Arabic Transparent" w:hint="cs"/>
          <w:sz w:val="28"/>
          <w:szCs w:val="28"/>
          <w:rtl/>
          <w:lang w:bidi="ar-JO"/>
        </w:rPr>
        <w:t>كثيراً</w:t>
      </w:r>
      <w:r>
        <w:rPr>
          <w:rFonts w:ascii="Arabic Transparent" w:hAnsi="Arabic Transparent" w:cs="Arabic Transparent" w:hint="cs"/>
          <w:sz w:val="28"/>
          <w:szCs w:val="28"/>
          <w:rtl/>
          <w:lang w:bidi="ar-JO"/>
        </w:rPr>
        <w:t xml:space="preserve"> </w:t>
      </w:r>
      <w:r w:rsidRPr="00CA301A">
        <w:rPr>
          <w:rFonts w:ascii="Arabic Transparent" w:hAnsi="Arabic Transparent" w:cs="Arabic Transparent" w:hint="cs"/>
          <w:sz w:val="28"/>
          <w:szCs w:val="28"/>
          <w:rtl/>
          <w:lang w:bidi="ar-JO"/>
        </w:rPr>
        <w:t>من الفتاوى ذهب</w:t>
      </w:r>
      <w:r w:rsidR="006E5B32">
        <w:rPr>
          <w:rFonts w:ascii="Arabic Transparent" w:hAnsi="Arabic Transparent" w:cs="Arabic Transparent" w:hint="cs"/>
          <w:sz w:val="28"/>
          <w:szCs w:val="28"/>
          <w:rtl/>
          <w:lang w:bidi="ar-JO"/>
        </w:rPr>
        <w:t>ت</w:t>
      </w:r>
      <w:r w:rsidRPr="00CA301A">
        <w:rPr>
          <w:rFonts w:ascii="Arabic Transparent" w:hAnsi="Arabic Transparent" w:cs="Arabic Transparent" w:hint="cs"/>
          <w:sz w:val="28"/>
          <w:szCs w:val="28"/>
          <w:rtl/>
          <w:lang w:bidi="ar-JO"/>
        </w:rPr>
        <w:t xml:space="preserve"> </w:t>
      </w:r>
      <w:r w:rsidR="006E5B32">
        <w:rPr>
          <w:rFonts w:ascii="Arabic Transparent" w:hAnsi="Arabic Transparent" w:cs="Arabic Transparent" w:hint="cs"/>
          <w:sz w:val="28"/>
          <w:szCs w:val="28"/>
          <w:rtl/>
          <w:lang w:bidi="ar-JO"/>
        </w:rPr>
        <w:t>إلى ال</w:t>
      </w:r>
      <w:r w:rsidRPr="00CA301A">
        <w:rPr>
          <w:rFonts w:ascii="Arabic Transparent" w:hAnsi="Arabic Transparent" w:cs="Arabic Transparent" w:hint="cs"/>
          <w:sz w:val="28"/>
          <w:szCs w:val="28"/>
          <w:rtl/>
          <w:lang w:bidi="ar-JO"/>
        </w:rPr>
        <w:t>تحريم مطلقاً لمسوغات ظنية</w:t>
      </w:r>
      <w:r w:rsidR="006E5B32">
        <w:rPr>
          <w:rFonts w:ascii="Arabic Transparent" w:hAnsi="Arabic Transparent" w:cs="Arabic Transparent" w:hint="cs"/>
          <w:sz w:val="28"/>
          <w:szCs w:val="28"/>
          <w:rtl/>
          <w:lang w:bidi="ar-JO"/>
        </w:rPr>
        <w:t>،</w:t>
      </w:r>
      <w:r w:rsidRPr="00CA301A">
        <w:rPr>
          <w:rFonts w:ascii="Arabic Transparent" w:hAnsi="Arabic Transparent" w:cs="Arabic Transparent" w:hint="cs"/>
          <w:sz w:val="28"/>
          <w:szCs w:val="28"/>
          <w:rtl/>
          <w:lang w:bidi="ar-JO"/>
        </w:rPr>
        <w:t xml:space="preserve"> </w:t>
      </w:r>
      <w:r w:rsidR="006E5B32">
        <w:rPr>
          <w:rFonts w:ascii="Arabic Transparent" w:hAnsi="Arabic Transparent" w:cs="Arabic Transparent" w:hint="cs"/>
          <w:sz w:val="28"/>
          <w:szCs w:val="28"/>
          <w:rtl/>
          <w:lang w:bidi="ar-JO"/>
        </w:rPr>
        <w:t>في حين نظر ال</w:t>
      </w:r>
      <w:r w:rsidRPr="00CA301A">
        <w:rPr>
          <w:rFonts w:ascii="Arabic Transparent" w:hAnsi="Arabic Transparent" w:cs="Arabic Transparent" w:hint="cs"/>
          <w:sz w:val="28"/>
          <w:szCs w:val="28"/>
          <w:rtl/>
          <w:lang w:bidi="ar-JO"/>
        </w:rPr>
        <w:t xml:space="preserve">فريق </w:t>
      </w:r>
      <w:r w:rsidR="006E5B32">
        <w:rPr>
          <w:rFonts w:ascii="Arabic Transparent" w:hAnsi="Arabic Transparent" w:cs="Arabic Transparent" w:hint="cs"/>
          <w:sz w:val="28"/>
          <w:szCs w:val="28"/>
          <w:rtl/>
          <w:lang w:bidi="ar-JO"/>
        </w:rPr>
        <w:t>ال</w:t>
      </w:r>
      <w:r w:rsidRPr="00CA301A">
        <w:rPr>
          <w:rFonts w:ascii="Arabic Transparent" w:hAnsi="Arabic Transparent" w:cs="Arabic Transparent" w:hint="cs"/>
          <w:sz w:val="28"/>
          <w:szCs w:val="28"/>
          <w:rtl/>
          <w:lang w:bidi="ar-JO"/>
        </w:rPr>
        <w:t>آخر للتفصيل</w:t>
      </w:r>
      <w:r w:rsidR="006E5B32">
        <w:rPr>
          <w:rFonts w:ascii="Arabic Transparent" w:hAnsi="Arabic Transparent" w:cs="Arabic Transparent" w:hint="cs"/>
          <w:sz w:val="28"/>
          <w:szCs w:val="28"/>
          <w:rtl/>
          <w:lang w:bidi="ar-JO"/>
        </w:rPr>
        <w:t>؛</w:t>
      </w:r>
      <w:r w:rsidRPr="00CA301A">
        <w:rPr>
          <w:rFonts w:ascii="Arabic Transparent" w:hAnsi="Arabic Transparent" w:cs="Arabic Transparent" w:hint="cs"/>
          <w:sz w:val="28"/>
          <w:szCs w:val="28"/>
          <w:rtl/>
          <w:lang w:bidi="ar-JO"/>
        </w:rPr>
        <w:t xml:space="preserve"> </w:t>
      </w:r>
      <w:r w:rsidR="006E5B32">
        <w:rPr>
          <w:rFonts w:ascii="Arabic Transparent" w:hAnsi="Arabic Transparent" w:cs="Arabic Transparent" w:hint="cs"/>
          <w:sz w:val="28"/>
          <w:szCs w:val="28"/>
          <w:rtl/>
          <w:lang w:bidi="ar-JO"/>
        </w:rPr>
        <w:t>لبيان</w:t>
      </w:r>
      <w:r w:rsidRPr="00CA301A">
        <w:rPr>
          <w:rFonts w:ascii="Arabic Transparent" w:hAnsi="Arabic Transparent" w:cs="Arabic Transparent" w:hint="cs"/>
          <w:sz w:val="28"/>
          <w:szCs w:val="28"/>
          <w:rtl/>
          <w:lang w:bidi="ar-JO"/>
        </w:rPr>
        <w:t xml:space="preserve"> المباح والمحرم في كل جانب من جوانب المسألة.</w:t>
      </w:r>
    </w:p>
    <w:p w14:paraId="2FC56D7B" w14:textId="30D92E70" w:rsidR="00CA301A" w:rsidRPr="00CA301A" w:rsidRDefault="005D7B91" w:rsidP="00CF7414">
      <w:pPr>
        <w:tabs>
          <w:tab w:val="right" w:pos="706"/>
        </w:tabs>
        <w:spacing w:line="360" w:lineRule="auto"/>
        <w:jc w:val="both"/>
        <w:rPr>
          <w:rFonts w:ascii="Arabic Transparent" w:hAnsi="Arabic Transparent" w:cs="Arabic Transparent"/>
          <w:sz w:val="28"/>
          <w:szCs w:val="28"/>
          <w:rtl/>
          <w:lang w:bidi="ar-JO"/>
        </w:rPr>
      </w:pPr>
      <w:r>
        <w:rPr>
          <w:rFonts w:ascii="Arabic Transparent" w:hAnsi="Arabic Transparent" w:cs="Arabic Transparent" w:hint="cs"/>
          <w:sz w:val="28"/>
          <w:szCs w:val="28"/>
          <w:rtl/>
          <w:lang w:bidi="ar-JO"/>
        </w:rPr>
        <w:t xml:space="preserve">     </w:t>
      </w:r>
      <w:r w:rsidR="00CA301A" w:rsidRPr="00CA301A">
        <w:rPr>
          <w:rFonts w:ascii="Arabic Transparent" w:hAnsi="Arabic Transparent" w:cs="Arabic Transparent" w:hint="cs"/>
          <w:sz w:val="28"/>
          <w:szCs w:val="28"/>
          <w:rtl/>
          <w:lang w:bidi="ar-JO"/>
        </w:rPr>
        <w:t xml:space="preserve">  و</w:t>
      </w:r>
      <w:r w:rsidR="00EA4314">
        <w:rPr>
          <w:rFonts w:ascii="Arabic Transparent" w:hAnsi="Arabic Transparent" w:cs="Arabic Transparent" w:hint="cs"/>
          <w:sz w:val="28"/>
          <w:szCs w:val="28"/>
          <w:rtl/>
          <w:lang w:bidi="ar-JO"/>
        </w:rPr>
        <w:t>توصي</w:t>
      </w:r>
      <w:r w:rsidR="00CA301A" w:rsidRPr="00CA301A">
        <w:rPr>
          <w:rFonts w:ascii="Arabic Transparent" w:hAnsi="Arabic Transparent" w:cs="Arabic Transparent" w:hint="cs"/>
          <w:sz w:val="28"/>
          <w:szCs w:val="28"/>
          <w:rtl/>
          <w:lang w:bidi="ar-JO"/>
        </w:rPr>
        <w:t xml:space="preserve"> الدراسة المجامع الفقهية التي تدعو الباحثين </w:t>
      </w:r>
      <w:r w:rsidR="007750A4">
        <w:rPr>
          <w:rFonts w:ascii="Arabic Transparent" w:hAnsi="Arabic Transparent" w:cs="Arabic Transparent" w:hint="cs"/>
          <w:sz w:val="28"/>
          <w:szCs w:val="28"/>
          <w:rtl/>
          <w:lang w:bidi="ar-JO"/>
        </w:rPr>
        <w:t>إلى ا</w:t>
      </w:r>
      <w:r w:rsidR="00CA301A" w:rsidRPr="00CA301A">
        <w:rPr>
          <w:rFonts w:ascii="Arabic Transparent" w:hAnsi="Arabic Transparent" w:cs="Arabic Transparent" w:hint="cs"/>
          <w:sz w:val="28"/>
          <w:szCs w:val="28"/>
          <w:rtl/>
          <w:lang w:bidi="ar-JO"/>
        </w:rPr>
        <w:t xml:space="preserve">لاستكتاب في الموضوعات المستجدة من المعاملات المالية، </w:t>
      </w:r>
      <w:r w:rsidR="007750A4">
        <w:rPr>
          <w:rFonts w:ascii="Arabic Transparent" w:hAnsi="Arabic Transparent" w:cs="Arabic Transparent" w:hint="cs"/>
          <w:sz w:val="28"/>
          <w:szCs w:val="28"/>
          <w:rtl/>
          <w:lang w:bidi="ar-JO"/>
        </w:rPr>
        <w:t>ب</w:t>
      </w:r>
      <w:r w:rsidR="00CA301A" w:rsidRPr="00CA301A">
        <w:rPr>
          <w:rFonts w:ascii="Arabic Transparent" w:hAnsi="Arabic Transparent" w:cs="Arabic Transparent" w:hint="cs"/>
          <w:sz w:val="28"/>
          <w:szCs w:val="28"/>
          <w:rtl/>
          <w:lang w:bidi="ar-JO"/>
        </w:rPr>
        <w:t>أن يطلب منهم دراسة حكم المعاملة من جزئية محددة</w:t>
      </w:r>
      <w:r w:rsidR="007750A4">
        <w:rPr>
          <w:rFonts w:ascii="Arabic Transparent" w:hAnsi="Arabic Transparent" w:cs="Arabic Transparent" w:hint="cs"/>
          <w:sz w:val="28"/>
          <w:szCs w:val="28"/>
          <w:rtl/>
          <w:lang w:bidi="ar-JO"/>
        </w:rPr>
        <w:t>؛</w:t>
      </w:r>
      <w:r w:rsidR="00CA301A" w:rsidRPr="00CA301A">
        <w:rPr>
          <w:rFonts w:ascii="Arabic Transparent" w:hAnsi="Arabic Transparent" w:cs="Arabic Transparent" w:hint="cs"/>
          <w:sz w:val="28"/>
          <w:szCs w:val="28"/>
          <w:rtl/>
          <w:lang w:bidi="ar-JO"/>
        </w:rPr>
        <w:t xml:space="preserve"> من أجل </w:t>
      </w:r>
      <w:r w:rsidR="002F5366">
        <w:rPr>
          <w:rFonts w:ascii="Arabic Transparent" w:hAnsi="Arabic Transparent" w:cs="Arabic Transparent" w:hint="cs"/>
          <w:sz w:val="28"/>
          <w:szCs w:val="28"/>
          <w:rtl/>
          <w:lang w:bidi="ar-JO"/>
        </w:rPr>
        <w:t>تمكي</w:t>
      </w:r>
      <w:r w:rsidR="00BD5460">
        <w:rPr>
          <w:rFonts w:ascii="Arabic Transparent" w:hAnsi="Arabic Transparent" w:cs="Arabic Transparent" w:hint="cs"/>
          <w:sz w:val="28"/>
          <w:szCs w:val="28"/>
          <w:rtl/>
          <w:lang w:bidi="ar-JO"/>
        </w:rPr>
        <w:t>ن</w:t>
      </w:r>
      <w:r w:rsidR="002F5366">
        <w:rPr>
          <w:rFonts w:ascii="Arabic Transparent" w:hAnsi="Arabic Transparent" w:cs="Arabic Transparent" w:hint="cs"/>
          <w:sz w:val="28"/>
          <w:szCs w:val="28"/>
          <w:rtl/>
          <w:lang w:bidi="ar-JO"/>
        </w:rPr>
        <w:t>هم</w:t>
      </w:r>
      <w:r w:rsidR="00CA301A" w:rsidRPr="00CA301A">
        <w:rPr>
          <w:rFonts w:ascii="Arabic Transparent" w:hAnsi="Arabic Transparent" w:cs="Arabic Transparent" w:hint="cs"/>
          <w:sz w:val="28"/>
          <w:szCs w:val="28"/>
          <w:rtl/>
          <w:lang w:bidi="ar-JO"/>
        </w:rPr>
        <w:t xml:space="preserve"> من تحقيق المناط الخاص</w:t>
      </w:r>
      <w:r w:rsidR="002F5366">
        <w:rPr>
          <w:rFonts w:ascii="Arabic Transparent" w:hAnsi="Arabic Transparent" w:cs="Arabic Transparent" w:hint="cs"/>
          <w:sz w:val="28"/>
          <w:szCs w:val="28"/>
          <w:rtl/>
          <w:lang w:bidi="ar-JO"/>
        </w:rPr>
        <w:t xml:space="preserve"> بدقة،</w:t>
      </w:r>
      <w:r w:rsidR="00CA301A" w:rsidRPr="00CA301A">
        <w:rPr>
          <w:rFonts w:ascii="Arabic Transparent" w:hAnsi="Arabic Transparent" w:cs="Arabic Transparent" w:hint="cs"/>
          <w:sz w:val="28"/>
          <w:szCs w:val="28"/>
          <w:rtl/>
          <w:lang w:bidi="ar-JO"/>
        </w:rPr>
        <w:t xml:space="preserve"> </w:t>
      </w:r>
      <w:r w:rsidR="00DA3039">
        <w:rPr>
          <w:rFonts w:ascii="Arabic Transparent" w:hAnsi="Arabic Transparent" w:cs="Arabic Transparent" w:hint="cs"/>
          <w:sz w:val="28"/>
          <w:szCs w:val="28"/>
          <w:rtl/>
          <w:lang w:bidi="ar-JO"/>
        </w:rPr>
        <w:t>و</w:t>
      </w:r>
      <w:r w:rsidR="00DA3039" w:rsidRPr="00CA301A">
        <w:rPr>
          <w:rFonts w:hint="cs"/>
          <w:sz w:val="28"/>
          <w:szCs w:val="28"/>
          <w:rtl/>
        </w:rPr>
        <w:t>توصي</w:t>
      </w:r>
      <w:r w:rsidR="007750A4">
        <w:rPr>
          <w:rFonts w:ascii="Arabic Transparent" w:hAnsi="Arabic Transparent" w:cs="Arabic Transparent" w:hint="cs"/>
          <w:sz w:val="28"/>
          <w:szCs w:val="28"/>
          <w:rtl/>
          <w:lang w:bidi="ar-JO"/>
        </w:rPr>
        <w:t xml:space="preserve"> بتوجيه</w:t>
      </w:r>
      <w:r w:rsidR="00CA301A" w:rsidRPr="00CA301A">
        <w:rPr>
          <w:rFonts w:ascii="Arabic Transparent" w:hAnsi="Arabic Transparent" w:cs="Arabic Transparent"/>
          <w:sz w:val="28"/>
          <w:szCs w:val="28"/>
          <w:rtl/>
          <w:lang w:bidi="ar-JO"/>
        </w:rPr>
        <w:t xml:space="preserve"> الباحثين إلى دراسة المسائل التطبيقية التي يكثر فيها التفاوت في المناط الخاص عند تنزيله على محله،</w:t>
      </w:r>
      <w:r w:rsidR="00CA301A" w:rsidRPr="00CA301A">
        <w:rPr>
          <w:rFonts w:ascii="Arabic Transparent" w:hAnsi="Arabic Transparent" w:cs="Arabic Transparent" w:hint="cs"/>
          <w:sz w:val="28"/>
          <w:szCs w:val="28"/>
          <w:rtl/>
          <w:lang w:bidi="ar-JO"/>
        </w:rPr>
        <w:t xml:space="preserve"> </w:t>
      </w:r>
      <w:r w:rsidR="007750A4">
        <w:rPr>
          <w:rFonts w:ascii="Arabic Transparent" w:hAnsi="Arabic Transparent" w:cs="Arabic Transparent" w:hint="cs"/>
          <w:sz w:val="28"/>
          <w:szCs w:val="28"/>
          <w:rtl/>
          <w:lang w:bidi="ar-JO"/>
        </w:rPr>
        <w:t>كما أوصت</w:t>
      </w:r>
      <w:r w:rsidR="00CA301A" w:rsidRPr="00CA301A">
        <w:rPr>
          <w:rFonts w:ascii="Arabic Transparent" w:hAnsi="Arabic Transparent" w:cs="Arabic Transparent"/>
          <w:sz w:val="28"/>
          <w:szCs w:val="28"/>
          <w:rtl/>
          <w:lang w:bidi="ar-JO"/>
        </w:rPr>
        <w:t xml:space="preserve"> الدراسة مراكز الإفتاء، </w:t>
      </w:r>
      <w:r w:rsidR="007750A4">
        <w:rPr>
          <w:rFonts w:ascii="Arabic Transparent" w:hAnsi="Arabic Transparent" w:cs="Arabic Transparent" w:hint="cs"/>
          <w:sz w:val="28"/>
          <w:szCs w:val="28"/>
          <w:rtl/>
          <w:lang w:bidi="ar-JO"/>
        </w:rPr>
        <w:t>ب</w:t>
      </w:r>
      <w:r w:rsidR="00CA301A" w:rsidRPr="00CA301A">
        <w:rPr>
          <w:rFonts w:ascii="Arabic Transparent" w:hAnsi="Arabic Transparent" w:cs="Arabic Transparent"/>
          <w:sz w:val="28"/>
          <w:szCs w:val="28"/>
          <w:rtl/>
          <w:lang w:bidi="ar-JO"/>
        </w:rPr>
        <w:t xml:space="preserve">إعادة النظر في تحريم </w:t>
      </w:r>
      <w:r w:rsidR="007750A4">
        <w:rPr>
          <w:rFonts w:ascii="Arabic Transparent" w:hAnsi="Arabic Transparent" w:cs="Arabic Transparent" w:hint="cs"/>
          <w:sz w:val="28"/>
          <w:szCs w:val="28"/>
          <w:rtl/>
          <w:lang w:bidi="ar-JO"/>
        </w:rPr>
        <w:t xml:space="preserve">بعض </w:t>
      </w:r>
      <w:r w:rsidR="00CA301A" w:rsidRPr="00CA301A">
        <w:rPr>
          <w:rFonts w:ascii="Arabic Transparent" w:hAnsi="Arabic Transparent" w:cs="Arabic Transparent"/>
          <w:sz w:val="28"/>
          <w:szCs w:val="28"/>
          <w:rtl/>
          <w:lang w:bidi="ar-JO"/>
        </w:rPr>
        <w:t xml:space="preserve">مسائل المعاملات القديمة التي تغيَّر </w:t>
      </w:r>
      <w:r w:rsidR="00EA4314">
        <w:rPr>
          <w:rFonts w:ascii="Arabic Transparent" w:hAnsi="Arabic Transparent" w:cs="Arabic Transparent" w:hint="cs"/>
          <w:sz w:val="28"/>
          <w:szCs w:val="28"/>
          <w:rtl/>
          <w:lang w:bidi="ar-JO"/>
        </w:rPr>
        <w:t>حكمها</w:t>
      </w:r>
      <w:r w:rsidR="007750A4">
        <w:rPr>
          <w:rFonts w:ascii="Arabic Transparent" w:hAnsi="Arabic Transparent" w:cs="Arabic Transparent" w:hint="cs"/>
          <w:sz w:val="28"/>
          <w:szCs w:val="28"/>
          <w:rtl/>
          <w:lang w:bidi="ar-JO"/>
        </w:rPr>
        <w:t xml:space="preserve"> في ضوء </w:t>
      </w:r>
      <w:r w:rsidR="00CA301A" w:rsidRPr="00CA301A">
        <w:rPr>
          <w:rFonts w:ascii="Arabic Transparent" w:hAnsi="Arabic Transparent" w:cs="Arabic Transparent"/>
          <w:sz w:val="28"/>
          <w:szCs w:val="28"/>
          <w:rtl/>
          <w:lang w:bidi="ar-JO"/>
        </w:rPr>
        <w:t>الدراسات الجديدة</w:t>
      </w:r>
      <w:r w:rsidR="00CA301A" w:rsidRPr="00CA301A">
        <w:rPr>
          <w:rFonts w:ascii="Arabic Transparent" w:hAnsi="Arabic Transparent" w:cs="Arabic Transparent" w:hint="cs"/>
          <w:sz w:val="28"/>
          <w:szCs w:val="28"/>
          <w:rtl/>
          <w:lang w:bidi="ar-JO"/>
        </w:rPr>
        <w:t>، لتغير الأوصاف وزوال أسباب التحريم في صورها الجديدة.</w:t>
      </w:r>
    </w:p>
    <w:p w14:paraId="2EA64EBF" w14:textId="3FE19A38" w:rsidR="00E17952" w:rsidRPr="002F5366" w:rsidRDefault="00E17952" w:rsidP="00641A74">
      <w:pPr>
        <w:tabs>
          <w:tab w:val="right" w:pos="706"/>
        </w:tabs>
        <w:spacing w:line="360" w:lineRule="auto"/>
        <w:jc w:val="both"/>
        <w:rPr>
          <w:rFonts w:ascii="Arabic Transparent" w:hAnsi="Arabic Transparent" w:cs="Arabic Transparent"/>
          <w:b/>
          <w:bCs/>
          <w:sz w:val="28"/>
          <w:szCs w:val="28"/>
          <w:rtl/>
          <w:lang w:bidi="ar-JO"/>
        </w:rPr>
      </w:pPr>
      <w:r w:rsidRPr="002F5366">
        <w:rPr>
          <w:rFonts w:ascii="Arabic Transparent" w:hAnsi="Arabic Transparent" w:cs="Arabic Transparent" w:hint="cs"/>
          <w:b/>
          <w:bCs/>
          <w:sz w:val="28"/>
          <w:szCs w:val="28"/>
          <w:rtl/>
          <w:lang w:bidi="ar-JO"/>
        </w:rPr>
        <w:t>الكلمات المفتاحية:</w:t>
      </w:r>
      <w:r w:rsidR="00D81E1E" w:rsidRPr="002F5366">
        <w:rPr>
          <w:rFonts w:ascii="Arabic Transparent" w:hAnsi="Arabic Transparent" w:cs="Arabic Transparent" w:hint="cs"/>
          <w:b/>
          <w:bCs/>
          <w:sz w:val="28"/>
          <w:szCs w:val="28"/>
          <w:rtl/>
          <w:lang w:bidi="ar-JO"/>
        </w:rPr>
        <w:t xml:space="preserve"> التفاوت، تحقيق المناط</w:t>
      </w:r>
      <w:r w:rsidR="002F5366" w:rsidRPr="002F5366">
        <w:rPr>
          <w:rFonts w:ascii="Arabic Transparent" w:hAnsi="Arabic Transparent" w:cs="Arabic Transparent" w:hint="cs"/>
          <w:b/>
          <w:bCs/>
          <w:sz w:val="28"/>
          <w:szCs w:val="28"/>
          <w:rtl/>
          <w:lang w:bidi="ar-JO"/>
        </w:rPr>
        <w:t xml:space="preserve"> الخاص</w:t>
      </w:r>
      <w:r w:rsidR="00D81E1E" w:rsidRPr="002F5366">
        <w:rPr>
          <w:rFonts w:ascii="Arabic Transparent" w:hAnsi="Arabic Transparent" w:cs="Arabic Transparent" w:hint="cs"/>
          <w:b/>
          <w:bCs/>
          <w:sz w:val="28"/>
          <w:szCs w:val="28"/>
          <w:rtl/>
          <w:lang w:bidi="ar-JO"/>
        </w:rPr>
        <w:t>، الاجتهاد التنزيلي، المعاملات المعاصرة.</w:t>
      </w:r>
    </w:p>
    <w:p w14:paraId="50953B58" w14:textId="77777777" w:rsidR="00BF2E0A" w:rsidRDefault="00BF2E0A">
      <w:pPr>
        <w:bidi w:val="0"/>
        <w:spacing w:after="0" w:line="240" w:lineRule="auto"/>
        <w:rPr>
          <w:rFonts w:ascii="Arabic Transparent" w:hAnsi="Arabic Transparent" w:cs="Arabic Transparent"/>
          <w:sz w:val="32"/>
          <w:szCs w:val="32"/>
        </w:rPr>
        <w:sectPr w:rsidR="00BF2E0A" w:rsidSect="003E2ABB">
          <w:headerReference w:type="default" r:id="rId18"/>
          <w:pgSz w:w="12240" w:h="15840"/>
          <w:pgMar w:top="1418" w:right="1985" w:bottom="1418" w:left="1418" w:header="720" w:footer="720" w:gutter="0"/>
          <w:pgNumType w:fmt="arabicAbjad" w:start="9"/>
          <w:cols w:space="720"/>
          <w:docGrid w:linePitch="360"/>
        </w:sectPr>
      </w:pPr>
    </w:p>
    <w:p w14:paraId="64F26540" w14:textId="6E5D4314" w:rsidR="00A97CDD" w:rsidRDefault="00A97CDD">
      <w:pPr>
        <w:bidi w:val="0"/>
        <w:spacing w:after="0" w:line="240" w:lineRule="auto"/>
        <w:rPr>
          <w:rFonts w:ascii="Arabic Transparent" w:hAnsi="Arabic Transparent" w:cs="Arabic Transparent"/>
          <w:sz w:val="32"/>
          <w:szCs w:val="32"/>
          <w:rtl/>
        </w:rPr>
      </w:pPr>
    </w:p>
    <w:p w14:paraId="422332A6" w14:textId="395AB3CE" w:rsidR="00C66007" w:rsidRPr="00001A51" w:rsidRDefault="00C72A36" w:rsidP="00C72A36">
      <w:pPr>
        <w:tabs>
          <w:tab w:val="right" w:pos="706"/>
        </w:tabs>
        <w:bidi w:val="0"/>
        <w:spacing w:line="240" w:lineRule="auto"/>
        <w:jc w:val="center"/>
        <w:rPr>
          <w:rFonts w:ascii="Times New Roman" w:hAnsi="Times New Roman" w:cs="Times New Roman"/>
          <w:b/>
          <w:bCs/>
          <w:sz w:val="28"/>
          <w:szCs w:val="28"/>
          <w:lang w:val="en-AE" w:bidi="ar-JO"/>
        </w:rPr>
      </w:pPr>
      <w:r w:rsidRPr="00001A51">
        <w:rPr>
          <w:rFonts w:ascii="Times New Roman" w:hAnsi="Times New Roman" w:cs="Times New Roman"/>
          <w:b/>
          <w:bCs/>
          <w:sz w:val="28"/>
          <w:szCs w:val="28"/>
          <w:lang w:val="en-AE" w:bidi="ar-JO"/>
        </w:rPr>
        <w:t>Abstract</w:t>
      </w:r>
    </w:p>
    <w:p w14:paraId="30D3BBC8" w14:textId="154EFDCA" w:rsidR="00C72A36" w:rsidRPr="00001A51" w:rsidRDefault="00C72A36" w:rsidP="00C72A36">
      <w:pPr>
        <w:bidi w:val="0"/>
        <w:spacing w:line="240" w:lineRule="auto"/>
        <w:ind w:left="34"/>
        <w:jc w:val="center"/>
        <w:rPr>
          <w:rFonts w:ascii="Times New Roman" w:hAnsi="Times New Roman" w:cs="Times New Roman"/>
          <w:b/>
          <w:bCs/>
          <w:sz w:val="32"/>
          <w:szCs w:val="32"/>
          <w:rtl/>
          <w:lang w:bidi="ar-JO"/>
        </w:rPr>
      </w:pPr>
      <w:r w:rsidRPr="00001A51">
        <w:rPr>
          <w:rFonts w:ascii="Times New Roman" w:hAnsi="Times New Roman" w:cs="Times New Roman"/>
          <w:b/>
          <w:bCs/>
          <w:sz w:val="32"/>
          <w:szCs w:val="32"/>
        </w:rPr>
        <w:t>Difference in Ascertaining the Specific Effective Ca</w:t>
      </w:r>
      <w:r w:rsidR="008728AE" w:rsidRPr="00001A51">
        <w:rPr>
          <w:rFonts w:ascii="Times New Roman" w:hAnsi="Times New Roman" w:cs="Times New Roman"/>
          <w:b/>
          <w:bCs/>
          <w:sz w:val="32"/>
          <w:szCs w:val="32"/>
        </w:rPr>
        <w:t>s</w:t>
      </w:r>
      <w:r w:rsidRPr="00001A51">
        <w:rPr>
          <w:rFonts w:ascii="Times New Roman" w:hAnsi="Times New Roman" w:cs="Times New Roman"/>
          <w:b/>
          <w:bCs/>
          <w:sz w:val="32"/>
          <w:szCs w:val="32"/>
        </w:rPr>
        <w:t>use, and its Applications in Contemporary Financial Transaction</w:t>
      </w:r>
      <w:r w:rsidR="008728AE" w:rsidRPr="00001A51">
        <w:rPr>
          <w:rFonts w:ascii="Times New Roman" w:hAnsi="Times New Roman" w:cs="Times New Roman"/>
          <w:b/>
          <w:bCs/>
          <w:sz w:val="32"/>
          <w:szCs w:val="32"/>
        </w:rPr>
        <w:t>s</w:t>
      </w:r>
    </w:p>
    <w:p w14:paraId="7DB19EA3" w14:textId="77777777" w:rsidR="00C72A36" w:rsidRPr="00001A51" w:rsidRDefault="00C72A36" w:rsidP="00C72A36">
      <w:pPr>
        <w:tabs>
          <w:tab w:val="right" w:pos="706"/>
        </w:tabs>
        <w:bidi w:val="0"/>
        <w:spacing w:line="240" w:lineRule="auto"/>
        <w:jc w:val="center"/>
        <w:rPr>
          <w:rFonts w:ascii="Times New Roman" w:hAnsi="Times New Roman" w:cs="Times New Roman"/>
          <w:b/>
          <w:bCs/>
          <w:sz w:val="32"/>
          <w:szCs w:val="32"/>
          <w:lang w:val="en-AE" w:bidi="ar-JO"/>
        </w:rPr>
      </w:pPr>
      <w:r w:rsidRPr="00001A51">
        <w:rPr>
          <w:rFonts w:ascii="Times New Roman" w:hAnsi="Times New Roman" w:cs="Times New Roman"/>
          <w:b/>
          <w:bCs/>
          <w:sz w:val="32"/>
          <w:szCs w:val="32"/>
          <w:lang w:val="en-AE" w:bidi="ar-JO"/>
        </w:rPr>
        <w:t>Prepared by</w:t>
      </w:r>
    </w:p>
    <w:p w14:paraId="221FD644" w14:textId="77777777" w:rsidR="00C72A36" w:rsidRPr="00001A51" w:rsidRDefault="00C72A36" w:rsidP="00C72A36">
      <w:pPr>
        <w:tabs>
          <w:tab w:val="right" w:pos="706"/>
        </w:tabs>
        <w:bidi w:val="0"/>
        <w:spacing w:line="240" w:lineRule="auto"/>
        <w:jc w:val="center"/>
        <w:rPr>
          <w:rFonts w:ascii="Times New Roman" w:hAnsi="Times New Roman" w:cs="Times New Roman"/>
          <w:b/>
          <w:bCs/>
          <w:sz w:val="32"/>
          <w:szCs w:val="32"/>
          <w:lang w:val="en-AE" w:bidi="ar-JO"/>
        </w:rPr>
      </w:pPr>
      <w:r w:rsidRPr="00001A51">
        <w:rPr>
          <w:rFonts w:ascii="Times New Roman" w:hAnsi="Times New Roman" w:cs="Times New Roman"/>
          <w:b/>
          <w:bCs/>
          <w:sz w:val="32"/>
          <w:szCs w:val="32"/>
          <w:lang w:val="en-AE" w:bidi="ar-JO"/>
        </w:rPr>
        <w:t>Hamzeh Naim Hussein Musallam</w:t>
      </w:r>
    </w:p>
    <w:p w14:paraId="3A6BBCB4" w14:textId="77777777" w:rsidR="00C72A36" w:rsidRPr="00001A51" w:rsidRDefault="00C72A36" w:rsidP="00C72A36">
      <w:pPr>
        <w:tabs>
          <w:tab w:val="right" w:pos="706"/>
        </w:tabs>
        <w:bidi w:val="0"/>
        <w:spacing w:line="240" w:lineRule="auto"/>
        <w:jc w:val="center"/>
        <w:rPr>
          <w:rFonts w:ascii="Times New Roman" w:hAnsi="Times New Roman" w:cs="Times New Roman"/>
          <w:b/>
          <w:bCs/>
          <w:sz w:val="32"/>
          <w:szCs w:val="32"/>
          <w:lang w:val="en-AE" w:bidi="ar-JO"/>
        </w:rPr>
      </w:pPr>
      <w:r w:rsidRPr="00001A51">
        <w:rPr>
          <w:rFonts w:ascii="Times New Roman" w:hAnsi="Times New Roman" w:cs="Times New Roman"/>
          <w:b/>
          <w:bCs/>
          <w:sz w:val="32"/>
          <w:szCs w:val="32"/>
          <w:lang w:val="en-AE" w:bidi="ar-JO"/>
        </w:rPr>
        <w:t>Supervisor</w:t>
      </w:r>
    </w:p>
    <w:p w14:paraId="200FDE1C" w14:textId="77777777" w:rsidR="00C20713" w:rsidRPr="007A20D2" w:rsidRDefault="00C20713" w:rsidP="00C20713">
      <w:pPr>
        <w:tabs>
          <w:tab w:val="right" w:pos="706"/>
        </w:tabs>
        <w:spacing w:line="240" w:lineRule="auto"/>
        <w:jc w:val="center"/>
        <w:rPr>
          <w:rFonts w:ascii="Times New Roman" w:hAnsi="Times New Roman" w:cs="Times New Roman"/>
          <w:b/>
          <w:bCs/>
          <w:sz w:val="32"/>
          <w:szCs w:val="32"/>
          <w:lang w:bidi="ar-JO"/>
        </w:rPr>
      </w:pPr>
      <w:r>
        <w:rPr>
          <w:rFonts w:ascii="Times New Roman" w:hAnsi="Times New Roman" w:cs="Times New Roman"/>
          <w:b/>
          <w:bCs/>
          <w:sz w:val="32"/>
          <w:szCs w:val="32"/>
          <w:lang w:val="en" w:bidi="ar-JO"/>
        </w:rPr>
        <w:t>Prof.</w:t>
      </w:r>
      <w:r w:rsidRPr="00C37E8F">
        <w:rPr>
          <w:rFonts w:ascii="Times New Roman" w:hAnsi="Times New Roman" w:cs="Times New Roman"/>
          <w:b/>
          <w:bCs/>
          <w:sz w:val="32"/>
          <w:szCs w:val="32"/>
          <w:lang w:val="en" w:bidi="ar-JO"/>
        </w:rPr>
        <w:t xml:space="preserve"> Anas Abd</w:t>
      </w:r>
      <w:r>
        <w:rPr>
          <w:rFonts w:ascii="Times New Roman" w:hAnsi="Times New Roman" w:cs="Times New Roman"/>
          <w:b/>
          <w:bCs/>
          <w:sz w:val="32"/>
          <w:szCs w:val="32"/>
          <w:lang w:val="en" w:bidi="ar-JO"/>
        </w:rPr>
        <w:t xml:space="preserve"> Elw</w:t>
      </w:r>
      <w:r w:rsidRPr="00C37E8F">
        <w:rPr>
          <w:rFonts w:ascii="Times New Roman" w:hAnsi="Times New Roman" w:cs="Times New Roman"/>
          <w:b/>
          <w:bCs/>
          <w:sz w:val="32"/>
          <w:szCs w:val="32"/>
          <w:lang w:val="en" w:bidi="ar-JO"/>
        </w:rPr>
        <w:t>ah</w:t>
      </w:r>
      <w:r>
        <w:rPr>
          <w:rFonts w:ascii="Times New Roman" w:hAnsi="Times New Roman" w:cs="Times New Roman"/>
          <w:b/>
          <w:bCs/>
          <w:sz w:val="32"/>
          <w:szCs w:val="32"/>
          <w:lang w:val="en" w:bidi="ar-JO"/>
        </w:rPr>
        <w:t>e</w:t>
      </w:r>
      <w:r w:rsidRPr="00C37E8F">
        <w:rPr>
          <w:rFonts w:ascii="Times New Roman" w:hAnsi="Times New Roman" w:cs="Times New Roman"/>
          <w:b/>
          <w:bCs/>
          <w:sz w:val="32"/>
          <w:szCs w:val="32"/>
          <w:lang w:val="en" w:bidi="ar-JO"/>
        </w:rPr>
        <w:t>d Al</w:t>
      </w:r>
      <w:r>
        <w:rPr>
          <w:rFonts w:ascii="Times New Roman" w:hAnsi="Times New Roman" w:cs="Times New Roman"/>
          <w:b/>
          <w:bCs/>
          <w:sz w:val="32"/>
          <w:szCs w:val="32"/>
          <w:lang w:val="en" w:bidi="ar-JO"/>
        </w:rPr>
        <w:t>j</w:t>
      </w:r>
      <w:r w:rsidRPr="00C37E8F">
        <w:rPr>
          <w:rFonts w:ascii="Times New Roman" w:hAnsi="Times New Roman" w:cs="Times New Roman"/>
          <w:b/>
          <w:bCs/>
          <w:sz w:val="32"/>
          <w:szCs w:val="32"/>
          <w:lang w:val="en" w:bidi="ar-JO"/>
        </w:rPr>
        <w:t>aber</w:t>
      </w:r>
    </w:p>
    <w:p w14:paraId="5B5AE172" w14:textId="4F4612A0" w:rsidR="00C66007" w:rsidRPr="00001A51" w:rsidRDefault="00C72A36" w:rsidP="00C72A36">
      <w:pPr>
        <w:tabs>
          <w:tab w:val="right" w:pos="706"/>
        </w:tabs>
        <w:spacing w:line="240" w:lineRule="auto"/>
        <w:jc w:val="center"/>
        <w:rPr>
          <w:rFonts w:ascii="Times New Roman" w:hAnsi="Times New Roman" w:cs="Times New Roman"/>
          <w:sz w:val="32"/>
          <w:szCs w:val="32"/>
          <w:rtl/>
          <w:lang w:bidi="ar-JO"/>
        </w:rPr>
      </w:pPr>
      <w:r w:rsidRPr="00001A51">
        <w:rPr>
          <w:rFonts w:ascii="Times New Roman" w:hAnsi="Times New Roman" w:cs="Times New Roman"/>
          <w:b/>
          <w:bCs/>
          <w:sz w:val="32"/>
          <w:szCs w:val="32"/>
          <w:lang w:val="en-AE" w:bidi="ar-JO"/>
        </w:rPr>
        <w:t>Date of Discussion:</w:t>
      </w:r>
      <w:r w:rsidR="002C6240" w:rsidRPr="00001A51">
        <w:rPr>
          <w:rFonts w:ascii="Times New Roman" w:hAnsi="Times New Roman" w:cs="Times New Roman"/>
          <w:b/>
          <w:bCs/>
          <w:sz w:val="32"/>
          <w:szCs w:val="32"/>
          <w:lang w:val="en-AE" w:bidi="ar-JO"/>
        </w:rPr>
        <w:t xml:space="preserve"> Amman -</w:t>
      </w:r>
      <w:r w:rsidR="005D7B91" w:rsidRPr="00001A51">
        <w:rPr>
          <w:rFonts w:ascii="Times New Roman" w:hAnsi="Times New Roman" w:cs="Times New Roman"/>
          <w:b/>
          <w:bCs/>
          <w:sz w:val="32"/>
          <w:szCs w:val="32"/>
          <w:lang w:val="en-AE" w:bidi="ar-JO"/>
        </w:rPr>
        <w:t xml:space="preserve">     </w:t>
      </w:r>
      <w:r w:rsidRPr="00001A51">
        <w:rPr>
          <w:rFonts w:ascii="Times New Roman" w:hAnsi="Times New Roman" w:cs="Times New Roman"/>
          <w:b/>
          <w:bCs/>
          <w:sz w:val="32"/>
          <w:szCs w:val="32"/>
          <w:lang w:val="en-AE" w:bidi="ar-JO"/>
        </w:rPr>
        <w:t>/</w:t>
      </w:r>
      <w:r w:rsidR="005D7B91" w:rsidRPr="00001A51">
        <w:rPr>
          <w:rFonts w:ascii="Times New Roman" w:hAnsi="Times New Roman" w:cs="Times New Roman"/>
          <w:b/>
          <w:bCs/>
          <w:sz w:val="32"/>
          <w:szCs w:val="32"/>
          <w:lang w:val="en-AE" w:bidi="ar-JO"/>
        </w:rPr>
        <w:t xml:space="preserve">     </w:t>
      </w:r>
      <w:r w:rsidRPr="00001A51">
        <w:rPr>
          <w:rFonts w:ascii="Times New Roman" w:hAnsi="Times New Roman" w:cs="Times New Roman"/>
          <w:b/>
          <w:bCs/>
          <w:sz w:val="32"/>
          <w:szCs w:val="32"/>
          <w:lang w:val="en-AE" w:bidi="ar-JO"/>
        </w:rPr>
        <w:t>/2026</w:t>
      </w:r>
    </w:p>
    <w:p w14:paraId="1D351B0B" w14:textId="638EB1B1" w:rsidR="00C66007" w:rsidRPr="00001A51" w:rsidRDefault="002C6240" w:rsidP="002C6240">
      <w:pPr>
        <w:tabs>
          <w:tab w:val="right" w:pos="706"/>
        </w:tabs>
        <w:bidi w:val="0"/>
        <w:spacing w:line="360" w:lineRule="auto"/>
        <w:jc w:val="both"/>
        <w:rPr>
          <w:rFonts w:ascii="Times New Roman" w:hAnsi="Times New Roman" w:cs="Times New Roman"/>
          <w:sz w:val="24"/>
          <w:szCs w:val="24"/>
        </w:rPr>
      </w:pPr>
      <w:r w:rsidRPr="00001A51">
        <w:rPr>
          <w:rFonts w:ascii="Times New Roman" w:hAnsi="Times New Roman" w:cs="Times New Roman"/>
          <w:sz w:val="24"/>
          <w:szCs w:val="24"/>
        </w:rPr>
        <w:tab/>
      </w:r>
      <w:r w:rsidRPr="00001A51">
        <w:rPr>
          <w:rFonts w:ascii="Times New Roman" w:hAnsi="Times New Roman" w:cs="Times New Roman"/>
          <w:sz w:val="24"/>
          <w:szCs w:val="24"/>
        </w:rPr>
        <w:tab/>
        <w:t>This study aimed to elucidate the variation arising from particularized taḥqīq al-manāṭ (specific verification of the operative cause) and to identify its applications in contemporary financial transactions. It did so by defining the nature of particular taḥqīq al-manāṭ and the terms related to it; examining its levels and historical emergence; clarifying its legal legitimacy, significance, and place within juristic reasoning in contemporary financial transactions; and outlining its governing parameters. The study also addressed variation in financial transactions from both definitional and theoretical perspectives, clarifying its pillars, conditions, causes, and levels. It further examined the methodological foundations for regulating such variation in concrete cases and juristic ijtihād, and highlighted its applications in contemporary fatwas on financial transactions through the presentation and analysis of fatwas, identifying the aspect of variation in relation to particular taḥqīq al-manāṭ with respect both to the case itself and to the jurists’ reasoning, while also clarifying the principles that must be observed in order to regulate taḥqīq al-manāṭ in cases and among persons whose rulings differ according to the form of the issue.</w:t>
      </w:r>
    </w:p>
    <w:p w14:paraId="10A22991" w14:textId="47009C71" w:rsidR="00BF2E0A" w:rsidRPr="00001A51" w:rsidRDefault="002C6240" w:rsidP="002C6240">
      <w:pPr>
        <w:tabs>
          <w:tab w:val="right" w:pos="706"/>
        </w:tabs>
        <w:bidi w:val="0"/>
        <w:spacing w:line="360" w:lineRule="auto"/>
        <w:jc w:val="both"/>
        <w:rPr>
          <w:rFonts w:ascii="Times New Roman" w:hAnsi="Times New Roman" w:cs="Times New Roman"/>
          <w:sz w:val="24"/>
          <w:szCs w:val="24"/>
        </w:rPr>
        <w:sectPr w:rsidR="00BF2E0A" w:rsidRPr="00001A51" w:rsidSect="003E2ABB">
          <w:headerReference w:type="default" r:id="rId19"/>
          <w:pgSz w:w="12240" w:h="15840"/>
          <w:pgMar w:top="1418" w:right="1985" w:bottom="1418" w:left="1418" w:header="720" w:footer="720" w:gutter="0"/>
          <w:pgNumType w:fmt="arabicAbjad" w:start="9"/>
          <w:cols w:space="720"/>
          <w:docGrid w:linePitch="360"/>
        </w:sectPr>
      </w:pPr>
      <w:r w:rsidRPr="00001A51">
        <w:rPr>
          <w:rFonts w:ascii="Times New Roman" w:hAnsi="Times New Roman" w:cs="Times New Roman"/>
          <w:sz w:val="24"/>
          <w:szCs w:val="24"/>
        </w:rPr>
        <w:tab/>
      </w:r>
      <w:r w:rsidRPr="00001A51">
        <w:rPr>
          <w:rFonts w:ascii="Times New Roman" w:hAnsi="Times New Roman" w:cs="Times New Roman"/>
          <w:sz w:val="24"/>
          <w:szCs w:val="24"/>
        </w:rPr>
        <w:tab/>
        <w:t>The study employed the inductive, descriptive, analytical, and applied methods. This was achieved through surveying fatwa applications in financial matters in which the contextual application of ijtihād by contemporary jurists is evident, then analyzing and describing them, and clarifying the aspect of variation in particular taḥqīq al-manāṭ—cases in which the fatwa ought to change in accordance with changes in the attributes that</w:t>
      </w:r>
    </w:p>
    <w:p w14:paraId="1CE57D95" w14:textId="48255572" w:rsidR="002C6240" w:rsidRPr="00001A51" w:rsidRDefault="002C6240" w:rsidP="002C6240">
      <w:pPr>
        <w:tabs>
          <w:tab w:val="right" w:pos="706"/>
        </w:tabs>
        <w:bidi w:val="0"/>
        <w:spacing w:line="360" w:lineRule="auto"/>
        <w:jc w:val="both"/>
        <w:rPr>
          <w:rFonts w:ascii="Times New Roman" w:hAnsi="Times New Roman" w:cs="Times New Roman"/>
          <w:sz w:val="24"/>
          <w:szCs w:val="24"/>
        </w:rPr>
      </w:pPr>
      <w:r w:rsidRPr="00001A51">
        <w:rPr>
          <w:rFonts w:ascii="Times New Roman" w:hAnsi="Times New Roman" w:cs="Times New Roman"/>
          <w:sz w:val="24"/>
          <w:szCs w:val="24"/>
        </w:rPr>
        <w:lastRenderedPageBreak/>
        <w:t>effectively influence the ruling. The study reached several findings, the most prominent of which are that variation in rulings between permissibility and prohibition is a necessary consequence of applied ijtihād when examining branches of financial issues implemented through differing modes; that such variation has causes related both to the case and its attributes and to the method and approach of ijtihād; and that variation itself occurs at different levels, some of which are consequential and others not. The study also identified a set of regulatory principles that are advisable for governing ijtihād in contemporary financial cases. Through its inductive and analytical examination of financial fatwas, it found that many fatwas tended toward absolute prohibition on the basis of probabilistic justifications, whereas the other view adopted a more detailed approach in order to distinguish the permissible from the prohibited in each aspect of the issue.</w:t>
      </w:r>
    </w:p>
    <w:p w14:paraId="084D0A99" w14:textId="651C6CE5" w:rsidR="002C6240" w:rsidRPr="00001A51" w:rsidRDefault="002C6240" w:rsidP="00F45F9F">
      <w:pPr>
        <w:tabs>
          <w:tab w:val="right" w:pos="706"/>
        </w:tabs>
        <w:bidi w:val="0"/>
        <w:spacing w:line="360" w:lineRule="auto"/>
        <w:jc w:val="both"/>
        <w:rPr>
          <w:rFonts w:ascii="Times New Roman" w:hAnsi="Times New Roman" w:cs="Times New Roman"/>
          <w:sz w:val="24"/>
          <w:szCs w:val="24"/>
        </w:rPr>
      </w:pPr>
      <w:r w:rsidRPr="00001A51">
        <w:rPr>
          <w:rFonts w:ascii="Times New Roman" w:hAnsi="Times New Roman" w:cs="Times New Roman"/>
          <w:sz w:val="24"/>
          <w:szCs w:val="24"/>
        </w:rPr>
        <w:tab/>
      </w:r>
      <w:r w:rsidRPr="00001A51">
        <w:rPr>
          <w:rFonts w:ascii="Times New Roman" w:hAnsi="Times New Roman" w:cs="Times New Roman"/>
          <w:sz w:val="24"/>
          <w:szCs w:val="24"/>
        </w:rPr>
        <w:tab/>
        <w:t>The study recommended that fiqh academies which invite researchers to write on emerging forms of contemporary financial transactions should require them to examine the ruling of a transaction from a specific and delimited angle, so as to enable more precise particular taḥqīq al-manāṭ. It also recommended directing researchers toward the study of applied issues in which variation in particular taḥqīq al-manāṭ is especially frequent when the ruling is applied to its proper locus. In addition, the study recommended that fatwa institutions reconsider the prohibition of certain older financial transactions that have changed in light of new studies, due to changes in the relevant attributes and the disappearance of the causes of prohibition in their newer forms.</w:t>
      </w:r>
    </w:p>
    <w:p w14:paraId="3BCA9B55" w14:textId="4EC88758" w:rsidR="00C72A36" w:rsidRPr="00001A51" w:rsidRDefault="00C72A36" w:rsidP="750C10A0">
      <w:pPr>
        <w:tabs>
          <w:tab w:val="right" w:pos="706"/>
        </w:tabs>
        <w:bidi w:val="0"/>
        <w:spacing w:line="240" w:lineRule="auto"/>
        <w:jc w:val="both"/>
        <w:rPr>
          <w:rFonts w:ascii="Times New Roman" w:hAnsi="Times New Roman" w:cs="Times New Roman"/>
          <w:b/>
          <w:bCs/>
          <w:sz w:val="24"/>
          <w:szCs w:val="24"/>
          <w:lang w:bidi="ar-JO"/>
        </w:rPr>
      </w:pPr>
      <w:r w:rsidRPr="00001A51">
        <w:rPr>
          <w:rFonts w:ascii="Times New Roman" w:hAnsi="Times New Roman" w:cs="Times New Roman"/>
          <w:b/>
          <w:bCs/>
          <w:sz w:val="24"/>
          <w:szCs w:val="24"/>
          <w:lang w:bidi="ar-JO"/>
        </w:rPr>
        <w:t>Keywords</w:t>
      </w:r>
      <w:r w:rsidR="002C6240" w:rsidRPr="00001A51">
        <w:rPr>
          <w:rFonts w:ascii="Times New Roman" w:hAnsi="Times New Roman" w:cs="Times New Roman"/>
          <w:b/>
          <w:bCs/>
          <w:sz w:val="24"/>
          <w:szCs w:val="24"/>
          <w:lang w:bidi="ar-JO"/>
        </w:rPr>
        <w:t>: particular taḥqīq al-manāṭ; applied ijtihād; contemporary transactions.</w:t>
      </w:r>
    </w:p>
    <w:p w14:paraId="74F75E61" w14:textId="77777777" w:rsidR="00C66007" w:rsidRPr="00827CC8" w:rsidRDefault="00C66007" w:rsidP="002D51B3">
      <w:pPr>
        <w:tabs>
          <w:tab w:val="right" w:pos="706"/>
        </w:tabs>
        <w:spacing w:line="360" w:lineRule="auto"/>
        <w:jc w:val="center"/>
        <w:rPr>
          <w:rFonts w:ascii="Arabic Transparent" w:hAnsi="Arabic Transparent" w:cs="Arabic Transparent"/>
          <w:sz w:val="32"/>
          <w:szCs w:val="32"/>
          <w:rtl/>
        </w:rPr>
      </w:pPr>
    </w:p>
    <w:p w14:paraId="50ECA16E" w14:textId="77777777" w:rsidR="003E2ABB" w:rsidRPr="00827CC8" w:rsidRDefault="003E2ABB" w:rsidP="002D51B3">
      <w:pPr>
        <w:tabs>
          <w:tab w:val="right" w:pos="706"/>
        </w:tabs>
        <w:spacing w:line="360" w:lineRule="auto"/>
        <w:jc w:val="center"/>
        <w:rPr>
          <w:rFonts w:ascii="Arabic Transparent" w:hAnsi="Arabic Transparent" w:cs="Arabic Transparent"/>
          <w:sz w:val="32"/>
          <w:szCs w:val="32"/>
          <w:rtl/>
          <w:lang w:bidi="ar-JO"/>
        </w:rPr>
        <w:sectPr w:rsidR="003E2ABB" w:rsidRPr="00827CC8" w:rsidSect="003E2ABB">
          <w:headerReference w:type="default" r:id="rId20"/>
          <w:pgSz w:w="12240" w:h="15840"/>
          <w:pgMar w:top="1418" w:right="1985" w:bottom="1418" w:left="1418" w:header="720" w:footer="720" w:gutter="0"/>
          <w:pgNumType w:fmt="arabicAbjad" w:start="9"/>
          <w:cols w:space="720"/>
          <w:docGrid w:linePitch="360"/>
        </w:sectPr>
      </w:pPr>
    </w:p>
    <w:p w14:paraId="2A10600B" w14:textId="27B06B3C" w:rsidR="006C37D5" w:rsidRPr="00827CC8" w:rsidRDefault="00A91846" w:rsidP="00EF2710">
      <w:pPr>
        <w:tabs>
          <w:tab w:val="right" w:pos="706"/>
        </w:tabs>
        <w:spacing w:line="360" w:lineRule="auto"/>
        <w:jc w:val="center"/>
        <w:rPr>
          <w:rFonts w:ascii="Arabic Transparent" w:hAnsi="Arabic Transparent" w:cs="Arabic Transparent"/>
          <w:sz w:val="4"/>
          <w:szCs w:val="4"/>
          <w:rtl/>
        </w:rPr>
      </w:pPr>
      <w:r w:rsidRPr="00827CC8">
        <w:rPr>
          <w:rFonts w:ascii="Arabic Transparent" w:hAnsi="Arabic Transparent" w:cs="Arabic Transparent" w:hint="cs"/>
          <w:sz w:val="32"/>
          <w:szCs w:val="32"/>
          <w:rtl/>
        </w:rPr>
        <w:lastRenderedPageBreak/>
        <w:t>بسم الله الرحمن الرحيم</w:t>
      </w:r>
    </w:p>
    <w:p w14:paraId="51415AE4" w14:textId="057766AD" w:rsidR="006C37D5" w:rsidRPr="001C7F68" w:rsidRDefault="006C37D5" w:rsidP="00EF2710">
      <w:pPr>
        <w:spacing w:after="0" w:line="360" w:lineRule="auto"/>
        <w:ind w:firstLine="34"/>
        <w:jc w:val="center"/>
        <w:rPr>
          <w:rFonts w:ascii="Arabic Transparent" w:hAnsi="Arabic Transparent" w:cs="Arabic Transparent"/>
          <w:b/>
          <w:bCs/>
          <w:sz w:val="32"/>
          <w:szCs w:val="32"/>
          <w:rtl/>
          <w:lang w:bidi="ar-JO"/>
        </w:rPr>
      </w:pPr>
      <w:r w:rsidRPr="001C7F68">
        <w:rPr>
          <w:rFonts w:ascii="Arabic Transparent" w:hAnsi="Arabic Transparent" w:cs="Arabic Transparent" w:hint="cs"/>
          <w:b/>
          <w:bCs/>
          <w:sz w:val="32"/>
          <w:szCs w:val="32"/>
          <w:rtl/>
          <w:lang w:bidi="ar-JO"/>
        </w:rPr>
        <w:t>المقدمة</w:t>
      </w:r>
    </w:p>
    <w:p w14:paraId="5348AEF3" w14:textId="138EDC50" w:rsidR="006C37D5" w:rsidRPr="00827CC8" w:rsidRDefault="002978DA" w:rsidP="00EF2710">
      <w:pPr>
        <w:spacing w:after="0" w:line="360" w:lineRule="auto"/>
        <w:jc w:val="both"/>
        <w:rPr>
          <w:rFonts w:ascii="Arabic Transparent" w:hAnsi="Arabic Transparent" w:cs="Arabic Transparent"/>
          <w:sz w:val="28"/>
          <w:szCs w:val="28"/>
          <w:rtl/>
          <w:lang w:bidi="ar-JO"/>
        </w:rPr>
      </w:pPr>
      <w:r>
        <w:rPr>
          <w:rFonts w:ascii="Arabic Transparent" w:hAnsi="Arabic Transparent" w:cs="Arabic Transparent" w:hint="cs"/>
          <w:sz w:val="28"/>
          <w:szCs w:val="28"/>
          <w:rtl/>
          <w:lang w:bidi="ar-JO"/>
        </w:rPr>
        <w:t xml:space="preserve">     </w:t>
      </w:r>
      <w:r w:rsidR="006C37D5" w:rsidRPr="00827CC8">
        <w:rPr>
          <w:rFonts w:ascii="Arabic Transparent" w:hAnsi="Arabic Transparent" w:cs="Arabic Transparent" w:hint="cs"/>
          <w:sz w:val="28"/>
          <w:szCs w:val="28"/>
          <w:rtl/>
          <w:lang w:bidi="ar-JO"/>
        </w:rPr>
        <w:t>الحمد لله رب العالمين، والصلاة والسلام على سيدنا محمد</w:t>
      </w:r>
      <w:r w:rsidR="00EF2710">
        <w:rPr>
          <w:rFonts w:ascii="Arabic Transparent" w:hAnsi="Arabic Transparent" w:cs="Arabic Transparent" w:hint="cs"/>
          <w:sz w:val="28"/>
          <w:szCs w:val="28"/>
          <w:rtl/>
          <w:lang w:bidi="ar-JO"/>
        </w:rPr>
        <w:t xml:space="preserve"> </w:t>
      </w:r>
      <w:r w:rsidR="005E3842">
        <w:rPr>
          <w:rFonts w:ascii="AGA Arabesque" w:eastAsia="AGA Arabesque" w:hAnsi="AGA Arabesque" w:cs="AGA Arabesque"/>
          <w:sz w:val="28"/>
          <w:szCs w:val="28"/>
          <w:lang w:bidi="ar-JO"/>
        </w:rPr>
        <w:t></w:t>
      </w:r>
      <w:r w:rsidR="006C37D5" w:rsidRPr="00827CC8">
        <w:rPr>
          <w:rFonts w:ascii="Arabic Transparent" w:hAnsi="Arabic Transparent" w:cs="Arabic Transparent" w:hint="cs"/>
          <w:sz w:val="28"/>
          <w:szCs w:val="28"/>
          <w:rtl/>
          <w:lang w:bidi="ar-JO"/>
        </w:rPr>
        <w:t>، وعلى آله وصحبه أجمعين، وبعد:</w:t>
      </w:r>
    </w:p>
    <w:p w14:paraId="266C7D1E" w14:textId="3BB19723" w:rsidR="006C37D5" w:rsidRPr="00827CC8" w:rsidRDefault="002978DA" w:rsidP="006C37D5">
      <w:pPr>
        <w:spacing w:after="0" w:line="360" w:lineRule="auto"/>
        <w:ind w:left="34"/>
        <w:jc w:val="both"/>
        <w:rPr>
          <w:rFonts w:ascii="Arabic Transparent" w:hAnsi="Arabic Transparent" w:cs="Arabic Transparent"/>
          <w:sz w:val="28"/>
          <w:szCs w:val="28"/>
          <w:rtl/>
          <w:lang w:bidi="ar-JO"/>
        </w:rPr>
      </w:pPr>
      <w:r>
        <w:rPr>
          <w:rFonts w:ascii="Arabic Transparent" w:hAnsi="Arabic Transparent" w:cs="Arabic Transparent" w:hint="cs"/>
          <w:sz w:val="28"/>
          <w:szCs w:val="28"/>
          <w:rtl/>
          <w:lang w:bidi="ar-JO"/>
        </w:rPr>
        <w:t xml:space="preserve">     </w:t>
      </w:r>
      <w:r w:rsidR="006C37D5" w:rsidRPr="00827CC8">
        <w:rPr>
          <w:rFonts w:ascii="Arabic Transparent" w:hAnsi="Arabic Transparent" w:cs="Arabic Transparent" w:hint="cs"/>
          <w:sz w:val="28"/>
          <w:szCs w:val="28"/>
          <w:rtl/>
          <w:lang w:bidi="ar-JO"/>
        </w:rPr>
        <w:t>فإن</w:t>
      </w:r>
      <w:r w:rsidR="00EF2710">
        <w:rPr>
          <w:rFonts w:ascii="Arabic Transparent" w:hAnsi="Arabic Transparent" w:cs="Arabic Transparent" w:hint="cs"/>
          <w:sz w:val="28"/>
          <w:szCs w:val="28"/>
          <w:rtl/>
          <w:lang w:bidi="ar-JO"/>
        </w:rPr>
        <w:t>َّ</w:t>
      </w:r>
      <w:r w:rsidR="006C37D5" w:rsidRPr="00827CC8">
        <w:rPr>
          <w:rFonts w:ascii="Arabic Transparent" w:hAnsi="Arabic Transparent" w:cs="Arabic Transparent" w:hint="cs"/>
          <w:sz w:val="28"/>
          <w:szCs w:val="28"/>
          <w:rtl/>
          <w:lang w:bidi="ar-JO"/>
        </w:rPr>
        <w:t xml:space="preserve"> من سمات الشريعة الإسلامية صلاحيتها لكل زمان ومكان، وقد تجلى ذلك في بناء أحكامها على أسس وقواعد مرنة، تستوعب المتغيرات، وتراعي الوقائع، وتقوم على مراعاة مقاصد التشريع، ومن أبرز </w:t>
      </w:r>
      <w:r w:rsidR="00EF2710">
        <w:rPr>
          <w:rFonts w:ascii="Arabic Transparent" w:hAnsi="Arabic Transparent" w:cs="Arabic Transparent" w:hint="cs"/>
          <w:sz w:val="28"/>
          <w:szCs w:val="28"/>
          <w:rtl/>
          <w:lang w:bidi="ar-JO"/>
        </w:rPr>
        <w:t>مسالك</w:t>
      </w:r>
      <w:r w:rsidR="006C37D5" w:rsidRPr="00827CC8">
        <w:rPr>
          <w:rFonts w:ascii="Arabic Transparent" w:hAnsi="Arabic Transparent" w:cs="Arabic Transparent" w:hint="cs"/>
          <w:sz w:val="28"/>
          <w:szCs w:val="28"/>
          <w:rtl/>
          <w:lang w:bidi="ar-JO"/>
        </w:rPr>
        <w:t xml:space="preserve"> </w:t>
      </w:r>
      <w:r w:rsidR="00EF2710">
        <w:rPr>
          <w:rFonts w:ascii="Arabic Transparent" w:hAnsi="Arabic Transparent" w:cs="Arabic Transparent" w:hint="cs"/>
          <w:sz w:val="28"/>
          <w:szCs w:val="28"/>
          <w:rtl/>
          <w:lang w:bidi="ar-JO"/>
        </w:rPr>
        <w:t>الاجتهاد</w:t>
      </w:r>
      <w:r w:rsidR="006C37D5" w:rsidRPr="00827CC8">
        <w:rPr>
          <w:rFonts w:ascii="Arabic Transparent" w:hAnsi="Arabic Transparent" w:cs="Arabic Transparent" w:hint="cs"/>
          <w:sz w:val="28"/>
          <w:szCs w:val="28"/>
          <w:rtl/>
          <w:lang w:bidi="ar-JO"/>
        </w:rPr>
        <w:t>: تحقيق المناط، الذي يمثل حلقة الوصل بين الكليات الشرعية</w:t>
      </w:r>
      <w:r w:rsidR="00EF2710">
        <w:rPr>
          <w:rFonts w:ascii="Arabic Transparent" w:hAnsi="Arabic Transparent" w:cs="Arabic Transparent" w:hint="cs"/>
          <w:sz w:val="28"/>
          <w:szCs w:val="28"/>
          <w:rtl/>
          <w:lang w:bidi="ar-JO"/>
        </w:rPr>
        <w:t>،</w:t>
      </w:r>
      <w:r w:rsidR="006C37D5" w:rsidRPr="00827CC8">
        <w:rPr>
          <w:rFonts w:ascii="Arabic Transparent" w:hAnsi="Arabic Transparent" w:cs="Arabic Transparent" w:hint="cs"/>
          <w:sz w:val="28"/>
          <w:szCs w:val="28"/>
          <w:rtl/>
          <w:lang w:bidi="ar-JO"/>
        </w:rPr>
        <w:t xml:space="preserve"> والجزئيات الواقعية.</w:t>
      </w:r>
    </w:p>
    <w:p w14:paraId="2B089D66" w14:textId="70FA5965" w:rsidR="006C37D5" w:rsidRPr="00827CC8" w:rsidRDefault="005D7B91" w:rsidP="006C37D5">
      <w:pPr>
        <w:spacing w:after="0" w:line="360" w:lineRule="auto"/>
        <w:ind w:left="34"/>
        <w:jc w:val="both"/>
        <w:rPr>
          <w:rFonts w:ascii="Arabic Transparent" w:hAnsi="Arabic Transparent" w:cs="Arabic Transparent"/>
          <w:sz w:val="28"/>
          <w:szCs w:val="28"/>
          <w:rtl/>
          <w:lang w:bidi="ar-JO"/>
        </w:rPr>
      </w:pPr>
      <w:r>
        <w:rPr>
          <w:rFonts w:ascii="Arabic Transparent" w:hAnsi="Arabic Transparent" w:cs="Arabic Transparent" w:hint="cs"/>
          <w:sz w:val="28"/>
          <w:szCs w:val="28"/>
          <w:rtl/>
          <w:lang w:bidi="ar-JO"/>
        </w:rPr>
        <w:t xml:space="preserve">    </w:t>
      </w:r>
      <w:r w:rsidR="006C37D5" w:rsidRPr="00827CC8">
        <w:rPr>
          <w:rFonts w:ascii="Arabic Transparent" w:hAnsi="Arabic Transparent" w:cs="Arabic Transparent" w:hint="cs"/>
          <w:sz w:val="28"/>
          <w:szCs w:val="28"/>
          <w:rtl/>
          <w:lang w:bidi="ar-JO"/>
        </w:rPr>
        <w:t xml:space="preserve"> وقد اهتم</w:t>
      </w:r>
      <w:r w:rsidR="00EF2710">
        <w:rPr>
          <w:rFonts w:ascii="Arabic Transparent" w:hAnsi="Arabic Transparent" w:cs="Arabic Transparent" w:hint="cs"/>
          <w:sz w:val="28"/>
          <w:szCs w:val="28"/>
          <w:rtl/>
          <w:lang w:bidi="ar-JO"/>
        </w:rPr>
        <w:t>َّ</w:t>
      </w:r>
      <w:r w:rsidR="006C37D5" w:rsidRPr="00827CC8">
        <w:rPr>
          <w:rFonts w:ascii="Arabic Transparent" w:hAnsi="Arabic Transparent" w:cs="Arabic Transparent" w:hint="cs"/>
          <w:sz w:val="28"/>
          <w:szCs w:val="28"/>
          <w:rtl/>
          <w:lang w:bidi="ar-JO"/>
        </w:rPr>
        <w:t xml:space="preserve"> العلماء بتحقيق المناط اهتمامًا بالغًا، وقس</w:t>
      </w:r>
      <w:r w:rsidR="00EF2710">
        <w:rPr>
          <w:rFonts w:ascii="Arabic Transparent" w:hAnsi="Arabic Transparent" w:cs="Arabic Transparent" w:hint="cs"/>
          <w:sz w:val="28"/>
          <w:szCs w:val="28"/>
          <w:rtl/>
          <w:lang w:bidi="ar-JO"/>
        </w:rPr>
        <w:t>َّ</w:t>
      </w:r>
      <w:r w:rsidR="006C37D5" w:rsidRPr="00827CC8">
        <w:rPr>
          <w:rFonts w:ascii="Arabic Transparent" w:hAnsi="Arabic Transparent" w:cs="Arabic Transparent" w:hint="cs"/>
          <w:sz w:val="28"/>
          <w:szCs w:val="28"/>
          <w:rtl/>
          <w:lang w:bidi="ar-JO"/>
        </w:rPr>
        <w:t xml:space="preserve">موه إلى عام وخاص، وتحقيق المناط الخاص هو تنزيل الحكم على حال </w:t>
      </w:r>
      <w:r w:rsidR="004322E2">
        <w:rPr>
          <w:rFonts w:ascii="Arabic Transparent" w:hAnsi="Arabic Transparent" w:cs="Arabic Transparent" w:hint="cs"/>
          <w:sz w:val="28"/>
          <w:szCs w:val="28"/>
          <w:rtl/>
          <w:lang w:bidi="ar-JO"/>
        </w:rPr>
        <w:t xml:space="preserve">الواقعة، أو </w:t>
      </w:r>
      <w:r w:rsidR="006C37D5" w:rsidRPr="00827CC8">
        <w:rPr>
          <w:rFonts w:ascii="Arabic Transparent" w:hAnsi="Arabic Transparent" w:cs="Arabic Transparent" w:hint="cs"/>
          <w:sz w:val="28"/>
          <w:szCs w:val="28"/>
          <w:rtl/>
          <w:lang w:bidi="ar-JO"/>
        </w:rPr>
        <w:t>المكلف بعينه، وهو أبرز ما يُحتاج إليه في أبواب المعاملات المالية، لما له من أثر بالغ في إصدار الأحكام التي تراعي الأحوال</w:t>
      </w:r>
      <w:r w:rsidR="00EF2710">
        <w:rPr>
          <w:rFonts w:ascii="Arabic Transparent" w:hAnsi="Arabic Transparent" w:cs="Arabic Transparent" w:hint="cs"/>
          <w:sz w:val="28"/>
          <w:szCs w:val="28"/>
          <w:rtl/>
          <w:lang w:bidi="ar-JO"/>
        </w:rPr>
        <w:t>،</w:t>
      </w:r>
      <w:r w:rsidR="006C37D5" w:rsidRPr="00827CC8">
        <w:rPr>
          <w:rFonts w:ascii="Arabic Transparent" w:hAnsi="Arabic Transparent" w:cs="Arabic Transparent" w:hint="cs"/>
          <w:sz w:val="28"/>
          <w:szCs w:val="28"/>
          <w:rtl/>
          <w:lang w:bidi="ar-JO"/>
        </w:rPr>
        <w:t xml:space="preserve"> والملابسات الشخصية</w:t>
      </w:r>
      <w:r w:rsidR="00EF2710">
        <w:rPr>
          <w:rFonts w:ascii="Arabic Transparent" w:hAnsi="Arabic Transparent" w:cs="Arabic Transparent" w:hint="cs"/>
          <w:sz w:val="28"/>
          <w:szCs w:val="28"/>
          <w:rtl/>
          <w:lang w:bidi="ar-JO"/>
        </w:rPr>
        <w:t>،</w:t>
      </w:r>
      <w:r w:rsidR="006C37D5" w:rsidRPr="00827CC8">
        <w:rPr>
          <w:rFonts w:ascii="Arabic Transparent" w:hAnsi="Arabic Transparent" w:cs="Arabic Transparent" w:hint="cs"/>
          <w:sz w:val="28"/>
          <w:szCs w:val="28"/>
          <w:rtl/>
          <w:lang w:bidi="ar-JO"/>
        </w:rPr>
        <w:t xml:space="preserve"> أو البيئي</w:t>
      </w:r>
      <w:r w:rsidR="00D11BDA">
        <w:rPr>
          <w:rFonts w:ascii="Arabic Transparent" w:hAnsi="Arabic Transparent" w:cs="Arabic Transparent" w:hint="cs"/>
          <w:sz w:val="28"/>
          <w:szCs w:val="28"/>
          <w:rtl/>
          <w:lang w:bidi="ar-JO"/>
        </w:rPr>
        <w:t>َّ</w:t>
      </w:r>
      <w:r w:rsidR="006C37D5" w:rsidRPr="00827CC8">
        <w:rPr>
          <w:rFonts w:ascii="Arabic Transparent" w:hAnsi="Arabic Transparent" w:cs="Arabic Transparent" w:hint="cs"/>
          <w:sz w:val="28"/>
          <w:szCs w:val="28"/>
          <w:rtl/>
          <w:lang w:bidi="ar-JO"/>
        </w:rPr>
        <w:t>ة</w:t>
      </w:r>
      <w:r w:rsidR="00EF2710">
        <w:rPr>
          <w:rFonts w:ascii="Arabic Transparent" w:hAnsi="Arabic Transparent" w:cs="Arabic Transparent" w:hint="cs"/>
          <w:sz w:val="28"/>
          <w:szCs w:val="28"/>
          <w:rtl/>
          <w:lang w:bidi="ar-JO"/>
        </w:rPr>
        <w:t>،</w:t>
      </w:r>
      <w:r w:rsidR="006C37D5" w:rsidRPr="00827CC8">
        <w:rPr>
          <w:rFonts w:ascii="Arabic Transparent" w:hAnsi="Arabic Transparent" w:cs="Arabic Transparent" w:hint="cs"/>
          <w:sz w:val="28"/>
          <w:szCs w:val="28"/>
          <w:rtl/>
          <w:lang w:bidi="ar-JO"/>
        </w:rPr>
        <w:t xml:space="preserve"> أو الزمنية.</w:t>
      </w:r>
    </w:p>
    <w:p w14:paraId="048B200F" w14:textId="75192D70" w:rsidR="006C37D5" w:rsidRPr="00827CC8" w:rsidRDefault="005D7B91" w:rsidP="00EF2710">
      <w:pPr>
        <w:spacing w:after="0" w:line="360" w:lineRule="auto"/>
        <w:ind w:left="57"/>
        <w:jc w:val="both"/>
        <w:rPr>
          <w:rFonts w:ascii="Arabic Transparent" w:hAnsi="Arabic Transparent" w:cs="Arabic Transparent"/>
          <w:sz w:val="28"/>
          <w:szCs w:val="28"/>
          <w:rtl/>
          <w:lang w:bidi="ar-JO"/>
        </w:rPr>
      </w:pPr>
      <w:r>
        <w:rPr>
          <w:rFonts w:ascii="Arabic Transparent" w:hAnsi="Arabic Transparent" w:cs="Arabic Transparent" w:hint="cs"/>
          <w:sz w:val="28"/>
          <w:szCs w:val="28"/>
          <w:rtl/>
          <w:lang w:bidi="ar-JO"/>
        </w:rPr>
        <w:t xml:space="preserve">     </w:t>
      </w:r>
      <w:r w:rsidR="006C37D5" w:rsidRPr="00827CC8">
        <w:rPr>
          <w:rFonts w:ascii="Arabic Transparent" w:hAnsi="Arabic Transparent" w:cs="Arabic Transparent" w:hint="cs"/>
          <w:sz w:val="28"/>
          <w:szCs w:val="28"/>
          <w:rtl/>
          <w:lang w:bidi="ar-JO"/>
        </w:rPr>
        <w:t xml:space="preserve"> وإذا تأملنا في أبواب الفقه الإسلامي، وجدنا أن</w:t>
      </w:r>
      <w:r w:rsidR="00EF2710">
        <w:rPr>
          <w:rFonts w:ascii="Arabic Transparent" w:hAnsi="Arabic Transparent" w:cs="Arabic Transparent" w:hint="cs"/>
          <w:sz w:val="28"/>
          <w:szCs w:val="28"/>
          <w:rtl/>
          <w:lang w:bidi="ar-JO"/>
        </w:rPr>
        <w:t>َّ</w:t>
      </w:r>
      <w:r w:rsidR="006C37D5" w:rsidRPr="00827CC8">
        <w:rPr>
          <w:rFonts w:ascii="Arabic Transparent" w:hAnsi="Arabic Transparent" w:cs="Arabic Transparent" w:hint="cs"/>
          <w:sz w:val="28"/>
          <w:szCs w:val="28"/>
          <w:rtl/>
          <w:lang w:bidi="ar-JO"/>
        </w:rPr>
        <w:t xml:space="preserve"> كثيرًا من</w:t>
      </w:r>
      <w:r w:rsidR="00EF2710">
        <w:rPr>
          <w:rFonts w:ascii="Arabic Transparent" w:hAnsi="Arabic Transparent" w:cs="Arabic Transparent" w:hint="cs"/>
          <w:sz w:val="28"/>
          <w:szCs w:val="28"/>
          <w:rtl/>
          <w:lang w:bidi="ar-JO"/>
        </w:rPr>
        <w:t xml:space="preserve"> حالات</w:t>
      </w:r>
      <w:r w:rsidR="006C37D5" w:rsidRPr="00827CC8">
        <w:rPr>
          <w:rFonts w:ascii="Arabic Transparent" w:hAnsi="Arabic Transparent" w:cs="Arabic Transparent" w:hint="cs"/>
          <w:sz w:val="28"/>
          <w:szCs w:val="28"/>
          <w:rtl/>
          <w:lang w:bidi="ar-JO"/>
        </w:rPr>
        <w:t xml:space="preserve"> </w:t>
      </w:r>
      <w:r w:rsidR="00EF2710">
        <w:rPr>
          <w:rFonts w:ascii="Arabic Transparent" w:hAnsi="Arabic Transparent" w:cs="Arabic Transparent" w:hint="cs"/>
          <w:sz w:val="28"/>
          <w:szCs w:val="28"/>
          <w:rtl/>
          <w:lang w:bidi="ar-JO"/>
        </w:rPr>
        <w:t>التباين بين</w:t>
      </w:r>
      <w:r w:rsidR="006C37D5" w:rsidRPr="00827CC8">
        <w:rPr>
          <w:rFonts w:ascii="Arabic Transparent" w:hAnsi="Arabic Transparent" w:cs="Arabic Transparent" w:hint="cs"/>
          <w:sz w:val="28"/>
          <w:szCs w:val="28"/>
          <w:rtl/>
          <w:lang w:bidi="ar-JO"/>
        </w:rPr>
        <w:t xml:space="preserve"> الفقهاء لا </w:t>
      </w:r>
      <w:r w:rsidR="00EF2710">
        <w:rPr>
          <w:rFonts w:ascii="Arabic Transparent" w:hAnsi="Arabic Transparent" w:cs="Arabic Transparent" w:hint="cs"/>
          <w:sz w:val="28"/>
          <w:szCs w:val="28"/>
          <w:rtl/>
          <w:lang w:bidi="ar-JO"/>
        </w:rPr>
        <w:t>ت</w:t>
      </w:r>
      <w:r w:rsidR="006C37D5" w:rsidRPr="00827CC8">
        <w:rPr>
          <w:rFonts w:ascii="Arabic Transparent" w:hAnsi="Arabic Transparent" w:cs="Arabic Transparent" w:hint="cs"/>
          <w:sz w:val="28"/>
          <w:szCs w:val="28"/>
          <w:rtl/>
          <w:lang w:bidi="ar-JO"/>
        </w:rPr>
        <w:t>عود إلى الن</w:t>
      </w:r>
      <w:r w:rsidR="00EF2710">
        <w:rPr>
          <w:rFonts w:ascii="Arabic Transparent" w:hAnsi="Arabic Transparent" w:cs="Arabic Transparent" w:hint="cs"/>
          <w:sz w:val="28"/>
          <w:szCs w:val="28"/>
          <w:rtl/>
          <w:lang w:bidi="ar-JO"/>
        </w:rPr>
        <w:t>َّ</w:t>
      </w:r>
      <w:r w:rsidR="006C37D5" w:rsidRPr="00827CC8">
        <w:rPr>
          <w:rFonts w:ascii="Arabic Transparent" w:hAnsi="Arabic Transparent" w:cs="Arabic Transparent" w:hint="cs"/>
          <w:sz w:val="28"/>
          <w:szCs w:val="28"/>
          <w:rtl/>
          <w:lang w:bidi="ar-JO"/>
        </w:rPr>
        <w:t>ص</w:t>
      </w:r>
      <w:r w:rsidR="004322E2">
        <w:rPr>
          <w:rFonts w:ascii="Arabic Transparent" w:hAnsi="Arabic Transparent" w:cs="Arabic Transparent" w:hint="cs"/>
          <w:sz w:val="28"/>
          <w:szCs w:val="28"/>
          <w:rtl/>
          <w:lang w:bidi="ar-JO"/>
        </w:rPr>
        <w:t>،</w:t>
      </w:r>
      <w:r w:rsidR="006C37D5" w:rsidRPr="00827CC8">
        <w:rPr>
          <w:rFonts w:ascii="Arabic Transparent" w:hAnsi="Arabic Transparent" w:cs="Arabic Transparent" w:hint="cs"/>
          <w:sz w:val="28"/>
          <w:szCs w:val="28"/>
          <w:rtl/>
          <w:lang w:bidi="ar-JO"/>
        </w:rPr>
        <w:t xml:space="preserve"> أو القاعدة الأصولي</w:t>
      </w:r>
      <w:r w:rsidR="00EF2710">
        <w:rPr>
          <w:rFonts w:ascii="Arabic Transparent" w:hAnsi="Arabic Transparent" w:cs="Arabic Transparent" w:hint="cs"/>
          <w:sz w:val="28"/>
          <w:szCs w:val="28"/>
          <w:rtl/>
          <w:lang w:bidi="ar-JO"/>
        </w:rPr>
        <w:t>َّ</w:t>
      </w:r>
      <w:r w:rsidR="006C37D5" w:rsidRPr="00827CC8">
        <w:rPr>
          <w:rFonts w:ascii="Arabic Transparent" w:hAnsi="Arabic Transparent" w:cs="Arabic Transparent" w:hint="cs"/>
          <w:sz w:val="28"/>
          <w:szCs w:val="28"/>
          <w:rtl/>
          <w:lang w:bidi="ar-JO"/>
        </w:rPr>
        <w:t xml:space="preserve">ة، وإنّما </w:t>
      </w:r>
      <w:r w:rsidR="004322E2">
        <w:rPr>
          <w:rFonts w:ascii="Arabic Transparent" w:hAnsi="Arabic Transparent" w:cs="Arabic Transparent" w:hint="cs"/>
          <w:sz w:val="28"/>
          <w:szCs w:val="28"/>
          <w:rtl/>
          <w:lang w:bidi="ar-JO"/>
        </w:rPr>
        <w:t xml:space="preserve">تعود </w:t>
      </w:r>
      <w:r w:rsidR="006C37D5" w:rsidRPr="00827CC8">
        <w:rPr>
          <w:rFonts w:ascii="Arabic Transparent" w:hAnsi="Arabic Transparent" w:cs="Arabic Transparent" w:hint="cs"/>
          <w:sz w:val="28"/>
          <w:szCs w:val="28"/>
          <w:rtl/>
          <w:lang w:bidi="ar-JO"/>
        </w:rPr>
        <w:t xml:space="preserve">إلى التفاوت في تحقيق المناط الخاص، </w:t>
      </w:r>
      <w:r w:rsidR="004322E2">
        <w:rPr>
          <w:rFonts w:ascii="Arabic Transparent" w:hAnsi="Arabic Transparent" w:cs="Arabic Transparent" w:hint="cs"/>
          <w:sz w:val="28"/>
          <w:szCs w:val="28"/>
          <w:rtl/>
          <w:lang w:bidi="ar-JO"/>
        </w:rPr>
        <w:t>تحديداً</w:t>
      </w:r>
      <w:r w:rsidR="006C37D5" w:rsidRPr="00827CC8">
        <w:rPr>
          <w:rFonts w:ascii="Arabic Transparent" w:hAnsi="Arabic Transparent" w:cs="Arabic Transparent" w:hint="cs"/>
          <w:sz w:val="28"/>
          <w:szCs w:val="28"/>
          <w:rtl/>
          <w:lang w:bidi="ar-JO"/>
        </w:rPr>
        <w:t xml:space="preserve"> في القضايا الاجتهادية </w:t>
      </w:r>
      <w:r w:rsidR="001C7F68">
        <w:rPr>
          <w:rFonts w:ascii="Arabic Transparent" w:hAnsi="Arabic Transparent" w:cs="Arabic Transparent" w:hint="cs"/>
          <w:sz w:val="28"/>
          <w:szCs w:val="28"/>
          <w:rtl/>
          <w:lang w:bidi="ar-JO"/>
        </w:rPr>
        <w:t>المتغيّرة،</w:t>
      </w:r>
      <w:r w:rsidR="006C37D5" w:rsidRPr="00827CC8">
        <w:rPr>
          <w:rFonts w:ascii="Arabic Transparent" w:hAnsi="Arabic Transparent" w:cs="Arabic Transparent" w:hint="cs"/>
          <w:sz w:val="28"/>
          <w:szCs w:val="28"/>
          <w:rtl/>
          <w:lang w:bidi="ar-JO"/>
        </w:rPr>
        <w:t xml:space="preserve"> التي تقتضي نظرًا في حال المكلف</w:t>
      </w:r>
      <w:r w:rsidR="001C7F68">
        <w:rPr>
          <w:rFonts w:ascii="Arabic Transparent" w:hAnsi="Arabic Transparent" w:cs="Arabic Transparent" w:hint="cs"/>
          <w:sz w:val="28"/>
          <w:szCs w:val="28"/>
          <w:rtl/>
          <w:lang w:bidi="ar-JO"/>
        </w:rPr>
        <w:t>،</w:t>
      </w:r>
      <w:r w:rsidR="006C37D5" w:rsidRPr="00827CC8">
        <w:rPr>
          <w:rFonts w:ascii="Arabic Transparent" w:hAnsi="Arabic Transparent" w:cs="Arabic Transparent" w:hint="cs"/>
          <w:sz w:val="28"/>
          <w:szCs w:val="28"/>
          <w:rtl/>
          <w:lang w:bidi="ar-JO"/>
        </w:rPr>
        <w:t xml:space="preserve"> أو ظروف الزمان والمكان، وهذا التفاوت، وإن كان طبيعيًا في الاجتهاد، إلا أن</w:t>
      </w:r>
      <w:r w:rsidR="001C7F68">
        <w:rPr>
          <w:rFonts w:ascii="Arabic Transparent" w:hAnsi="Arabic Transparent" w:cs="Arabic Transparent" w:hint="cs"/>
          <w:sz w:val="28"/>
          <w:szCs w:val="28"/>
          <w:rtl/>
          <w:lang w:bidi="ar-JO"/>
        </w:rPr>
        <w:t>َّ</w:t>
      </w:r>
      <w:r w:rsidR="006C37D5" w:rsidRPr="00827CC8">
        <w:rPr>
          <w:rFonts w:ascii="Arabic Transparent" w:hAnsi="Arabic Transparent" w:cs="Arabic Transparent" w:hint="cs"/>
          <w:sz w:val="28"/>
          <w:szCs w:val="28"/>
          <w:rtl/>
          <w:lang w:bidi="ar-JO"/>
        </w:rPr>
        <w:t>ه يحتاج إلى دراسة تأصيلي</w:t>
      </w:r>
      <w:r w:rsidR="001C7F68">
        <w:rPr>
          <w:rFonts w:ascii="Arabic Transparent" w:hAnsi="Arabic Transparent" w:cs="Arabic Transparent" w:hint="cs"/>
          <w:sz w:val="28"/>
          <w:szCs w:val="28"/>
          <w:rtl/>
          <w:lang w:bidi="ar-JO"/>
        </w:rPr>
        <w:t>َّ</w:t>
      </w:r>
      <w:r w:rsidR="006C37D5" w:rsidRPr="00827CC8">
        <w:rPr>
          <w:rFonts w:ascii="Arabic Transparent" w:hAnsi="Arabic Transparent" w:cs="Arabic Transparent" w:hint="cs"/>
          <w:sz w:val="28"/>
          <w:szCs w:val="28"/>
          <w:rtl/>
          <w:lang w:bidi="ar-JO"/>
        </w:rPr>
        <w:t xml:space="preserve">ة تُبيّن </w:t>
      </w:r>
      <w:r w:rsidR="001C7F68">
        <w:rPr>
          <w:rFonts w:ascii="Arabic Transparent" w:hAnsi="Arabic Transparent" w:cs="Arabic Transparent" w:hint="cs"/>
          <w:sz w:val="28"/>
          <w:szCs w:val="28"/>
          <w:rtl/>
          <w:lang w:bidi="ar-JO"/>
        </w:rPr>
        <w:t>حقيقته</w:t>
      </w:r>
      <w:r w:rsidR="006C37D5" w:rsidRPr="00827CC8">
        <w:rPr>
          <w:rFonts w:ascii="Arabic Transparent" w:hAnsi="Arabic Transparent" w:cs="Arabic Transparent" w:hint="cs"/>
          <w:sz w:val="28"/>
          <w:szCs w:val="28"/>
          <w:rtl/>
          <w:lang w:bidi="ar-JO"/>
        </w:rPr>
        <w:t xml:space="preserve"> و</w:t>
      </w:r>
      <w:r w:rsidR="001C7F68">
        <w:rPr>
          <w:rFonts w:ascii="Arabic Transparent" w:hAnsi="Arabic Transparent" w:cs="Arabic Transparent" w:hint="cs"/>
          <w:sz w:val="28"/>
          <w:szCs w:val="28"/>
          <w:rtl/>
          <w:lang w:bidi="ar-JO"/>
        </w:rPr>
        <w:t>أسبابه</w:t>
      </w:r>
      <w:r w:rsidR="006C37D5" w:rsidRPr="00827CC8">
        <w:rPr>
          <w:rFonts w:ascii="Arabic Transparent" w:hAnsi="Arabic Transparent" w:cs="Arabic Transparent" w:hint="cs"/>
          <w:sz w:val="28"/>
          <w:szCs w:val="28"/>
          <w:rtl/>
          <w:lang w:bidi="ar-JO"/>
        </w:rPr>
        <w:t xml:space="preserve"> وأثره، في عصرنا، </w:t>
      </w:r>
      <w:r w:rsidR="001C7F68">
        <w:rPr>
          <w:rFonts w:ascii="Arabic Transparent" w:hAnsi="Arabic Transparent" w:cs="Arabic Transparent" w:hint="cs"/>
          <w:sz w:val="28"/>
          <w:szCs w:val="28"/>
          <w:rtl/>
          <w:lang w:bidi="ar-JO"/>
        </w:rPr>
        <w:t>بالنظر إلى</w:t>
      </w:r>
      <w:r w:rsidR="006C37D5" w:rsidRPr="00827CC8">
        <w:rPr>
          <w:rFonts w:ascii="Arabic Transparent" w:hAnsi="Arabic Transparent" w:cs="Arabic Transparent" w:hint="cs"/>
          <w:sz w:val="28"/>
          <w:szCs w:val="28"/>
          <w:rtl/>
          <w:lang w:bidi="ar-JO"/>
        </w:rPr>
        <w:t xml:space="preserve"> التطور الكبير في الواقع المالي المعاصر، وكثرة النوازل الاقتصادية، وظهور مؤسسات مالية إسلامية تتعامل بأدوات وأساليب غير تقليدية، بات من الضروري الرجوع إلى</w:t>
      </w:r>
      <w:r w:rsidR="001C7F68">
        <w:rPr>
          <w:rFonts w:ascii="Arabic Transparent" w:hAnsi="Arabic Transparent" w:cs="Arabic Transparent" w:hint="cs"/>
          <w:sz w:val="28"/>
          <w:szCs w:val="28"/>
          <w:rtl/>
          <w:lang w:bidi="ar-JO"/>
        </w:rPr>
        <w:t xml:space="preserve"> دراسة</w:t>
      </w:r>
      <w:r w:rsidR="006C37D5" w:rsidRPr="00827CC8">
        <w:rPr>
          <w:rFonts w:ascii="Arabic Transparent" w:hAnsi="Arabic Transparent" w:cs="Arabic Transparent" w:hint="cs"/>
          <w:sz w:val="28"/>
          <w:szCs w:val="28"/>
          <w:rtl/>
          <w:lang w:bidi="ar-JO"/>
        </w:rPr>
        <w:t xml:space="preserve"> هذا النوع من التحقيق الأصولي، لفهم حقيقة التفاوت في تحقيق المناط</w:t>
      </w:r>
      <w:r w:rsidR="001C7F68">
        <w:rPr>
          <w:rFonts w:ascii="Arabic Transparent" w:hAnsi="Arabic Transparent" w:cs="Arabic Transparent" w:hint="cs"/>
          <w:sz w:val="28"/>
          <w:szCs w:val="28"/>
          <w:rtl/>
          <w:lang w:bidi="ar-JO"/>
        </w:rPr>
        <w:t xml:space="preserve"> الخاص في الوقائع المختلفة.</w:t>
      </w:r>
    </w:p>
    <w:p w14:paraId="32118874" w14:textId="77777777" w:rsidR="006C37D5" w:rsidRPr="00EB6117" w:rsidRDefault="006C37D5" w:rsidP="006C37D5">
      <w:pPr>
        <w:spacing w:after="0" w:line="360" w:lineRule="auto"/>
        <w:ind w:left="34"/>
        <w:jc w:val="both"/>
        <w:rPr>
          <w:rFonts w:ascii="Arabic Transparent" w:hAnsi="Arabic Transparent" w:cs="Arabic Transparent"/>
          <w:b/>
          <w:bCs/>
          <w:sz w:val="32"/>
          <w:szCs w:val="32"/>
          <w:rtl/>
          <w:lang w:bidi="ar-JO"/>
        </w:rPr>
      </w:pPr>
      <w:r w:rsidRPr="00EB6117">
        <w:rPr>
          <w:rFonts w:ascii="Arabic Transparent" w:hAnsi="Arabic Transparent" w:cs="Arabic Transparent" w:hint="cs"/>
          <w:b/>
          <w:bCs/>
          <w:sz w:val="32"/>
          <w:szCs w:val="32"/>
          <w:rtl/>
          <w:lang w:bidi="ar-JO"/>
        </w:rPr>
        <w:t xml:space="preserve">مشكلة الدراسة: </w:t>
      </w:r>
    </w:p>
    <w:p w14:paraId="65AC9BA9" w14:textId="016AE6F9" w:rsidR="006C37D5" w:rsidRPr="00827CC8" w:rsidRDefault="006C37D5" w:rsidP="00D11BDA">
      <w:pPr>
        <w:spacing w:after="0" w:line="360" w:lineRule="auto"/>
        <w:ind w:left="34"/>
        <w:jc w:val="both"/>
        <w:rPr>
          <w:rFonts w:ascii="Arabic Transparent" w:hAnsi="Arabic Transparent" w:cs="Arabic Transparent"/>
          <w:sz w:val="28"/>
          <w:szCs w:val="28"/>
          <w:rtl/>
          <w:lang w:bidi="ar-JO"/>
        </w:rPr>
      </w:pPr>
      <w:r w:rsidRPr="00827CC8">
        <w:rPr>
          <w:rFonts w:ascii="Arabic Transparent" w:hAnsi="Arabic Transparent" w:cs="Arabic Transparent" w:hint="cs"/>
          <w:sz w:val="28"/>
          <w:szCs w:val="28"/>
          <w:rtl/>
          <w:lang w:bidi="ar-JO"/>
        </w:rPr>
        <w:t>تكمن مشكلة الدراسة في الإجابة عن السؤال الرئيس ا</w:t>
      </w:r>
      <w:r w:rsidR="00EB6117">
        <w:rPr>
          <w:rFonts w:ascii="Arabic Transparent" w:hAnsi="Arabic Transparent" w:cs="Arabic Transparent" w:hint="cs"/>
          <w:sz w:val="28"/>
          <w:szCs w:val="28"/>
          <w:rtl/>
          <w:lang w:bidi="ar-JO"/>
        </w:rPr>
        <w:t>ل</w:t>
      </w:r>
      <w:r w:rsidR="00B93547">
        <w:rPr>
          <w:rFonts w:ascii="Arabic Transparent" w:hAnsi="Arabic Transparent" w:cs="Arabic Transparent" w:hint="cs"/>
          <w:sz w:val="28"/>
          <w:szCs w:val="28"/>
          <w:rtl/>
          <w:lang w:bidi="ar-JO"/>
        </w:rPr>
        <w:t>آتي</w:t>
      </w:r>
      <w:r w:rsidRPr="00827CC8">
        <w:rPr>
          <w:rFonts w:ascii="Arabic Transparent" w:hAnsi="Arabic Transparent" w:cs="Arabic Transparent" w:hint="cs"/>
          <w:sz w:val="28"/>
          <w:szCs w:val="28"/>
          <w:rtl/>
          <w:lang w:bidi="ar-JO"/>
        </w:rPr>
        <w:t xml:space="preserve">: </w:t>
      </w:r>
    </w:p>
    <w:p w14:paraId="29DC9436" w14:textId="77777777" w:rsidR="006C37D5" w:rsidRPr="00827CC8" w:rsidRDefault="006C37D5" w:rsidP="00D11BDA">
      <w:pPr>
        <w:spacing w:after="0" w:line="360" w:lineRule="auto"/>
        <w:jc w:val="both"/>
        <w:rPr>
          <w:rFonts w:ascii="Arabic Transparent" w:hAnsi="Arabic Transparent" w:cs="Arabic Transparent"/>
          <w:sz w:val="28"/>
          <w:szCs w:val="28"/>
          <w:lang w:bidi="ar-JO"/>
        </w:rPr>
      </w:pPr>
      <w:r w:rsidRPr="00827CC8">
        <w:rPr>
          <w:rFonts w:ascii="Arabic Transparent" w:hAnsi="Arabic Transparent" w:cs="Arabic Transparent" w:hint="cs"/>
          <w:sz w:val="28"/>
          <w:szCs w:val="28"/>
          <w:rtl/>
          <w:lang w:bidi="ar-JO"/>
        </w:rPr>
        <w:t>ما التفاوت في تحقيق المناط الخاص وتطبيقاته في المعاملات المالية المعاصرة؟</w:t>
      </w:r>
    </w:p>
    <w:p w14:paraId="0E2EB216" w14:textId="0B43A33F" w:rsidR="006C37D5" w:rsidRPr="00827CC8" w:rsidRDefault="006C37D5" w:rsidP="00EB6117">
      <w:pPr>
        <w:spacing w:after="0" w:line="360" w:lineRule="auto"/>
        <w:jc w:val="both"/>
        <w:rPr>
          <w:rFonts w:ascii="Arabic Transparent" w:hAnsi="Arabic Transparent" w:cs="Arabic Transparent"/>
          <w:sz w:val="28"/>
          <w:szCs w:val="28"/>
          <w:rtl/>
          <w:lang w:bidi="ar-JO"/>
        </w:rPr>
      </w:pPr>
      <w:r w:rsidRPr="00827CC8">
        <w:rPr>
          <w:rFonts w:ascii="Arabic Transparent" w:hAnsi="Arabic Transparent" w:cs="Arabic Transparent" w:hint="cs"/>
          <w:sz w:val="28"/>
          <w:szCs w:val="28"/>
          <w:rtl/>
          <w:lang w:bidi="ar-JO"/>
        </w:rPr>
        <w:t>ويتفرع عن</w:t>
      </w:r>
      <w:r w:rsidR="00EB6117">
        <w:rPr>
          <w:rFonts w:ascii="Arabic Transparent" w:hAnsi="Arabic Transparent" w:cs="Arabic Transparent" w:hint="cs"/>
          <w:sz w:val="28"/>
          <w:szCs w:val="28"/>
          <w:rtl/>
          <w:lang w:bidi="ar-JO"/>
        </w:rPr>
        <w:t>ه</w:t>
      </w:r>
      <w:r w:rsidRPr="00827CC8">
        <w:rPr>
          <w:rFonts w:ascii="Arabic Transparent" w:hAnsi="Arabic Transparent" w:cs="Arabic Transparent" w:hint="cs"/>
          <w:sz w:val="28"/>
          <w:szCs w:val="28"/>
          <w:rtl/>
          <w:lang w:bidi="ar-JO"/>
        </w:rPr>
        <w:t xml:space="preserve"> </w:t>
      </w:r>
      <w:r w:rsidR="00EB6117">
        <w:rPr>
          <w:rFonts w:ascii="Arabic Transparent" w:hAnsi="Arabic Transparent" w:cs="Arabic Transparent" w:hint="cs"/>
          <w:sz w:val="28"/>
          <w:szCs w:val="28"/>
          <w:rtl/>
          <w:lang w:bidi="ar-JO"/>
        </w:rPr>
        <w:t>الأسئلة الآتية:</w:t>
      </w:r>
    </w:p>
    <w:p w14:paraId="3072C0FF" w14:textId="77777777" w:rsidR="006C37D5" w:rsidRPr="00827CC8" w:rsidRDefault="006C37D5" w:rsidP="00EB6117">
      <w:pPr>
        <w:numPr>
          <w:ilvl w:val="0"/>
          <w:numId w:val="2"/>
        </w:numPr>
        <w:spacing w:after="0" w:line="360" w:lineRule="auto"/>
        <w:ind w:left="408"/>
        <w:jc w:val="both"/>
        <w:rPr>
          <w:rFonts w:ascii="Arabic Transparent" w:hAnsi="Arabic Transparent" w:cs="Arabic Transparent"/>
          <w:sz w:val="28"/>
          <w:szCs w:val="28"/>
          <w:rtl/>
          <w:lang w:bidi="ar-JO"/>
        </w:rPr>
      </w:pPr>
      <w:r w:rsidRPr="00827CC8">
        <w:rPr>
          <w:rFonts w:ascii="Arabic Transparent" w:hAnsi="Arabic Transparent" w:cs="Arabic Transparent" w:hint="cs"/>
          <w:sz w:val="28"/>
          <w:szCs w:val="28"/>
          <w:rtl/>
          <w:lang w:bidi="ar-JO"/>
        </w:rPr>
        <w:t>ما حقيقة التفاوت في تحقيق المناط الخاص؟</w:t>
      </w:r>
    </w:p>
    <w:p w14:paraId="3D62C9A8" w14:textId="77777777" w:rsidR="006C37D5" w:rsidRPr="00827CC8" w:rsidRDefault="006C37D5" w:rsidP="00EB6117">
      <w:pPr>
        <w:numPr>
          <w:ilvl w:val="0"/>
          <w:numId w:val="2"/>
        </w:numPr>
        <w:spacing w:after="0" w:line="360" w:lineRule="auto"/>
        <w:ind w:left="408"/>
        <w:jc w:val="both"/>
        <w:rPr>
          <w:rFonts w:ascii="Arabic Transparent" w:hAnsi="Arabic Transparent" w:cs="Arabic Transparent"/>
          <w:sz w:val="28"/>
          <w:szCs w:val="28"/>
          <w:lang w:bidi="ar-JO"/>
        </w:rPr>
      </w:pPr>
      <w:r w:rsidRPr="00827CC8">
        <w:rPr>
          <w:rFonts w:ascii="Arabic Transparent" w:hAnsi="Arabic Transparent" w:cs="Arabic Transparent" w:hint="cs"/>
          <w:sz w:val="28"/>
          <w:szCs w:val="28"/>
          <w:rtl/>
          <w:lang w:bidi="ar-JO"/>
        </w:rPr>
        <w:t>ما أسباب التفاوت في تحقيق المناط الخاص لدى الأصوليين؟</w:t>
      </w:r>
    </w:p>
    <w:p w14:paraId="0596D2CD" w14:textId="4701C4CC" w:rsidR="009162EA" w:rsidRDefault="006C37D5" w:rsidP="00EB6117">
      <w:pPr>
        <w:numPr>
          <w:ilvl w:val="0"/>
          <w:numId w:val="2"/>
        </w:numPr>
        <w:spacing w:after="0" w:line="360" w:lineRule="auto"/>
        <w:ind w:left="408"/>
        <w:jc w:val="both"/>
        <w:rPr>
          <w:rFonts w:ascii="Arabic Transparent" w:hAnsi="Arabic Transparent" w:cs="Arabic Transparent"/>
          <w:sz w:val="28"/>
          <w:szCs w:val="28"/>
          <w:lang w:bidi="ar-JO"/>
        </w:rPr>
      </w:pPr>
      <w:r w:rsidRPr="00827CC8">
        <w:rPr>
          <w:rFonts w:ascii="Arabic Transparent" w:hAnsi="Arabic Transparent" w:cs="Arabic Transparent" w:hint="cs"/>
          <w:sz w:val="28"/>
          <w:szCs w:val="28"/>
          <w:rtl/>
          <w:lang w:bidi="ar-JO"/>
        </w:rPr>
        <w:t xml:space="preserve">ما </w:t>
      </w:r>
      <w:r w:rsidR="009162EA">
        <w:rPr>
          <w:rFonts w:ascii="Arabic Transparent" w:hAnsi="Arabic Transparent" w:cs="Arabic Transparent" w:hint="cs"/>
          <w:sz w:val="28"/>
          <w:szCs w:val="28"/>
          <w:rtl/>
          <w:lang w:bidi="ar-JO"/>
        </w:rPr>
        <w:t xml:space="preserve">مراتب </w:t>
      </w:r>
      <w:r w:rsidR="00305834">
        <w:rPr>
          <w:rFonts w:ascii="Arabic Transparent" w:hAnsi="Arabic Transparent" w:cs="Arabic Transparent" w:hint="cs"/>
          <w:sz w:val="28"/>
          <w:szCs w:val="28"/>
          <w:rtl/>
          <w:lang w:bidi="ar-JO"/>
        </w:rPr>
        <w:t>التفاوت</w:t>
      </w:r>
      <w:r w:rsidR="009162EA">
        <w:rPr>
          <w:rFonts w:ascii="Arabic Transparent" w:hAnsi="Arabic Transparent" w:cs="Arabic Transparent" w:hint="cs"/>
          <w:sz w:val="28"/>
          <w:szCs w:val="28"/>
          <w:rtl/>
          <w:lang w:bidi="ar-JO"/>
        </w:rPr>
        <w:t xml:space="preserve"> وأصول ضبطه في الوقائع والاجتهاد</w:t>
      </w:r>
      <w:r w:rsidR="00A97CDD">
        <w:rPr>
          <w:rFonts w:ascii="Arabic Transparent" w:hAnsi="Arabic Transparent" w:cs="Arabic Transparent" w:hint="cs"/>
          <w:sz w:val="28"/>
          <w:szCs w:val="28"/>
          <w:rtl/>
          <w:lang w:bidi="ar-JO"/>
        </w:rPr>
        <w:t>؟</w:t>
      </w:r>
    </w:p>
    <w:p w14:paraId="3652AA9D" w14:textId="77777777" w:rsidR="006C37D5" w:rsidRPr="00827CC8" w:rsidRDefault="006C37D5" w:rsidP="00EB6117">
      <w:pPr>
        <w:numPr>
          <w:ilvl w:val="0"/>
          <w:numId w:val="2"/>
        </w:numPr>
        <w:spacing w:after="0" w:line="360" w:lineRule="auto"/>
        <w:ind w:left="408"/>
        <w:jc w:val="both"/>
        <w:rPr>
          <w:rFonts w:ascii="Arabic Transparent" w:hAnsi="Arabic Transparent" w:cs="Arabic Transparent"/>
          <w:sz w:val="28"/>
          <w:szCs w:val="28"/>
          <w:lang w:bidi="ar-JO"/>
        </w:rPr>
      </w:pPr>
      <w:r w:rsidRPr="00827CC8">
        <w:rPr>
          <w:rFonts w:ascii="Arabic Transparent" w:hAnsi="Arabic Transparent" w:cs="Arabic Transparent" w:hint="cs"/>
          <w:sz w:val="28"/>
          <w:szCs w:val="28"/>
          <w:rtl/>
          <w:lang w:bidi="ar-JO"/>
        </w:rPr>
        <w:t>ما تطبيقات تحقيق المناط الخاص في المعاملات المالية المعاصرة؟</w:t>
      </w:r>
    </w:p>
    <w:p w14:paraId="3382C577" w14:textId="77777777" w:rsidR="006C37D5" w:rsidRPr="00EB6117" w:rsidRDefault="006C37D5" w:rsidP="006C37D5">
      <w:pPr>
        <w:spacing w:after="0" w:line="360" w:lineRule="auto"/>
        <w:jc w:val="both"/>
        <w:rPr>
          <w:rFonts w:ascii="Arabic Transparent" w:hAnsi="Arabic Transparent" w:cs="Arabic Transparent"/>
          <w:b/>
          <w:bCs/>
          <w:sz w:val="32"/>
          <w:szCs w:val="32"/>
          <w:rtl/>
          <w:lang w:bidi="ar-JO"/>
        </w:rPr>
      </w:pPr>
      <w:r w:rsidRPr="00EB6117">
        <w:rPr>
          <w:rFonts w:ascii="Arabic Transparent" w:hAnsi="Arabic Transparent" w:cs="Arabic Transparent" w:hint="cs"/>
          <w:b/>
          <w:bCs/>
          <w:sz w:val="32"/>
          <w:szCs w:val="32"/>
          <w:rtl/>
          <w:lang w:bidi="ar-JO"/>
        </w:rPr>
        <w:lastRenderedPageBreak/>
        <w:t xml:space="preserve">أهداف الدراسة: </w:t>
      </w:r>
    </w:p>
    <w:p w14:paraId="3ADE361B" w14:textId="4758413B" w:rsidR="006C37D5" w:rsidRPr="00827CC8" w:rsidRDefault="006C37D5" w:rsidP="00D11BDA">
      <w:pPr>
        <w:spacing w:after="0" w:line="360" w:lineRule="auto"/>
        <w:jc w:val="both"/>
        <w:rPr>
          <w:rFonts w:ascii="Arabic Transparent" w:hAnsi="Arabic Transparent" w:cs="Arabic Transparent"/>
          <w:sz w:val="28"/>
          <w:szCs w:val="28"/>
          <w:rtl/>
          <w:lang w:bidi="ar-JO"/>
        </w:rPr>
      </w:pPr>
      <w:r w:rsidRPr="00827CC8">
        <w:rPr>
          <w:rFonts w:ascii="Arabic Transparent" w:hAnsi="Arabic Transparent" w:cs="Arabic Transparent" w:hint="cs"/>
          <w:sz w:val="28"/>
          <w:szCs w:val="28"/>
          <w:rtl/>
          <w:lang w:bidi="ar-JO"/>
        </w:rPr>
        <w:t xml:space="preserve">تتلخص أهداف الدراسة بما </w:t>
      </w:r>
      <w:r w:rsidR="00BF1052">
        <w:rPr>
          <w:rFonts w:ascii="Arabic Transparent" w:hAnsi="Arabic Transparent" w:cs="Arabic Transparent" w:hint="cs"/>
          <w:sz w:val="28"/>
          <w:szCs w:val="28"/>
          <w:rtl/>
          <w:lang w:bidi="ar-JO"/>
        </w:rPr>
        <w:t>يأتي</w:t>
      </w:r>
      <w:r w:rsidRPr="00827CC8">
        <w:rPr>
          <w:rFonts w:ascii="Arabic Transparent" w:hAnsi="Arabic Transparent" w:cs="Arabic Transparent" w:hint="cs"/>
          <w:sz w:val="28"/>
          <w:szCs w:val="28"/>
          <w:rtl/>
          <w:lang w:bidi="ar-JO"/>
        </w:rPr>
        <w:t xml:space="preserve">: </w:t>
      </w:r>
    </w:p>
    <w:p w14:paraId="007B218D" w14:textId="77777777" w:rsidR="006C37D5" w:rsidRPr="00827CC8" w:rsidRDefault="006C37D5" w:rsidP="00EB6117">
      <w:pPr>
        <w:numPr>
          <w:ilvl w:val="0"/>
          <w:numId w:val="3"/>
        </w:numPr>
        <w:spacing w:after="0" w:line="360" w:lineRule="auto"/>
        <w:ind w:left="351"/>
        <w:jc w:val="both"/>
        <w:rPr>
          <w:rFonts w:ascii="Arabic Transparent" w:hAnsi="Arabic Transparent" w:cs="Arabic Transparent"/>
          <w:sz w:val="28"/>
          <w:szCs w:val="28"/>
          <w:rtl/>
          <w:lang w:bidi="ar-JO"/>
        </w:rPr>
      </w:pPr>
      <w:r w:rsidRPr="00827CC8">
        <w:rPr>
          <w:rFonts w:ascii="Arabic Transparent" w:hAnsi="Arabic Transparent" w:cs="Arabic Transparent" w:hint="cs"/>
          <w:sz w:val="28"/>
          <w:szCs w:val="28"/>
          <w:rtl/>
          <w:lang w:bidi="ar-JO"/>
        </w:rPr>
        <w:t>بيان حقيقة التفاوت في تحقيق المناط الخاص.</w:t>
      </w:r>
    </w:p>
    <w:p w14:paraId="0EC2E0FD" w14:textId="039ECD72" w:rsidR="006C37D5" w:rsidRPr="00827CC8" w:rsidRDefault="00B93547" w:rsidP="00EB6117">
      <w:pPr>
        <w:numPr>
          <w:ilvl w:val="0"/>
          <w:numId w:val="3"/>
        </w:numPr>
        <w:spacing w:after="0" w:line="360" w:lineRule="auto"/>
        <w:ind w:left="351"/>
        <w:jc w:val="both"/>
        <w:rPr>
          <w:rFonts w:ascii="Arabic Transparent" w:hAnsi="Arabic Transparent" w:cs="Arabic Transparent"/>
          <w:sz w:val="28"/>
          <w:szCs w:val="28"/>
          <w:lang w:bidi="ar-JO"/>
        </w:rPr>
      </w:pPr>
      <w:r>
        <w:rPr>
          <w:rFonts w:ascii="Arabic Transparent" w:hAnsi="Arabic Transparent" w:cs="Arabic Transparent" w:hint="cs"/>
          <w:sz w:val="28"/>
          <w:szCs w:val="28"/>
          <w:rtl/>
          <w:lang w:bidi="ar-JO"/>
        </w:rPr>
        <w:t>توضيح</w:t>
      </w:r>
      <w:r w:rsidR="006C37D5" w:rsidRPr="00827CC8">
        <w:rPr>
          <w:rFonts w:ascii="Arabic Transparent" w:hAnsi="Arabic Transparent" w:cs="Arabic Transparent" w:hint="cs"/>
          <w:sz w:val="28"/>
          <w:szCs w:val="28"/>
          <w:rtl/>
          <w:lang w:bidi="ar-JO"/>
        </w:rPr>
        <w:t xml:space="preserve"> أسباب التفاوت في تحقيق المناط الخاص لدى الأصوليين.</w:t>
      </w:r>
    </w:p>
    <w:p w14:paraId="653DF751" w14:textId="40F35C93" w:rsidR="006C37D5" w:rsidRPr="00827CC8" w:rsidRDefault="009162EA" w:rsidP="00EB6117">
      <w:pPr>
        <w:numPr>
          <w:ilvl w:val="0"/>
          <w:numId w:val="3"/>
        </w:numPr>
        <w:spacing w:after="0" w:line="360" w:lineRule="auto"/>
        <w:ind w:left="351"/>
        <w:jc w:val="both"/>
        <w:rPr>
          <w:rFonts w:ascii="Arabic Transparent" w:hAnsi="Arabic Transparent" w:cs="Arabic Transparent"/>
          <w:sz w:val="32"/>
          <w:szCs w:val="32"/>
          <w:lang w:bidi="ar-JO"/>
        </w:rPr>
      </w:pPr>
      <w:r>
        <w:rPr>
          <w:rFonts w:ascii="Arabic Transparent" w:hAnsi="Arabic Transparent" w:cs="Arabic Transparent" w:hint="cs"/>
          <w:sz w:val="28"/>
          <w:szCs w:val="28"/>
          <w:rtl/>
          <w:lang w:bidi="ar-JO"/>
        </w:rPr>
        <w:t>بيان مراتب التفاوت وتحديد أصول ضبطه في الوقائع والاجتهاد</w:t>
      </w:r>
      <w:r w:rsidR="006C37D5" w:rsidRPr="00827CC8">
        <w:rPr>
          <w:rFonts w:ascii="Arabic Transparent" w:hAnsi="Arabic Transparent" w:cs="Arabic Transparent" w:hint="cs"/>
          <w:sz w:val="32"/>
          <w:szCs w:val="32"/>
          <w:rtl/>
          <w:lang w:bidi="ar-JO"/>
        </w:rPr>
        <w:t>.</w:t>
      </w:r>
    </w:p>
    <w:p w14:paraId="1545C69E" w14:textId="20BAAD4A" w:rsidR="006C37D5" w:rsidRPr="00827CC8" w:rsidRDefault="009162EA" w:rsidP="00EB6117">
      <w:pPr>
        <w:numPr>
          <w:ilvl w:val="0"/>
          <w:numId w:val="3"/>
        </w:numPr>
        <w:spacing w:after="0" w:line="360" w:lineRule="auto"/>
        <w:ind w:left="351"/>
        <w:jc w:val="both"/>
        <w:rPr>
          <w:rFonts w:ascii="Arabic Transparent" w:hAnsi="Arabic Transparent" w:cs="Arabic Transparent"/>
          <w:sz w:val="28"/>
          <w:szCs w:val="28"/>
          <w:lang w:bidi="ar-JO"/>
        </w:rPr>
      </w:pPr>
      <w:r>
        <w:rPr>
          <w:rFonts w:ascii="Arabic Transparent" w:hAnsi="Arabic Transparent" w:cs="Arabic Transparent" w:hint="cs"/>
          <w:sz w:val="28"/>
          <w:szCs w:val="28"/>
          <w:rtl/>
          <w:lang w:bidi="ar-JO"/>
        </w:rPr>
        <w:t>إيراد</w:t>
      </w:r>
      <w:r w:rsidR="006C37D5" w:rsidRPr="00827CC8">
        <w:rPr>
          <w:rFonts w:ascii="Arabic Transparent" w:hAnsi="Arabic Transparent" w:cs="Arabic Transparent" w:hint="cs"/>
          <w:sz w:val="32"/>
          <w:szCs w:val="32"/>
          <w:rtl/>
          <w:lang w:bidi="ar-JO"/>
        </w:rPr>
        <w:t xml:space="preserve"> </w:t>
      </w:r>
      <w:r w:rsidR="006C37D5" w:rsidRPr="00827CC8">
        <w:rPr>
          <w:rFonts w:ascii="Arabic Transparent" w:hAnsi="Arabic Transparent" w:cs="Arabic Transparent" w:hint="cs"/>
          <w:sz w:val="28"/>
          <w:szCs w:val="28"/>
          <w:rtl/>
          <w:lang w:bidi="ar-JO"/>
        </w:rPr>
        <w:t>تطبيقات</w:t>
      </w:r>
      <w:r>
        <w:rPr>
          <w:rFonts w:ascii="Arabic Transparent" w:hAnsi="Arabic Transparent" w:cs="Arabic Transparent" w:hint="cs"/>
          <w:sz w:val="28"/>
          <w:szCs w:val="28"/>
          <w:rtl/>
          <w:lang w:bidi="ar-JO"/>
        </w:rPr>
        <w:t xml:space="preserve"> للتفاوت في</w:t>
      </w:r>
      <w:r w:rsidR="006C37D5" w:rsidRPr="00827CC8">
        <w:rPr>
          <w:rFonts w:ascii="Arabic Transparent" w:hAnsi="Arabic Transparent" w:cs="Arabic Transparent" w:hint="cs"/>
          <w:sz w:val="28"/>
          <w:szCs w:val="28"/>
          <w:rtl/>
          <w:lang w:bidi="ar-JO"/>
        </w:rPr>
        <w:t xml:space="preserve"> تحقيق المناط الخاص في المعاملات المالية المعاصرة</w:t>
      </w:r>
      <w:r w:rsidR="00EB6117">
        <w:rPr>
          <w:rFonts w:ascii="Arabic Transparent" w:hAnsi="Arabic Transparent" w:cs="Arabic Transparent" w:hint="cs"/>
          <w:sz w:val="28"/>
          <w:szCs w:val="28"/>
          <w:rtl/>
          <w:lang w:bidi="ar-JO"/>
        </w:rPr>
        <w:t>.</w:t>
      </w:r>
    </w:p>
    <w:p w14:paraId="4F061443" w14:textId="77777777" w:rsidR="006C37D5" w:rsidRPr="00EB6117" w:rsidRDefault="006C37D5" w:rsidP="006C37D5">
      <w:pPr>
        <w:spacing w:after="0" w:line="360" w:lineRule="auto"/>
        <w:jc w:val="both"/>
        <w:rPr>
          <w:rFonts w:ascii="Arabic Transparent" w:hAnsi="Arabic Transparent" w:cs="Arabic Transparent"/>
          <w:b/>
          <w:bCs/>
          <w:sz w:val="32"/>
          <w:szCs w:val="32"/>
          <w:rtl/>
          <w:lang w:bidi="ar-JO"/>
        </w:rPr>
      </w:pPr>
      <w:r w:rsidRPr="00EB6117">
        <w:rPr>
          <w:rFonts w:ascii="Arabic Transparent" w:hAnsi="Arabic Transparent" w:cs="Arabic Transparent" w:hint="cs"/>
          <w:b/>
          <w:bCs/>
          <w:sz w:val="32"/>
          <w:szCs w:val="32"/>
          <w:rtl/>
          <w:lang w:bidi="ar-JO"/>
        </w:rPr>
        <w:t xml:space="preserve">أهمية الدراسة: </w:t>
      </w:r>
    </w:p>
    <w:p w14:paraId="374428B4" w14:textId="59CF57DA" w:rsidR="006C37D5" w:rsidRPr="00827CC8" w:rsidRDefault="006C37D5" w:rsidP="00D11BDA">
      <w:pPr>
        <w:spacing w:after="0" w:line="360" w:lineRule="auto"/>
        <w:jc w:val="both"/>
        <w:rPr>
          <w:rFonts w:ascii="Arabic Transparent" w:hAnsi="Arabic Transparent" w:cs="Arabic Transparent"/>
          <w:sz w:val="28"/>
          <w:szCs w:val="28"/>
          <w:rtl/>
          <w:lang w:bidi="ar-JO"/>
        </w:rPr>
      </w:pPr>
      <w:r w:rsidRPr="00827CC8">
        <w:rPr>
          <w:rFonts w:ascii="Arabic Transparent" w:hAnsi="Arabic Transparent" w:cs="Arabic Transparent" w:hint="cs"/>
          <w:sz w:val="28"/>
          <w:szCs w:val="28"/>
          <w:rtl/>
          <w:lang w:bidi="ar-JO"/>
        </w:rPr>
        <w:t xml:space="preserve">تظهر أهمية الدراسة بما </w:t>
      </w:r>
      <w:r w:rsidR="00BF1052">
        <w:rPr>
          <w:rFonts w:ascii="Arabic Transparent" w:hAnsi="Arabic Transparent" w:cs="Arabic Transparent" w:hint="cs"/>
          <w:sz w:val="28"/>
          <w:szCs w:val="28"/>
          <w:rtl/>
          <w:lang w:bidi="ar-JO"/>
        </w:rPr>
        <w:t>يأتي</w:t>
      </w:r>
      <w:r w:rsidRPr="00827CC8">
        <w:rPr>
          <w:rFonts w:ascii="Arabic Transparent" w:hAnsi="Arabic Transparent" w:cs="Arabic Transparent" w:hint="cs"/>
          <w:sz w:val="28"/>
          <w:szCs w:val="28"/>
          <w:rtl/>
          <w:lang w:bidi="ar-JO"/>
        </w:rPr>
        <w:t xml:space="preserve">: </w:t>
      </w:r>
    </w:p>
    <w:p w14:paraId="4CDA5D7A" w14:textId="1FCB5039" w:rsidR="006C37D5" w:rsidRPr="00827CC8" w:rsidRDefault="006C37D5" w:rsidP="00EB6117">
      <w:pPr>
        <w:numPr>
          <w:ilvl w:val="0"/>
          <w:numId w:val="7"/>
        </w:numPr>
        <w:spacing w:after="0" w:line="360" w:lineRule="auto"/>
        <w:ind w:left="303"/>
        <w:jc w:val="both"/>
        <w:rPr>
          <w:rFonts w:ascii="Arabic Transparent" w:hAnsi="Arabic Transparent" w:cs="Arabic Transparent"/>
          <w:sz w:val="28"/>
          <w:szCs w:val="28"/>
          <w:lang w:bidi="ar-JO"/>
        </w:rPr>
      </w:pPr>
      <w:r w:rsidRPr="00827CC8">
        <w:rPr>
          <w:rFonts w:ascii="Arabic Transparent" w:hAnsi="Arabic Transparent" w:cs="Arabic Transparent" w:hint="cs"/>
          <w:sz w:val="28"/>
          <w:szCs w:val="28"/>
          <w:rtl/>
          <w:lang w:bidi="ar-JO"/>
        </w:rPr>
        <w:t xml:space="preserve">تبرز أهمية الدراسة في كون تحقيق المناط الخاص من أهم الآليات التي يستخدمها المجتهد لتنزيل الحكم الشرعي على الواقع، </w:t>
      </w:r>
      <w:r w:rsidR="00EB6117">
        <w:rPr>
          <w:rFonts w:ascii="Arabic Transparent" w:hAnsi="Arabic Transparent" w:cs="Arabic Transparent" w:hint="cs"/>
          <w:sz w:val="28"/>
          <w:szCs w:val="28"/>
          <w:rtl/>
          <w:lang w:bidi="ar-JO"/>
        </w:rPr>
        <w:t>تحديداً</w:t>
      </w:r>
      <w:r w:rsidRPr="00827CC8">
        <w:rPr>
          <w:rFonts w:ascii="Arabic Transparent" w:hAnsi="Arabic Transparent" w:cs="Arabic Transparent" w:hint="cs"/>
          <w:sz w:val="28"/>
          <w:szCs w:val="28"/>
          <w:rtl/>
          <w:lang w:bidi="ar-JO"/>
        </w:rPr>
        <w:t xml:space="preserve"> في المسائل التي تتعلق بأشخاص معي</w:t>
      </w:r>
      <w:r w:rsidR="004322E2">
        <w:rPr>
          <w:rFonts w:ascii="Arabic Transparent" w:hAnsi="Arabic Transparent" w:cs="Arabic Transparent" w:hint="cs"/>
          <w:sz w:val="28"/>
          <w:szCs w:val="28"/>
          <w:rtl/>
          <w:lang w:bidi="ar-JO"/>
        </w:rPr>
        <w:t>ّ</w:t>
      </w:r>
      <w:r w:rsidRPr="00827CC8">
        <w:rPr>
          <w:rFonts w:ascii="Arabic Transparent" w:hAnsi="Arabic Transparent" w:cs="Arabic Transparent" w:hint="cs"/>
          <w:sz w:val="28"/>
          <w:szCs w:val="28"/>
          <w:rtl/>
          <w:lang w:bidi="ar-JO"/>
        </w:rPr>
        <w:t>نين أو بظروف خاصة، مما يمنحه بعدًا عمليًا دقيقًا في الفتوى والاجتهاد.</w:t>
      </w:r>
    </w:p>
    <w:p w14:paraId="7040F439" w14:textId="6F4FCAB3" w:rsidR="006C37D5" w:rsidRPr="00827CC8" w:rsidRDefault="006C37D5" w:rsidP="00EB6117">
      <w:pPr>
        <w:numPr>
          <w:ilvl w:val="0"/>
          <w:numId w:val="7"/>
        </w:numPr>
        <w:spacing w:after="0" w:line="360" w:lineRule="auto"/>
        <w:ind w:left="303"/>
        <w:jc w:val="both"/>
        <w:rPr>
          <w:rFonts w:ascii="Arabic Transparent" w:hAnsi="Arabic Transparent" w:cs="Arabic Transparent"/>
          <w:sz w:val="28"/>
          <w:szCs w:val="28"/>
          <w:rtl/>
          <w:lang w:bidi="ar-JO"/>
        </w:rPr>
      </w:pPr>
      <w:r w:rsidRPr="00827CC8">
        <w:rPr>
          <w:rFonts w:ascii="Arabic Transparent" w:hAnsi="Arabic Transparent" w:cs="Arabic Transparent" w:hint="cs"/>
          <w:sz w:val="28"/>
          <w:szCs w:val="28"/>
          <w:rtl/>
          <w:lang w:bidi="ar-JO"/>
        </w:rPr>
        <w:t>حاجة المؤسسات المالية الإسلامية</w:t>
      </w:r>
      <w:r w:rsidR="00AD31D6">
        <w:rPr>
          <w:rFonts w:ascii="Arabic Transparent" w:hAnsi="Arabic Transparent" w:cs="Arabic Transparent" w:hint="cs"/>
          <w:sz w:val="28"/>
          <w:szCs w:val="28"/>
          <w:rtl/>
          <w:lang w:bidi="ar-JO"/>
        </w:rPr>
        <w:t>،</w:t>
      </w:r>
      <w:r w:rsidRPr="00827CC8">
        <w:rPr>
          <w:rFonts w:ascii="Arabic Transparent" w:hAnsi="Arabic Transparent" w:cs="Arabic Transparent" w:hint="cs"/>
          <w:sz w:val="28"/>
          <w:szCs w:val="28"/>
          <w:rtl/>
          <w:lang w:bidi="ar-JO"/>
        </w:rPr>
        <w:t xml:space="preserve"> والهيئات الشرعية </w:t>
      </w:r>
      <w:r w:rsidR="00F37C3F">
        <w:rPr>
          <w:rFonts w:ascii="Arabic Transparent" w:hAnsi="Arabic Transparent" w:cs="Arabic Transparent" w:hint="cs"/>
          <w:sz w:val="28"/>
          <w:szCs w:val="28"/>
          <w:rtl/>
          <w:lang w:bidi="ar-JO"/>
        </w:rPr>
        <w:t>لضبط التفاوت في</w:t>
      </w:r>
      <w:r w:rsidRPr="00827CC8">
        <w:rPr>
          <w:rFonts w:ascii="Arabic Transparent" w:hAnsi="Arabic Transparent" w:cs="Arabic Transparent" w:hint="cs"/>
          <w:sz w:val="28"/>
          <w:szCs w:val="28"/>
          <w:rtl/>
          <w:lang w:bidi="ar-JO"/>
        </w:rPr>
        <w:t xml:space="preserve"> القرارات الفقهية التي تصدرها الهيئات الشرعية في البنوك</w:t>
      </w:r>
      <w:r w:rsidR="00AD31D6">
        <w:rPr>
          <w:rFonts w:ascii="Arabic Transparent" w:hAnsi="Arabic Transparent" w:cs="Arabic Transparent" w:hint="cs"/>
          <w:sz w:val="28"/>
          <w:szCs w:val="28"/>
          <w:rtl/>
          <w:lang w:bidi="ar-JO"/>
        </w:rPr>
        <w:t>،</w:t>
      </w:r>
      <w:r w:rsidRPr="00827CC8">
        <w:rPr>
          <w:rFonts w:ascii="Arabic Transparent" w:hAnsi="Arabic Transparent" w:cs="Arabic Transparent" w:hint="cs"/>
          <w:sz w:val="28"/>
          <w:szCs w:val="28"/>
          <w:rtl/>
          <w:lang w:bidi="ar-JO"/>
        </w:rPr>
        <w:t xml:space="preserve"> والمؤسسات المالية</w:t>
      </w:r>
      <w:r w:rsidR="00D11BDA">
        <w:rPr>
          <w:rFonts w:ascii="Arabic Transparent" w:hAnsi="Arabic Transparent" w:cs="Arabic Transparent" w:hint="cs"/>
          <w:sz w:val="28"/>
          <w:szCs w:val="28"/>
          <w:rtl/>
          <w:lang w:bidi="ar-JO"/>
        </w:rPr>
        <w:t xml:space="preserve">، </w:t>
      </w:r>
      <w:r w:rsidR="00F37C3F">
        <w:rPr>
          <w:rFonts w:ascii="Arabic Transparent" w:hAnsi="Arabic Transparent" w:cs="Arabic Transparent" w:hint="cs"/>
          <w:sz w:val="28"/>
          <w:szCs w:val="28"/>
          <w:rtl/>
          <w:lang w:bidi="ar-JO"/>
        </w:rPr>
        <w:t>فهي تتباين</w:t>
      </w:r>
      <w:r w:rsidRPr="00827CC8">
        <w:rPr>
          <w:rFonts w:ascii="Arabic Transparent" w:hAnsi="Arabic Transparent" w:cs="Arabic Transparent" w:hint="cs"/>
          <w:sz w:val="28"/>
          <w:szCs w:val="28"/>
          <w:rtl/>
          <w:lang w:bidi="ar-JO"/>
        </w:rPr>
        <w:t xml:space="preserve"> </w:t>
      </w:r>
      <w:r w:rsidR="00F37C3F">
        <w:rPr>
          <w:rFonts w:ascii="Arabic Transparent" w:hAnsi="Arabic Transparent" w:cs="Arabic Transparent" w:hint="cs"/>
          <w:sz w:val="28"/>
          <w:szCs w:val="28"/>
          <w:rtl/>
          <w:lang w:bidi="ar-JO"/>
        </w:rPr>
        <w:t>بالاجتهادات</w:t>
      </w:r>
      <w:r w:rsidRPr="00827CC8">
        <w:rPr>
          <w:rFonts w:ascii="Arabic Transparent" w:hAnsi="Arabic Transparent" w:cs="Arabic Transparent" w:hint="cs"/>
          <w:sz w:val="28"/>
          <w:szCs w:val="28"/>
          <w:rtl/>
          <w:lang w:bidi="ar-JO"/>
        </w:rPr>
        <w:t xml:space="preserve"> </w:t>
      </w:r>
      <w:r w:rsidR="00F37C3F">
        <w:rPr>
          <w:rFonts w:ascii="Arabic Transparent" w:hAnsi="Arabic Transparent" w:cs="Arabic Transparent" w:hint="cs"/>
          <w:sz w:val="28"/>
          <w:szCs w:val="28"/>
          <w:rtl/>
          <w:lang w:bidi="ar-JO"/>
        </w:rPr>
        <w:t>ال</w:t>
      </w:r>
      <w:r w:rsidRPr="00827CC8">
        <w:rPr>
          <w:rFonts w:ascii="Arabic Transparent" w:hAnsi="Arabic Transparent" w:cs="Arabic Transparent" w:hint="cs"/>
          <w:sz w:val="28"/>
          <w:szCs w:val="28"/>
          <w:rtl/>
          <w:lang w:bidi="ar-JO"/>
        </w:rPr>
        <w:t xml:space="preserve">ناتجة عن </w:t>
      </w:r>
      <w:r w:rsidR="004322E2">
        <w:rPr>
          <w:rFonts w:ascii="Arabic Transparent" w:hAnsi="Arabic Transparent" w:cs="Arabic Transparent" w:hint="cs"/>
          <w:sz w:val="28"/>
          <w:szCs w:val="28"/>
          <w:rtl/>
          <w:lang w:bidi="ar-JO"/>
        </w:rPr>
        <w:t xml:space="preserve">تباين </w:t>
      </w:r>
      <w:r w:rsidRPr="00827CC8">
        <w:rPr>
          <w:rFonts w:ascii="Arabic Transparent" w:hAnsi="Arabic Transparent" w:cs="Arabic Transparent" w:hint="cs"/>
          <w:sz w:val="28"/>
          <w:szCs w:val="28"/>
          <w:rtl/>
          <w:lang w:bidi="ar-JO"/>
        </w:rPr>
        <w:t xml:space="preserve">تحقيق </w:t>
      </w:r>
      <w:r w:rsidR="00F37C3F">
        <w:rPr>
          <w:rFonts w:ascii="Arabic Transparent" w:hAnsi="Arabic Transparent" w:cs="Arabic Transparent" w:hint="cs"/>
          <w:sz w:val="28"/>
          <w:szCs w:val="28"/>
          <w:rtl/>
          <w:lang w:bidi="ar-JO"/>
        </w:rPr>
        <w:t>ال</w:t>
      </w:r>
      <w:r w:rsidRPr="00827CC8">
        <w:rPr>
          <w:rFonts w:ascii="Arabic Transparent" w:hAnsi="Arabic Transparent" w:cs="Arabic Transparent" w:hint="cs"/>
          <w:sz w:val="28"/>
          <w:szCs w:val="28"/>
          <w:rtl/>
          <w:lang w:bidi="ar-JO"/>
        </w:rPr>
        <w:t>مناط خاص، وهذه الدراسة تساعد في فهم وتقييم تلك الاجتهادات بصورة أعمق.</w:t>
      </w:r>
    </w:p>
    <w:p w14:paraId="06E625EC" w14:textId="77777777" w:rsidR="006C37D5" w:rsidRPr="00AD31D6" w:rsidRDefault="006C37D5" w:rsidP="006C37D5">
      <w:pPr>
        <w:spacing w:after="0" w:line="360" w:lineRule="auto"/>
        <w:jc w:val="both"/>
        <w:rPr>
          <w:rFonts w:ascii="Arabic Transparent" w:hAnsi="Arabic Transparent" w:cs="Arabic Transparent"/>
          <w:b/>
          <w:bCs/>
          <w:sz w:val="32"/>
          <w:szCs w:val="32"/>
          <w:rtl/>
          <w:lang w:bidi="ar-JO"/>
        </w:rPr>
      </w:pPr>
      <w:r w:rsidRPr="00AD31D6">
        <w:rPr>
          <w:rFonts w:ascii="Arabic Transparent" w:hAnsi="Arabic Transparent" w:cs="Arabic Transparent" w:hint="cs"/>
          <w:b/>
          <w:bCs/>
          <w:sz w:val="32"/>
          <w:szCs w:val="32"/>
          <w:rtl/>
          <w:lang w:bidi="ar-JO"/>
        </w:rPr>
        <w:t xml:space="preserve">الدراسات السابقة: </w:t>
      </w:r>
    </w:p>
    <w:p w14:paraId="464981E9" w14:textId="234D1BE8" w:rsidR="006C37D5" w:rsidRDefault="005D7B91" w:rsidP="00AD31D6">
      <w:pPr>
        <w:spacing w:after="0" w:line="360" w:lineRule="auto"/>
        <w:ind w:firstLine="180"/>
        <w:jc w:val="both"/>
        <w:rPr>
          <w:rFonts w:ascii="Arabic Transparent" w:hAnsi="Arabic Transparent" w:cs="Arabic Transparent"/>
          <w:sz w:val="28"/>
          <w:szCs w:val="28"/>
          <w:rtl/>
          <w:lang w:bidi="ar-JO"/>
        </w:rPr>
      </w:pPr>
      <w:r>
        <w:rPr>
          <w:rFonts w:ascii="Arabic Transparent" w:hAnsi="Arabic Transparent" w:cs="Arabic Transparent" w:hint="cs"/>
          <w:sz w:val="28"/>
          <w:szCs w:val="28"/>
          <w:rtl/>
          <w:lang w:bidi="ar-JO"/>
        </w:rPr>
        <w:t xml:space="preserve">     </w:t>
      </w:r>
      <w:r w:rsidR="006C37D5" w:rsidRPr="00827CC8">
        <w:rPr>
          <w:rFonts w:ascii="Arabic Transparent" w:hAnsi="Arabic Transparent" w:cs="Arabic Transparent" w:hint="cs"/>
          <w:sz w:val="28"/>
          <w:szCs w:val="28"/>
          <w:rtl/>
          <w:lang w:bidi="ar-JO"/>
        </w:rPr>
        <w:t>لم تتحدث الدراسات السابقة عن التفاوت في تحقيق المناط الخاص</w:t>
      </w:r>
      <w:r w:rsidR="00E2490C">
        <w:rPr>
          <w:rFonts w:ascii="Arabic Transparent" w:hAnsi="Arabic Transparent" w:cs="Arabic Transparent" w:hint="cs"/>
          <w:sz w:val="28"/>
          <w:szCs w:val="28"/>
          <w:rtl/>
          <w:lang w:bidi="ar-JO"/>
        </w:rPr>
        <w:t>،</w:t>
      </w:r>
      <w:r w:rsidR="006C37D5" w:rsidRPr="00827CC8">
        <w:rPr>
          <w:rFonts w:ascii="Arabic Transparent" w:hAnsi="Arabic Transparent" w:cs="Arabic Transparent" w:hint="cs"/>
          <w:sz w:val="28"/>
          <w:szCs w:val="28"/>
          <w:rtl/>
          <w:lang w:bidi="ar-JO"/>
        </w:rPr>
        <w:t xml:space="preserve"> </w:t>
      </w:r>
      <w:r w:rsidR="00E2490C">
        <w:rPr>
          <w:rFonts w:ascii="Arabic Transparent" w:hAnsi="Arabic Transparent" w:cs="Arabic Transparent" w:hint="cs"/>
          <w:sz w:val="28"/>
          <w:szCs w:val="28"/>
          <w:rtl/>
          <w:lang w:bidi="ar-JO"/>
        </w:rPr>
        <w:t>وأسبابه، وأثره، وتطبيقاته</w:t>
      </w:r>
      <w:r w:rsidR="006C37D5" w:rsidRPr="00827CC8">
        <w:rPr>
          <w:rFonts w:ascii="Arabic Transparent" w:hAnsi="Arabic Transparent" w:cs="Arabic Transparent" w:hint="cs"/>
          <w:sz w:val="28"/>
          <w:szCs w:val="28"/>
          <w:rtl/>
          <w:lang w:bidi="ar-JO"/>
        </w:rPr>
        <w:t xml:space="preserve">؛ كما سيُناقش في جزئيات هذه الدراسة، بالرغم من أن </w:t>
      </w:r>
      <w:r w:rsidR="00E2490C">
        <w:rPr>
          <w:rFonts w:ascii="Arabic Transparent" w:hAnsi="Arabic Transparent" w:cs="Arabic Transparent" w:hint="cs"/>
          <w:sz w:val="28"/>
          <w:szCs w:val="28"/>
          <w:rtl/>
          <w:lang w:bidi="ar-JO"/>
        </w:rPr>
        <w:t>العديد من الدراسات</w:t>
      </w:r>
      <w:r w:rsidR="006C37D5" w:rsidRPr="00827CC8">
        <w:rPr>
          <w:rFonts w:ascii="Arabic Transparent" w:hAnsi="Arabic Transparent" w:cs="Arabic Transparent" w:hint="cs"/>
          <w:sz w:val="28"/>
          <w:szCs w:val="28"/>
          <w:rtl/>
          <w:lang w:bidi="ar-JO"/>
        </w:rPr>
        <w:t xml:space="preserve"> تناولت موضوع تحقيق المناط </w:t>
      </w:r>
      <w:r w:rsidR="00E2490C">
        <w:rPr>
          <w:rFonts w:ascii="Arabic Transparent" w:hAnsi="Arabic Transparent" w:cs="Arabic Transparent" w:hint="cs"/>
          <w:sz w:val="28"/>
          <w:szCs w:val="28"/>
          <w:rtl/>
          <w:lang w:bidi="ar-JO"/>
        </w:rPr>
        <w:t xml:space="preserve">وأقسامه </w:t>
      </w:r>
      <w:r w:rsidR="006C37D5" w:rsidRPr="00827CC8">
        <w:rPr>
          <w:rFonts w:ascii="Arabic Transparent" w:hAnsi="Arabic Transparent" w:cs="Arabic Transparent" w:hint="cs"/>
          <w:sz w:val="28"/>
          <w:szCs w:val="28"/>
          <w:rtl/>
          <w:lang w:bidi="ar-JO"/>
        </w:rPr>
        <w:t>بشكل عام، إلا أن</w:t>
      </w:r>
      <w:r w:rsidR="00E2490C">
        <w:rPr>
          <w:rFonts w:ascii="Arabic Transparent" w:hAnsi="Arabic Transparent" w:cs="Arabic Transparent" w:hint="cs"/>
          <w:sz w:val="28"/>
          <w:szCs w:val="28"/>
          <w:rtl/>
          <w:lang w:bidi="ar-JO"/>
        </w:rPr>
        <w:t xml:space="preserve">َّ جزئية التفاوت وما يتعلق بها </w:t>
      </w:r>
      <w:r w:rsidR="006C37D5" w:rsidRPr="00827CC8">
        <w:rPr>
          <w:rFonts w:ascii="Arabic Transparent" w:hAnsi="Arabic Transparent" w:cs="Arabic Transparent" w:hint="cs"/>
          <w:sz w:val="28"/>
          <w:szCs w:val="28"/>
          <w:rtl/>
          <w:lang w:bidi="ar-JO"/>
        </w:rPr>
        <w:t>لم ت</w:t>
      </w:r>
      <w:r w:rsidR="00E2490C">
        <w:rPr>
          <w:rFonts w:ascii="Arabic Transparent" w:hAnsi="Arabic Transparent" w:cs="Arabic Transparent" w:hint="cs"/>
          <w:sz w:val="28"/>
          <w:szCs w:val="28"/>
          <w:rtl/>
          <w:lang w:bidi="ar-JO"/>
        </w:rPr>
        <w:t>ُ</w:t>
      </w:r>
      <w:r w:rsidR="006C37D5" w:rsidRPr="00827CC8">
        <w:rPr>
          <w:rFonts w:ascii="Arabic Transparent" w:hAnsi="Arabic Transparent" w:cs="Arabic Transparent" w:hint="cs"/>
          <w:sz w:val="28"/>
          <w:szCs w:val="28"/>
          <w:rtl/>
          <w:lang w:bidi="ar-JO"/>
        </w:rPr>
        <w:t xml:space="preserve">فرد بالدراسة والبحث، مما يجعل هذه الدراسة </w:t>
      </w:r>
      <w:r w:rsidR="00E2490C">
        <w:rPr>
          <w:rFonts w:ascii="Arabic Transparent" w:hAnsi="Arabic Transparent" w:cs="Arabic Transparent" w:hint="cs"/>
          <w:sz w:val="28"/>
          <w:szCs w:val="28"/>
          <w:rtl/>
          <w:lang w:bidi="ar-JO"/>
        </w:rPr>
        <w:t>أصيلةً</w:t>
      </w:r>
      <w:r w:rsidR="006C37D5" w:rsidRPr="00827CC8">
        <w:rPr>
          <w:rFonts w:ascii="Arabic Transparent" w:hAnsi="Arabic Transparent" w:cs="Arabic Transparent" w:hint="cs"/>
          <w:sz w:val="28"/>
          <w:szCs w:val="28"/>
          <w:rtl/>
          <w:lang w:bidi="ar-JO"/>
        </w:rPr>
        <w:t xml:space="preserve"> في </w:t>
      </w:r>
      <w:r w:rsidR="00E2490C">
        <w:rPr>
          <w:rFonts w:ascii="Arabic Transparent" w:hAnsi="Arabic Transparent" w:cs="Arabic Transparent" w:hint="cs"/>
          <w:sz w:val="28"/>
          <w:szCs w:val="28"/>
          <w:rtl/>
          <w:lang w:bidi="ar-JO"/>
        </w:rPr>
        <w:t xml:space="preserve">بيان </w:t>
      </w:r>
      <w:r w:rsidR="006C37D5" w:rsidRPr="00827CC8">
        <w:rPr>
          <w:rFonts w:ascii="Arabic Transparent" w:hAnsi="Arabic Transparent" w:cs="Arabic Transparent" w:hint="cs"/>
          <w:sz w:val="28"/>
          <w:szCs w:val="28"/>
          <w:rtl/>
          <w:lang w:bidi="ar-JO"/>
        </w:rPr>
        <w:t xml:space="preserve">هذا الجانب العلمي، ومن الدراسات </w:t>
      </w:r>
      <w:r w:rsidR="00E2490C">
        <w:rPr>
          <w:rFonts w:ascii="Arabic Transparent" w:hAnsi="Arabic Transparent" w:cs="Arabic Transparent" w:hint="cs"/>
          <w:sz w:val="28"/>
          <w:szCs w:val="28"/>
          <w:rtl/>
          <w:lang w:bidi="ar-JO"/>
        </w:rPr>
        <w:t xml:space="preserve">ما </w:t>
      </w:r>
      <w:r w:rsidR="00BF1052">
        <w:rPr>
          <w:rFonts w:ascii="Arabic Transparent" w:hAnsi="Arabic Transparent" w:cs="Arabic Transparent" w:hint="cs"/>
          <w:sz w:val="28"/>
          <w:szCs w:val="28"/>
          <w:rtl/>
          <w:lang w:bidi="ar-JO"/>
        </w:rPr>
        <w:t>يأتي</w:t>
      </w:r>
      <w:r w:rsidR="006C37D5" w:rsidRPr="00827CC8">
        <w:rPr>
          <w:rFonts w:ascii="Arabic Transparent" w:hAnsi="Arabic Transparent" w:cs="Arabic Transparent" w:hint="cs"/>
          <w:sz w:val="28"/>
          <w:szCs w:val="28"/>
          <w:rtl/>
          <w:lang w:bidi="ar-JO"/>
        </w:rPr>
        <w:t>:</w:t>
      </w:r>
    </w:p>
    <w:p w14:paraId="17ACE8AD" w14:textId="340977DF" w:rsidR="00F6240C" w:rsidRDefault="00F6240C" w:rsidP="00D11BDA">
      <w:pPr>
        <w:spacing w:after="0" w:line="360" w:lineRule="auto"/>
        <w:ind w:hanging="1"/>
        <w:jc w:val="both"/>
        <w:rPr>
          <w:rFonts w:ascii="Arabic Transparent" w:hAnsi="Arabic Transparent" w:cs="Arabic Transparent"/>
          <w:sz w:val="28"/>
          <w:szCs w:val="28"/>
          <w:rtl/>
          <w:lang w:bidi="ar-JO"/>
        </w:rPr>
      </w:pPr>
      <w:r>
        <w:rPr>
          <w:rFonts w:ascii="Arabic Transparent" w:hAnsi="Arabic Transparent" w:cs="Arabic Transparent" w:hint="cs"/>
          <w:sz w:val="28"/>
          <w:szCs w:val="28"/>
          <w:rtl/>
          <w:lang w:bidi="ar-JO"/>
        </w:rPr>
        <w:t xml:space="preserve">1- دراسة الشيخ، خديجة، وبراف، دليله، بعنوان: </w:t>
      </w:r>
      <w:r w:rsidR="00264B6F" w:rsidRPr="00264B6F">
        <w:rPr>
          <w:rFonts w:ascii="Arabic Transparent" w:hAnsi="Arabic Transparent" w:cs="Arabic Transparent" w:hint="cs"/>
          <w:b/>
          <w:bCs/>
          <w:sz w:val="28"/>
          <w:szCs w:val="28"/>
          <w:rtl/>
          <w:lang w:bidi="ar-JO"/>
        </w:rPr>
        <w:t>"</w:t>
      </w:r>
      <w:r w:rsidRPr="00264B6F">
        <w:rPr>
          <w:rFonts w:ascii="Arabic Transparent" w:hAnsi="Arabic Transparent" w:cs="Arabic Transparent" w:hint="cs"/>
          <w:b/>
          <w:bCs/>
          <w:sz w:val="28"/>
          <w:szCs w:val="28"/>
          <w:rtl/>
          <w:lang w:bidi="ar-JO"/>
        </w:rPr>
        <w:t>اختلاف المناطات الخاصة وأثرها في تحول المباح عن مقتضاه</w:t>
      </w:r>
      <w:r w:rsidR="00264B6F" w:rsidRPr="00264B6F">
        <w:rPr>
          <w:rFonts w:ascii="Arabic Transparent" w:hAnsi="Arabic Transparent" w:cs="Arabic Transparent" w:hint="cs"/>
          <w:b/>
          <w:bCs/>
          <w:sz w:val="28"/>
          <w:szCs w:val="28"/>
          <w:rtl/>
          <w:lang w:bidi="ar-JO"/>
        </w:rPr>
        <w:t>"</w:t>
      </w:r>
      <w:r>
        <w:rPr>
          <w:rFonts w:ascii="Arabic Transparent" w:hAnsi="Arabic Transparent" w:cs="Arabic Transparent" w:hint="cs"/>
          <w:sz w:val="28"/>
          <w:szCs w:val="28"/>
          <w:rtl/>
          <w:lang w:bidi="ar-JO"/>
        </w:rPr>
        <w:t xml:space="preserve">، بحث محكم ومنشور لدى مجلة البحوث العلمية والدراسات الإسلامية، جامعة الجزائر، </w:t>
      </w:r>
      <w:r w:rsidR="00245785">
        <w:rPr>
          <w:rFonts w:ascii="Arabic Transparent" w:hAnsi="Arabic Transparent" w:cs="Arabic Transparent" w:hint="cs"/>
          <w:sz w:val="28"/>
          <w:szCs w:val="28"/>
          <w:rtl/>
          <w:lang w:bidi="ar-JO"/>
        </w:rPr>
        <w:t xml:space="preserve">م16، ع2، </w:t>
      </w:r>
      <w:r>
        <w:rPr>
          <w:rFonts w:ascii="Arabic Transparent" w:hAnsi="Arabic Transparent" w:cs="Arabic Transparent" w:hint="cs"/>
          <w:sz w:val="28"/>
          <w:szCs w:val="28"/>
          <w:rtl/>
          <w:lang w:bidi="ar-JO"/>
        </w:rPr>
        <w:t xml:space="preserve">(2024)، </w:t>
      </w:r>
      <w:r w:rsidR="002D629D">
        <w:rPr>
          <w:rFonts w:ascii="Arabic Transparent" w:hAnsi="Arabic Transparent" w:cs="Arabic Transparent" w:hint="cs"/>
          <w:sz w:val="28"/>
          <w:szCs w:val="28"/>
          <w:rtl/>
          <w:lang w:bidi="ar-JO"/>
        </w:rPr>
        <w:t>وقامت الباحثتان بتسليط الضوء على صورة تحول المباح عن مقتضاه عملاً بقاعدة تحقيق المناط الخاص، وعرض بعض النماذج التطبيقية</w:t>
      </w:r>
      <w:r w:rsidR="004322E2">
        <w:rPr>
          <w:rFonts w:ascii="Arabic Transparent" w:hAnsi="Arabic Transparent" w:cs="Arabic Transparent" w:hint="cs"/>
          <w:sz w:val="28"/>
          <w:szCs w:val="28"/>
          <w:rtl/>
          <w:lang w:bidi="ar-JO"/>
        </w:rPr>
        <w:t>،</w:t>
      </w:r>
      <w:r w:rsidR="002D629D">
        <w:rPr>
          <w:rFonts w:ascii="Arabic Transparent" w:hAnsi="Arabic Transparent" w:cs="Arabic Transparent" w:hint="cs"/>
          <w:sz w:val="28"/>
          <w:szCs w:val="28"/>
          <w:rtl/>
          <w:lang w:bidi="ar-JO"/>
        </w:rPr>
        <w:t xml:space="preserve"> </w:t>
      </w:r>
      <w:r w:rsidR="002D629D" w:rsidRPr="002D629D">
        <w:rPr>
          <w:rFonts w:ascii="Arabic Transparent" w:hAnsi="Arabic Transparent" w:cs="Arabic Transparent"/>
          <w:sz w:val="28"/>
          <w:szCs w:val="28"/>
          <w:rtl/>
          <w:lang w:bidi="ar-JO"/>
        </w:rPr>
        <w:t>وهو وجه التشابه مع دراستنا الحالية</w:t>
      </w:r>
      <w:r w:rsidR="000F026C">
        <w:rPr>
          <w:rFonts w:ascii="Arabic Transparent" w:hAnsi="Arabic Transparent" w:cs="Arabic Transparent"/>
          <w:sz w:val="28"/>
          <w:szCs w:val="28"/>
          <w:rtl/>
          <w:lang w:bidi="ar-JO"/>
        </w:rPr>
        <w:t xml:space="preserve">، </w:t>
      </w:r>
      <w:r w:rsidR="002D629D" w:rsidRPr="002D629D">
        <w:rPr>
          <w:rFonts w:ascii="Arabic Transparent" w:hAnsi="Arabic Transparent" w:cs="Arabic Transparent"/>
          <w:sz w:val="28"/>
          <w:szCs w:val="28"/>
          <w:rtl/>
          <w:lang w:bidi="ar-JO"/>
        </w:rPr>
        <w:t>وتختلف الدراسة السابقة، من جهة عدم التطرق للتفاوت الحاصل بين العلماء عند تحقيق المناط الخاص، وأسبابه، وآثاره</w:t>
      </w:r>
      <w:r w:rsidR="004322E2">
        <w:rPr>
          <w:rFonts w:ascii="Arabic Transparent" w:hAnsi="Arabic Transparent" w:cs="Arabic Transparent" w:hint="cs"/>
          <w:sz w:val="28"/>
          <w:szCs w:val="28"/>
          <w:rtl/>
          <w:lang w:bidi="ar-JO"/>
        </w:rPr>
        <w:t>،</w:t>
      </w:r>
      <w:r w:rsidR="002B1DA0">
        <w:rPr>
          <w:rFonts w:ascii="Arabic Transparent" w:hAnsi="Arabic Transparent" w:cs="Arabic Transparent" w:hint="cs"/>
          <w:sz w:val="28"/>
          <w:szCs w:val="28"/>
          <w:rtl/>
          <w:lang w:bidi="ar-JO"/>
        </w:rPr>
        <w:t xml:space="preserve"> و</w:t>
      </w:r>
      <w:r w:rsidR="00E2490C">
        <w:rPr>
          <w:rFonts w:ascii="Arabic Transparent" w:hAnsi="Arabic Transparent" w:cs="Arabic Transparent" w:hint="cs"/>
          <w:sz w:val="28"/>
          <w:szCs w:val="28"/>
          <w:rtl/>
          <w:lang w:bidi="ar-JO"/>
        </w:rPr>
        <w:t xml:space="preserve">إنما </w:t>
      </w:r>
      <w:r w:rsidR="002B1DA0">
        <w:rPr>
          <w:rFonts w:ascii="Arabic Transparent" w:hAnsi="Arabic Transparent" w:cs="Arabic Transparent" w:hint="cs"/>
          <w:sz w:val="28"/>
          <w:szCs w:val="28"/>
          <w:rtl/>
          <w:lang w:bidi="ar-JO"/>
        </w:rPr>
        <w:t xml:space="preserve">تتحدث عن أثر تحقيق المناط الخاص بتغيّر الحكم </w:t>
      </w:r>
      <w:r w:rsidR="004322E2">
        <w:rPr>
          <w:rFonts w:ascii="Arabic Transparent" w:hAnsi="Arabic Transparent" w:cs="Arabic Transparent" w:hint="cs"/>
          <w:sz w:val="28"/>
          <w:szCs w:val="28"/>
          <w:rtl/>
          <w:lang w:bidi="ar-JO"/>
        </w:rPr>
        <w:t>من</w:t>
      </w:r>
      <w:r w:rsidR="002B1DA0">
        <w:rPr>
          <w:rFonts w:ascii="Arabic Transparent" w:hAnsi="Arabic Transparent" w:cs="Arabic Transparent" w:hint="cs"/>
          <w:sz w:val="28"/>
          <w:szCs w:val="28"/>
          <w:rtl/>
          <w:lang w:bidi="ar-JO"/>
        </w:rPr>
        <w:t xml:space="preserve"> الإباحة الأصلية إلى حكم جديد.</w:t>
      </w:r>
    </w:p>
    <w:p w14:paraId="39A830D3" w14:textId="1C2C1CA4" w:rsidR="002B1DA0" w:rsidRDefault="00F6240C" w:rsidP="00264B6F">
      <w:pPr>
        <w:spacing w:after="0" w:line="360" w:lineRule="auto"/>
        <w:jc w:val="both"/>
        <w:rPr>
          <w:rFonts w:ascii="Arabic Transparent" w:hAnsi="Arabic Transparent" w:cs="Arabic Transparent"/>
          <w:sz w:val="28"/>
          <w:szCs w:val="28"/>
          <w:rtl/>
          <w:lang w:bidi="ar-JO"/>
        </w:rPr>
      </w:pPr>
      <w:r>
        <w:rPr>
          <w:rFonts w:ascii="Arabic Transparent" w:hAnsi="Arabic Transparent" w:cs="Arabic Transparent" w:hint="cs"/>
          <w:sz w:val="28"/>
          <w:szCs w:val="28"/>
          <w:rtl/>
          <w:lang w:bidi="ar-JO"/>
        </w:rPr>
        <w:lastRenderedPageBreak/>
        <w:t>2</w:t>
      </w:r>
      <w:r w:rsidR="004D6B1C">
        <w:rPr>
          <w:rFonts w:ascii="Arabic Transparent" w:hAnsi="Arabic Transparent" w:cs="Arabic Transparent" w:hint="cs"/>
          <w:sz w:val="28"/>
          <w:szCs w:val="28"/>
          <w:rtl/>
          <w:lang w:bidi="ar-JO"/>
        </w:rPr>
        <w:t xml:space="preserve">- </w:t>
      </w:r>
      <w:r w:rsidR="006C37D5" w:rsidRPr="00827CC8">
        <w:rPr>
          <w:rFonts w:ascii="Arabic Transparent" w:hAnsi="Arabic Transparent" w:cs="Arabic Transparent" w:hint="cs"/>
          <w:sz w:val="28"/>
          <w:szCs w:val="28"/>
          <w:rtl/>
          <w:lang w:bidi="ar-JO"/>
        </w:rPr>
        <w:t>دراسة أبو طالب، عمر بن علي، بعنوان: "</w:t>
      </w:r>
      <w:r w:rsidR="006C37D5" w:rsidRPr="00264B6F">
        <w:rPr>
          <w:rFonts w:ascii="Arabic Transparent" w:hAnsi="Arabic Transparent" w:cs="Arabic Transparent" w:hint="cs"/>
          <w:b/>
          <w:bCs/>
          <w:sz w:val="28"/>
          <w:szCs w:val="28"/>
          <w:rtl/>
          <w:lang w:bidi="ar-JO"/>
        </w:rPr>
        <w:t>مناط الحكم الشرعي عند الغزالي والشاطبي</w:t>
      </w:r>
      <w:r w:rsidR="006C37D5" w:rsidRPr="004322E2">
        <w:rPr>
          <w:rFonts w:ascii="Arabic Transparent" w:hAnsi="Arabic Transparent" w:cs="Arabic Transparent" w:hint="cs"/>
          <w:sz w:val="28"/>
          <w:szCs w:val="28"/>
          <w:rtl/>
          <w:lang w:bidi="ar-JO"/>
        </w:rPr>
        <w:t>"</w:t>
      </w:r>
      <w:r w:rsidR="006C37D5" w:rsidRPr="00827CC8">
        <w:rPr>
          <w:rFonts w:ascii="Arabic Transparent" w:hAnsi="Arabic Transparent" w:cs="Arabic Transparent" w:hint="cs"/>
          <w:sz w:val="28"/>
          <w:szCs w:val="28"/>
          <w:rtl/>
          <w:lang w:bidi="ar-JO"/>
        </w:rPr>
        <w:t xml:space="preserve">، </w:t>
      </w:r>
      <w:r w:rsidR="00657ADF">
        <w:rPr>
          <w:rFonts w:ascii="Arabic Transparent" w:hAnsi="Arabic Transparent" w:cs="Arabic Transparent" w:hint="cs"/>
          <w:sz w:val="28"/>
          <w:szCs w:val="28"/>
          <w:rtl/>
          <w:lang w:bidi="ar-JO"/>
        </w:rPr>
        <w:t xml:space="preserve">وهو </w:t>
      </w:r>
      <w:r w:rsidR="00657ADF" w:rsidRPr="00657ADF">
        <w:rPr>
          <w:rFonts w:ascii="Arabic Transparent" w:hAnsi="Arabic Transparent" w:cs="Arabic Transparent"/>
          <w:sz w:val="28"/>
          <w:szCs w:val="28"/>
          <w:rtl/>
          <w:lang w:bidi="ar-JO"/>
        </w:rPr>
        <w:t xml:space="preserve">بحث علمي محكم </w:t>
      </w:r>
      <w:r w:rsidR="006C37D5" w:rsidRPr="00827CC8">
        <w:rPr>
          <w:rFonts w:ascii="Arabic Transparent" w:hAnsi="Arabic Transparent" w:cs="Arabic Transparent" w:hint="cs"/>
          <w:sz w:val="28"/>
          <w:szCs w:val="28"/>
          <w:rtl/>
          <w:lang w:bidi="ar-JO"/>
        </w:rPr>
        <w:t>م</w:t>
      </w:r>
      <w:r w:rsidR="00F37C3F">
        <w:rPr>
          <w:rFonts w:ascii="Arabic Transparent" w:hAnsi="Arabic Transparent" w:cs="Arabic Transparent" w:hint="cs"/>
          <w:sz w:val="28"/>
          <w:szCs w:val="28"/>
          <w:rtl/>
          <w:lang w:bidi="ar-JO"/>
        </w:rPr>
        <w:t xml:space="preserve">نشور في مجلة </w:t>
      </w:r>
      <w:r w:rsidR="006C37D5" w:rsidRPr="00827CC8">
        <w:rPr>
          <w:rFonts w:ascii="Arabic Transparent" w:hAnsi="Arabic Transparent" w:cs="Arabic Transparent" w:hint="cs"/>
          <w:sz w:val="28"/>
          <w:szCs w:val="28"/>
          <w:rtl/>
          <w:lang w:bidi="ar-JO"/>
        </w:rPr>
        <w:t>العلوم الشرعية</w:t>
      </w:r>
      <w:r w:rsidR="00657ADF">
        <w:rPr>
          <w:rFonts w:ascii="Arabic Transparent" w:hAnsi="Arabic Transparent" w:cs="Arabic Transparent" w:hint="cs"/>
          <w:sz w:val="28"/>
          <w:szCs w:val="28"/>
          <w:rtl/>
          <w:lang w:bidi="ar-JO"/>
        </w:rPr>
        <w:t>،</w:t>
      </w:r>
      <w:r w:rsidR="006C37D5" w:rsidRPr="00827CC8">
        <w:rPr>
          <w:rFonts w:ascii="Arabic Transparent" w:hAnsi="Arabic Transparent" w:cs="Arabic Transparent" w:hint="cs"/>
          <w:sz w:val="28"/>
          <w:szCs w:val="28"/>
          <w:rtl/>
          <w:lang w:bidi="ar-JO"/>
        </w:rPr>
        <w:t xml:space="preserve"> جامعة القصيم،</w:t>
      </w:r>
      <w:r w:rsidR="00245785">
        <w:rPr>
          <w:rFonts w:ascii="Arabic Transparent" w:hAnsi="Arabic Transparent" w:cs="Arabic Transparent" w:hint="cs"/>
          <w:sz w:val="28"/>
          <w:szCs w:val="28"/>
          <w:rtl/>
          <w:lang w:bidi="ar-JO"/>
        </w:rPr>
        <w:t xml:space="preserve"> </w:t>
      </w:r>
      <w:r w:rsidR="00E2490C">
        <w:rPr>
          <w:rFonts w:ascii="Arabic Transparent" w:hAnsi="Arabic Transparent" w:cs="Arabic Transparent" w:hint="cs"/>
          <w:sz w:val="28"/>
          <w:szCs w:val="28"/>
          <w:rtl/>
          <w:lang w:bidi="ar-JO"/>
        </w:rPr>
        <w:t xml:space="preserve">السعودية، </w:t>
      </w:r>
      <w:r w:rsidR="00245785">
        <w:rPr>
          <w:rFonts w:ascii="Arabic Transparent" w:hAnsi="Arabic Transparent" w:cs="Arabic Transparent" w:hint="cs"/>
          <w:sz w:val="28"/>
          <w:szCs w:val="28"/>
          <w:rtl/>
          <w:lang w:bidi="ar-JO"/>
        </w:rPr>
        <w:t>م16، ع1،</w:t>
      </w:r>
      <w:r w:rsidR="00657ADF">
        <w:rPr>
          <w:rFonts w:ascii="Arabic Transparent" w:hAnsi="Arabic Transparent" w:cs="Arabic Transparent" w:hint="cs"/>
          <w:sz w:val="28"/>
          <w:szCs w:val="28"/>
          <w:rtl/>
          <w:lang w:bidi="ar-JO"/>
        </w:rPr>
        <w:t>(</w:t>
      </w:r>
      <w:r w:rsidR="006C37D5" w:rsidRPr="00827CC8">
        <w:rPr>
          <w:rFonts w:ascii="Arabic Transparent" w:hAnsi="Arabic Transparent" w:cs="Arabic Transparent" w:hint="cs"/>
          <w:sz w:val="28"/>
          <w:szCs w:val="28"/>
          <w:rtl/>
          <w:lang w:bidi="ar-JO"/>
        </w:rPr>
        <w:t>2022</w:t>
      </w:r>
      <w:r w:rsidR="00657ADF">
        <w:rPr>
          <w:rFonts w:ascii="Arabic Transparent" w:hAnsi="Arabic Transparent" w:cs="Arabic Transparent" w:hint="cs"/>
          <w:sz w:val="28"/>
          <w:szCs w:val="28"/>
          <w:rtl/>
          <w:lang w:bidi="ar-JO"/>
        </w:rPr>
        <w:t>)</w:t>
      </w:r>
      <w:r w:rsidR="006C37D5" w:rsidRPr="00827CC8">
        <w:rPr>
          <w:rFonts w:ascii="Arabic Transparent" w:hAnsi="Arabic Transparent" w:cs="Arabic Transparent" w:hint="cs"/>
          <w:sz w:val="28"/>
          <w:szCs w:val="28"/>
          <w:rtl/>
          <w:lang w:bidi="ar-JO"/>
        </w:rPr>
        <w:t>، وقد بيّن الباحث دور الغزالي في تأصيل مناط الحكم</w:t>
      </w:r>
      <w:r w:rsidR="004322E2">
        <w:rPr>
          <w:rFonts w:ascii="Arabic Transparent" w:hAnsi="Arabic Transparent" w:cs="Arabic Transparent" w:hint="cs"/>
          <w:sz w:val="28"/>
          <w:szCs w:val="28"/>
          <w:rtl/>
          <w:lang w:bidi="ar-JO"/>
        </w:rPr>
        <w:t>،</w:t>
      </w:r>
      <w:r w:rsidR="006C37D5" w:rsidRPr="00827CC8">
        <w:rPr>
          <w:rFonts w:ascii="Arabic Transparent" w:hAnsi="Arabic Transparent" w:cs="Arabic Transparent" w:hint="cs"/>
          <w:sz w:val="28"/>
          <w:szCs w:val="28"/>
          <w:rtl/>
          <w:lang w:bidi="ar-JO"/>
        </w:rPr>
        <w:t xml:space="preserve"> ودور الشاطبي في التطوير عليه والتأصيل الأصولي لتحقيق المناط الخاص</w:t>
      </w:r>
      <w:r w:rsidR="00F40859">
        <w:rPr>
          <w:rFonts w:ascii="Arabic Transparent" w:hAnsi="Arabic Transparent" w:cs="Arabic Transparent" w:hint="cs"/>
          <w:sz w:val="28"/>
          <w:szCs w:val="28"/>
          <w:rtl/>
          <w:lang w:bidi="ar-JO"/>
        </w:rPr>
        <w:t>،</w:t>
      </w:r>
      <w:r w:rsidR="006C37D5" w:rsidRPr="00827CC8">
        <w:rPr>
          <w:rFonts w:ascii="Arabic Transparent" w:hAnsi="Arabic Transparent" w:cs="Arabic Transparent" w:hint="cs"/>
          <w:sz w:val="28"/>
          <w:szCs w:val="28"/>
          <w:rtl/>
          <w:lang w:bidi="ar-JO"/>
        </w:rPr>
        <w:t xml:space="preserve"> حيث </w:t>
      </w:r>
      <w:r w:rsidR="00F40859">
        <w:rPr>
          <w:rFonts w:ascii="Arabic Transparent" w:hAnsi="Arabic Transparent" w:cs="Arabic Transparent" w:hint="cs"/>
          <w:sz w:val="28"/>
          <w:szCs w:val="28"/>
          <w:rtl/>
          <w:lang w:bidi="ar-JO"/>
        </w:rPr>
        <w:t>قام</w:t>
      </w:r>
      <w:r w:rsidR="006C37D5" w:rsidRPr="00827CC8">
        <w:rPr>
          <w:rFonts w:ascii="Arabic Transparent" w:hAnsi="Arabic Transparent" w:cs="Arabic Transparent" w:hint="cs"/>
          <w:sz w:val="28"/>
          <w:szCs w:val="28"/>
          <w:rtl/>
          <w:lang w:bidi="ar-JO"/>
        </w:rPr>
        <w:t xml:space="preserve"> الباحث </w:t>
      </w:r>
      <w:r w:rsidR="00F40859">
        <w:rPr>
          <w:rFonts w:ascii="Arabic Transparent" w:hAnsi="Arabic Transparent" w:cs="Arabic Transparent" w:hint="cs"/>
          <w:sz w:val="28"/>
          <w:szCs w:val="28"/>
          <w:rtl/>
          <w:lang w:bidi="ar-JO"/>
        </w:rPr>
        <w:t>ب</w:t>
      </w:r>
      <w:r w:rsidR="006C37D5" w:rsidRPr="00827CC8">
        <w:rPr>
          <w:rFonts w:ascii="Arabic Transparent" w:hAnsi="Arabic Transparent" w:cs="Arabic Transparent" w:hint="cs"/>
          <w:sz w:val="28"/>
          <w:szCs w:val="28"/>
          <w:rtl/>
          <w:lang w:bidi="ar-JO"/>
        </w:rPr>
        <w:t xml:space="preserve">استقراء </w:t>
      </w:r>
      <w:r w:rsidR="00F40859">
        <w:rPr>
          <w:rFonts w:ascii="Arabic Transparent" w:hAnsi="Arabic Transparent" w:cs="Arabic Transparent" w:hint="cs"/>
          <w:sz w:val="28"/>
          <w:szCs w:val="28"/>
          <w:rtl/>
          <w:lang w:bidi="ar-JO"/>
        </w:rPr>
        <w:t>ا</w:t>
      </w:r>
      <w:r w:rsidR="006C37D5" w:rsidRPr="00827CC8">
        <w:rPr>
          <w:rFonts w:ascii="Arabic Transparent" w:hAnsi="Arabic Transparent" w:cs="Arabic Transparent" w:hint="cs"/>
          <w:sz w:val="28"/>
          <w:szCs w:val="28"/>
          <w:rtl/>
          <w:lang w:bidi="ar-JO"/>
        </w:rPr>
        <w:t>لمنهج الأصولي الذي خطه العلماء الأجلاء في الحديث عن المناط</w:t>
      </w:r>
      <w:r w:rsidR="00F40859">
        <w:rPr>
          <w:rFonts w:ascii="Arabic Transparent" w:hAnsi="Arabic Transparent" w:cs="Arabic Transparent" w:hint="cs"/>
          <w:sz w:val="28"/>
          <w:szCs w:val="28"/>
          <w:rtl/>
          <w:lang w:bidi="ar-JO"/>
        </w:rPr>
        <w:t xml:space="preserve"> الخاص</w:t>
      </w:r>
      <w:r w:rsidR="006C37D5" w:rsidRPr="00827CC8">
        <w:rPr>
          <w:rFonts w:ascii="Arabic Transparent" w:hAnsi="Arabic Transparent" w:cs="Arabic Transparent" w:hint="cs"/>
          <w:sz w:val="28"/>
          <w:szCs w:val="28"/>
          <w:rtl/>
          <w:lang w:bidi="ar-JO"/>
        </w:rPr>
        <w:t xml:space="preserve"> والمراحل التي يمر بها</w:t>
      </w:r>
      <w:r w:rsidR="00F40859">
        <w:rPr>
          <w:rFonts w:ascii="Arabic Transparent" w:hAnsi="Arabic Transparent" w:cs="Arabic Transparent" w:hint="cs"/>
          <w:sz w:val="28"/>
          <w:szCs w:val="28"/>
          <w:rtl/>
          <w:lang w:bidi="ar-JO"/>
        </w:rPr>
        <w:t xml:space="preserve">، </w:t>
      </w:r>
      <w:r w:rsidR="00F40859" w:rsidRPr="00F40859">
        <w:rPr>
          <w:rFonts w:ascii="Arabic Transparent" w:hAnsi="Arabic Transparent" w:cs="Arabic Transparent"/>
          <w:sz w:val="28"/>
          <w:szCs w:val="28"/>
          <w:rtl/>
          <w:lang w:bidi="ar-JO"/>
        </w:rPr>
        <w:t>وهو وجه التشابه مع دراستنا الحالية</w:t>
      </w:r>
      <w:r w:rsidR="000F026C">
        <w:rPr>
          <w:rFonts w:ascii="Arabic Transparent" w:hAnsi="Arabic Transparent" w:cs="Arabic Transparent" w:hint="cs"/>
          <w:sz w:val="28"/>
          <w:szCs w:val="28"/>
          <w:rtl/>
          <w:lang w:bidi="ar-JO"/>
        </w:rPr>
        <w:t xml:space="preserve">، </w:t>
      </w:r>
      <w:r w:rsidR="006C37D5" w:rsidRPr="00827CC8">
        <w:rPr>
          <w:rFonts w:ascii="Arabic Transparent" w:hAnsi="Arabic Transparent" w:cs="Arabic Transparent" w:hint="cs"/>
          <w:sz w:val="28"/>
          <w:szCs w:val="28"/>
          <w:rtl/>
          <w:lang w:bidi="ar-JO"/>
        </w:rPr>
        <w:t>وتختلف الدراسة</w:t>
      </w:r>
      <w:r w:rsidR="00F40859">
        <w:rPr>
          <w:rFonts w:ascii="Arabic Transparent" w:hAnsi="Arabic Transparent" w:cs="Arabic Transparent" w:hint="cs"/>
          <w:sz w:val="28"/>
          <w:szCs w:val="28"/>
          <w:rtl/>
          <w:lang w:bidi="ar-JO"/>
        </w:rPr>
        <w:t xml:space="preserve"> السابقة</w:t>
      </w:r>
      <w:r w:rsidR="006C37D5" w:rsidRPr="00827CC8">
        <w:rPr>
          <w:rFonts w:ascii="Arabic Transparent" w:hAnsi="Arabic Transparent" w:cs="Arabic Transparent" w:hint="cs"/>
          <w:sz w:val="28"/>
          <w:szCs w:val="28"/>
          <w:rtl/>
          <w:lang w:bidi="ar-JO"/>
        </w:rPr>
        <w:t xml:space="preserve">، </w:t>
      </w:r>
      <w:r w:rsidR="00F40859">
        <w:rPr>
          <w:rFonts w:ascii="Arabic Transparent" w:hAnsi="Arabic Transparent" w:cs="Arabic Transparent" w:hint="cs"/>
          <w:sz w:val="28"/>
          <w:szCs w:val="28"/>
          <w:rtl/>
          <w:lang w:bidi="ar-JO"/>
        </w:rPr>
        <w:t>من جهة عدم التطرق للتفاوت الحاصل بين العلماء عند تحقيق المناط الخاص، وأسبابه، وآثاره والأمثلة التي ترد عليه.</w:t>
      </w:r>
    </w:p>
    <w:p w14:paraId="4D4E4944" w14:textId="1440A873" w:rsidR="000013DC" w:rsidRPr="00827CC8" w:rsidRDefault="000013DC" w:rsidP="00264B6F">
      <w:pPr>
        <w:spacing w:after="0" w:line="360" w:lineRule="auto"/>
        <w:jc w:val="both"/>
        <w:rPr>
          <w:rFonts w:ascii="Arabic Transparent" w:hAnsi="Arabic Transparent" w:cs="Arabic Transparent"/>
          <w:sz w:val="28"/>
          <w:szCs w:val="28"/>
          <w:lang w:bidi="ar-JO"/>
        </w:rPr>
      </w:pPr>
      <w:r>
        <w:rPr>
          <w:rFonts w:ascii="Arabic Transparent" w:hAnsi="Arabic Transparent" w:cs="Arabic Transparent" w:hint="cs"/>
          <w:sz w:val="28"/>
          <w:szCs w:val="28"/>
          <w:rtl/>
          <w:lang w:bidi="ar-JO"/>
        </w:rPr>
        <w:t xml:space="preserve">3- </w:t>
      </w:r>
      <w:r w:rsidR="00657ADF">
        <w:rPr>
          <w:rFonts w:ascii="Arabic Transparent" w:hAnsi="Arabic Transparent" w:cs="Arabic Transparent" w:hint="cs"/>
          <w:sz w:val="28"/>
          <w:szCs w:val="28"/>
          <w:rtl/>
          <w:lang w:bidi="ar-JO"/>
        </w:rPr>
        <w:t xml:space="preserve">دراسة </w:t>
      </w:r>
      <w:r w:rsidRPr="000013DC">
        <w:rPr>
          <w:rFonts w:ascii="Arabic Transparent" w:hAnsi="Arabic Transparent" w:cs="Arabic Transparent"/>
          <w:sz w:val="28"/>
          <w:szCs w:val="28"/>
          <w:rtl/>
          <w:lang w:bidi="ar-JO"/>
        </w:rPr>
        <w:t>المحمد، خلف محمد،</w:t>
      </w:r>
      <w:r w:rsidR="00657ADF">
        <w:rPr>
          <w:rFonts w:ascii="Arabic Transparent" w:hAnsi="Arabic Transparent" w:cs="Arabic Transparent" w:hint="cs"/>
          <w:sz w:val="28"/>
          <w:szCs w:val="28"/>
          <w:rtl/>
          <w:lang w:bidi="ar-JO"/>
        </w:rPr>
        <w:t xml:space="preserve"> بعنوان:</w:t>
      </w:r>
      <w:r w:rsidRPr="000013DC">
        <w:rPr>
          <w:rFonts w:ascii="Arabic Transparent" w:hAnsi="Arabic Transparent" w:cs="Arabic Transparent"/>
          <w:sz w:val="28"/>
          <w:szCs w:val="28"/>
          <w:rtl/>
          <w:lang w:bidi="ar-JO"/>
        </w:rPr>
        <w:t xml:space="preserve"> </w:t>
      </w:r>
      <w:r w:rsidR="00264B6F" w:rsidRPr="004322E2">
        <w:rPr>
          <w:rFonts w:ascii="Arabic Transparent" w:hAnsi="Arabic Transparent" w:cs="Arabic Transparent" w:hint="cs"/>
          <w:sz w:val="28"/>
          <w:szCs w:val="28"/>
          <w:rtl/>
          <w:lang w:bidi="ar-JO"/>
        </w:rPr>
        <w:t>"</w:t>
      </w:r>
      <w:r w:rsidRPr="00264B6F">
        <w:rPr>
          <w:rFonts w:ascii="Arabic Transparent" w:hAnsi="Arabic Transparent" w:cs="Arabic Transparent"/>
          <w:b/>
          <w:bCs/>
          <w:sz w:val="28"/>
          <w:szCs w:val="28"/>
          <w:rtl/>
          <w:lang w:bidi="ar-JO"/>
        </w:rPr>
        <w:t>تحقيق المناط الخاص وأثره في تنزيل الحكم الشرعي على محله</w:t>
      </w:r>
      <w:r w:rsidR="00264B6F" w:rsidRPr="004322E2">
        <w:rPr>
          <w:rFonts w:ascii="Arabic Transparent" w:hAnsi="Arabic Transparent" w:cs="Arabic Transparent" w:hint="cs"/>
          <w:sz w:val="28"/>
          <w:szCs w:val="28"/>
          <w:rtl/>
          <w:lang w:bidi="ar-JO"/>
        </w:rPr>
        <w:t>"</w:t>
      </w:r>
      <w:r w:rsidRPr="00264B6F">
        <w:rPr>
          <w:rFonts w:ascii="Arabic Transparent" w:hAnsi="Arabic Transparent" w:cs="Arabic Transparent"/>
          <w:b/>
          <w:bCs/>
          <w:sz w:val="28"/>
          <w:szCs w:val="28"/>
          <w:rtl/>
          <w:lang w:bidi="ar-JO"/>
        </w:rPr>
        <w:t>،</w:t>
      </w:r>
      <w:r w:rsidRPr="000013DC">
        <w:rPr>
          <w:rFonts w:ascii="Arabic Transparent" w:hAnsi="Arabic Transparent" w:cs="Arabic Transparent"/>
          <w:sz w:val="28"/>
          <w:szCs w:val="28"/>
          <w:rtl/>
          <w:lang w:bidi="ar-JO"/>
        </w:rPr>
        <w:t xml:space="preserve"> </w:t>
      </w:r>
      <w:r w:rsidR="00FB4059">
        <w:rPr>
          <w:rFonts w:ascii="Arabic Transparent" w:hAnsi="Arabic Transparent" w:cs="Arabic Transparent" w:hint="cs"/>
          <w:sz w:val="28"/>
          <w:szCs w:val="28"/>
          <w:rtl/>
          <w:lang w:bidi="ar-JO"/>
        </w:rPr>
        <w:t xml:space="preserve">بحكم محكم منشور في </w:t>
      </w:r>
      <w:r w:rsidRPr="000013DC">
        <w:rPr>
          <w:rFonts w:ascii="Arabic Transparent" w:hAnsi="Arabic Transparent" w:cs="Arabic Transparent"/>
          <w:sz w:val="28"/>
          <w:szCs w:val="28"/>
          <w:rtl/>
          <w:lang w:bidi="ar-JO"/>
        </w:rPr>
        <w:t>مجلة كلية الشريعة والقانون بطنطا</w:t>
      </w:r>
      <w:r w:rsidR="00FB4059">
        <w:rPr>
          <w:rFonts w:ascii="Arabic Transparent" w:hAnsi="Arabic Transparent" w:cs="Arabic Transparent" w:hint="cs"/>
          <w:sz w:val="28"/>
          <w:szCs w:val="28"/>
          <w:rtl/>
          <w:lang w:bidi="ar-JO"/>
        </w:rPr>
        <w:t>، جامعة الأزهر، مصر</w:t>
      </w:r>
      <w:r w:rsidRPr="000013DC">
        <w:rPr>
          <w:rFonts w:ascii="Arabic Transparent" w:hAnsi="Arabic Transparent" w:cs="Arabic Transparent"/>
          <w:sz w:val="28"/>
          <w:szCs w:val="28"/>
          <w:rtl/>
          <w:lang w:bidi="ar-JO"/>
        </w:rPr>
        <w:t>،</w:t>
      </w:r>
      <w:r w:rsidR="00FB4059">
        <w:rPr>
          <w:rFonts w:ascii="Arabic Transparent" w:hAnsi="Arabic Transparent" w:cs="Arabic Transparent" w:hint="cs"/>
          <w:sz w:val="28"/>
          <w:szCs w:val="28"/>
          <w:rtl/>
          <w:lang w:bidi="ar-JO"/>
        </w:rPr>
        <w:t xml:space="preserve"> </w:t>
      </w:r>
      <w:r w:rsidRPr="000013DC">
        <w:rPr>
          <w:rFonts w:ascii="Arabic Transparent" w:hAnsi="Arabic Transparent" w:cs="Arabic Transparent"/>
          <w:sz w:val="28"/>
          <w:szCs w:val="28"/>
          <w:rtl/>
          <w:lang w:bidi="ar-JO"/>
        </w:rPr>
        <w:t>ع25،</w:t>
      </w:r>
      <w:r w:rsidR="00FB4059">
        <w:rPr>
          <w:rFonts w:ascii="Arabic Transparent" w:hAnsi="Arabic Transparent" w:cs="Arabic Transparent" w:hint="cs"/>
          <w:sz w:val="28"/>
          <w:szCs w:val="28"/>
          <w:rtl/>
          <w:lang w:bidi="ar-JO"/>
        </w:rPr>
        <w:t xml:space="preserve"> (2010)،</w:t>
      </w:r>
      <w:r w:rsidR="007F42AC">
        <w:rPr>
          <w:rFonts w:ascii="Arabic Transparent" w:hAnsi="Arabic Transparent" w:cs="Arabic Transparent" w:hint="cs"/>
          <w:sz w:val="28"/>
          <w:szCs w:val="28"/>
          <w:rtl/>
          <w:lang w:bidi="ar-JO"/>
        </w:rPr>
        <w:t xml:space="preserve"> تناول الباحث في هذه الدراسة حقيقة تحقيق المناط الخاص وأثره العملي في تنزيل الأحكام الشرعية على الوقائع والأشخاص، مبيناً أن الاجتهاد لا يكتمل بمجرد استنباط الحكم من دليله، بل لابد من تحقيق مناطه في الواقع</w:t>
      </w:r>
      <w:r w:rsidR="004322E2">
        <w:rPr>
          <w:rFonts w:ascii="Arabic Transparent" w:hAnsi="Arabic Transparent" w:cs="Arabic Transparent" w:hint="cs"/>
          <w:sz w:val="28"/>
          <w:szCs w:val="28"/>
          <w:rtl/>
          <w:lang w:bidi="ar-JO"/>
        </w:rPr>
        <w:t>؛</w:t>
      </w:r>
      <w:r w:rsidR="007F42AC">
        <w:rPr>
          <w:rFonts w:ascii="Arabic Transparent" w:hAnsi="Arabic Transparent" w:cs="Arabic Transparent" w:hint="cs"/>
          <w:sz w:val="28"/>
          <w:szCs w:val="28"/>
          <w:rtl/>
          <w:lang w:bidi="ar-JO"/>
        </w:rPr>
        <w:t xml:space="preserve"> ليحقق الحكم مقاصده ويبتعد عن المفاسد، وأما </w:t>
      </w:r>
      <w:r w:rsidR="005C0CA2">
        <w:rPr>
          <w:rFonts w:ascii="Arabic Transparent" w:hAnsi="Arabic Transparent" w:cs="Arabic Transparent" w:hint="cs"/>
          <w:sz w:val="28"/>
          <w:szCs w:val="28"/>
          <w:rtl/>
          <w:lang w:bidi="ar-JO"/>
        </w:rPr>
        <w:t>ذكره ل</w:t>
      </w:r>
      <w:r w:rsidR="007F42AC">
        <w:rPr>
          <w:rFonts w:ascii="Arabic Transparent" w:hAnsi="Arabic Transparent" w:cs="Arabic Transparent" w:hint="cs"/>
          <w:sz w:val="28"/>
          <w:szCs w:val="28"/>
          <w:rtl/>
          <w:lang w:bidi="ar-JO"/>
        </w:rPr>
        <w:t>حقيقة المناط الخاص، ف</w:t>
      </w:r>
      <w:r w:rsidR="007F42AC" w:rsidRPr="007F42AC">
        <w:rPr>
          <w:rFonts w:ascii="Arabic Transparent" w:hAnsi="Arabic Transparent" w:cs="Arabic Transparent"/>
          <w:sz w:val="28"/>
          <w:szCs w:val="28"/>
          <w:rtl/>
          <w:lang w:bidi="ar-JO"/>
        </w:rPr>
        <w:t>هو وجه التشابه مع دراستنا الحالية</w:t>
      </w:r>
      <w:r w:rsidR="000F026C">
        <w:rPr>
          <w:rFonts w:ascii="Arabic Transparent" w:hAnsi="Arabic Transparent" w:cs="Arabic Transparent"/>
          <w:sz w:val="28"/>
          <w:szCs w:val="28"/>
          <w:rtl/>
          <w:lang w:bidi="ar-JO"/>
        </w:rPr>
        <w:t xml:space="preserve">، </w:t>
      </w:r>
      <w:r w:rsidR="007F42AC" w:rsidRPr="007F42AC">
        <w:rPr>
          <w:rFonts w:ascii="Arabic Transparent" w:hAnsi="Arabic Transparent" w:cs="Arabic Transparent"/>
          <w:sz w:val="28"/>
          <w:szCs w:val="28"/>
          <w:rtl/>
          <w:lang w:bidi="ar-JO"/>
        </w:rPr>
        <w:t xml:space="preserve">وتختلف الدراسة السابقة، من جهة عدم التطرق للتفاوت الحاصل بين العلماء عند تحقيق المناط الخاص، وأسبابه، وآثاره </w:t>
      </w:r>
      <w:r w:rsidR="007F42AC">
        <w:rPr>
          <w:rFonts w:ascii="Arabic Transparent" w:hAnsi="Arabic Transparent" w:cs="Arabic Transparent" w:hint="cs"/>
          <w:sz w:val="28"/>
          <w:szCs w:val="28"/>
          <w:rtl/>
          <w:lang w:bidi="ar-JO"/>
        </w:rPr>
        <w:t>والتطبيقات العلمية التي ترد عليه.</w:t>
      </w:r>
    </w:p>
    <w:p w14:paraId="70A7B5D7" w14:textId="4973861D" w:rsidR="006C37D5" w:rsidRDefault="002B1DA0" w:rsidP="00264B6F">
      <w:pPr>
        <w:spacing w:after="0" w:line="360" w:lineRule="auto"/>
        <w:jc w:val="both"/>
        <w:rPr>
          <w:rFonts w:ascii="Arabic Transparent" w:hAnsi="Arabic Transparent" w:cs="Arabic Transparent"/>
          <w:sz w:val="28"/>
          <w:szCs w:val="28"/>
          <w:rtl/>
          <w:lang w:bidi="ar-JO"/>
        </w:rPr>
      </w:pPr>
      <w:r>
        <w:rPr>
          <w:rFonts w:ascii="Arabic Transparent" w:hAnsi="Arabic Transparent" w:cs="Arabic Transparent" w:hint="cs"/>
          <w:sz w:val="28"/>
          <w:szCs w:val="28"/>
          <w:rtl/>
          <w:lang w:bidi="ar-JO"/>
        </w:rPr>
        <w:t>4</w:t>
      </w:r>
      <w:r w:rsidR="00AD31D6">
        <w:rPr>
          <w:rFonts w:ascii="Arabic Transparent" w:hAnsi="Arabic Transparent" w:cs="Arabic Transparent" w:hint="cs"/>
          <w:sz w:val="28"/>
          <w:szCs w:val="28"/>
          <w:rtl/>
          <w:lang w:bidi="ar-JO"/>
        </w:rPr>
        <w:t xml:space="preserve">- </w:t>
      </w:r>
      <w:r>
        <w:rPr>
          <w:rFonts w:ascii="Arabic Transparent" w:hAnsi="Arabic Transparent" w:cs="Arabic Transparent" w:hint="cs"/>
          <w:sz w:val="28"/>
          <w:szCs w:val="28"/>
          <w:rtl/>
          <w:lang w:bidi="ar-JO"/>
        </w:rPr>
        <w:t xml:space="preserve">دراسة </w:t>
      </w:r>
      <w:r w:rsidR="00F618B9" w:rsidRPr="00F618B9">
        <w:rPr>
          <w:rFonts w:ascii="Arabic Transparent" w:hAnsi="Arabic Transparent" w:cs="Arabic Transparent"/>
          <w:sz w:val="28"/>
          <w:szCs w:val="28"/>
          <w:rtl/>
          <w:lang w:bidi="ar-JO"/>
        </w:rPr>
        <w:t xml:space="preserve">الكيلاني، عبدالرحمن إبراهيم، </w:t>
      </w:r>
      <w:r w:rsidR="00264B6F" w:rsidRPr="00264B6F">
        <w:rPr>
          <w:rFonts w:ascii="Arabic Transparent" w:hAnsi="Arabic Transparent" w:cs="Arabic Transparent" w:hint="cs"/>
          <w:b/>
          <w:bCs/>
          <w:sz w:val="28"/>
          <w:szCs w:val="28"/>
          <w:rtl/>
          <w:lang w:bidi="ar-JO"/>
        </w:rPr>
        <w:t>"</w:t>
      </w:r>
      <w:r w:rsidR="00F618B9" w:rsidRPr="00264B6F">
        <w:rPr>
          <w:rFonts w:ascii="Arabic Transparent" w:hAnsi="Arabic Transparent" w:cs="Arabic Transparent"/>
          <w:b/>
          <w:bCs/>
          <w:sz w:val="28"/>
          <w:szCs w:val="28"/>
          <w:rtl/>
          <w:lang w:bidi="ar-JO"/>
        </w:rPr>
        <w:t>تحقيق المناط عند الأصوليين وأثره في اختلاف الفقهاء</w:t>
      </w:r>
      <w:r w:rsidR="00264B6F" w:rsidRPr="00264B6F">
        <w:rPr>
          <w:rFonts w:ascii="Arabic Transparent" w:hAnsi="Arabic Transparent" w:cs="Arabic Transparent" w:hint="cs"/>
          <w:b/>
          <w:bCs/>
          <w:sz w:val="28"/>
          <w:szCs w:val="28"/>
          <w:rtl/>
          <w:lang w:bidi="ar-JO"/>
        </w:rPr>
        <w:t>"</w:t>
      </w:r>
      <w:r w:rsidR="00F618B9" w:rsidRPr="00264B6F">
        <w:rPr>
          <w:rFonts w:ascii="Arabic Transparent" w:hAnsi="Arabic Transparent" w:cs="Arabic Transparent"/>
          <w:b/>
          <w:bCs/>
          <w:sz w:val="28"/>
          <w:szCs w:val="28"/>
          <w:rtl/>
          <w:lang w:bidi="ar-JO"/>
        </w:rPr>
        <w:t>،</w:t>
      </w:r>
      <w:r w:rsidR="00F618B9" w:rsidRPr="00F618B9">
        <w:rPr>
          <w:rFonts w:ascii="Arabic Transparent" w:hAnsi="Arabic Transparent" w:cs="Arabic Transparent"/>
          <w:sz w:val="28"/>
          <w:szCs w:val="28"/>
          <w:rtl/>
          <w:lang w:bidi="ar-JO"/>
        </w:rPr>
        <w:t xml:space="preserve"> </w:t>
      </w:r>
      <w:r w:rsidR="007F42AC">
        <w:rPr>
          <w:rFonts w:ascii="Arabic Transparent" w:hAnsi="Arabic Transparent" w:cs="Arabic Transparent" w:hint="cs"/>
          <w:sz w:val="28"/>
          <w:szCs w:val="28"/>
          <w:rtl/>
          <w:lang w:bidi="ar-JO"/>
        </w:rPr>
        <w:t xml:space="preserve">بحث محكم ومنشور في </w:t>
      </w:r>
      <w:r w:rsidR="00F618B9" w:rsidRPr="00F618B9">
        <w:rPr>
          <w:rFonts w:ascii="Arabic Transparent" w:hAnsi="Arabic Transparent" w:cs="Arabic Transparent"/>
          <w:sz w:val="28"/>
          <w:szCs w:val="28"/>
          <w:rtl/>
          <w:lang w:bidi="ar-JO"/>
        </w:rPr>
        <w:t xml:space="preserve">مجلة الشريعة والدراسات </w:t>
      </w:r>
      <w:r w:rsidR="00264B6F" w:rsidRPr="00F618B9">
        <w:rPr>
          <w:rFonts w:ascii="Arabic Transparent" w:hAnsi="Arabic Transparent" w:cs="Arabic Transparent" w:hint="cs"/>
          <w:sz w:val="28"/>
          <w:szCs w:val="28"/>
          <w:rtl/>
          <w:lang w:bidi="ar-JO"/>
        </w:rPr>
        <w:t>الإسلامية</w:t>
      </w:r>
      <w:r w:rsidR="00F618B9" w:rsidRPr="00F618B9">
        <w:rPr>
          <w:rFonts w:ascii="Arabic Transparent" w:hAnsi="Arabic Transparent" w:cs="Arabic Transparent"/>
          <w:sz w:val="28"/>
          <w:szCs w:val="28"/>
          <w:rtl/>
          <w:lang w:bidi="ar-JO"/>
        </w:rPr>
        <w:t>، جامعة الكويت</w:t>
      </w:r>
      <w:r w:rsidR="007F42AC">
        <w:rPr>
          <w:rFonts w:ascii="Arabic Transparent" w:hAnsi="Arabic Transparent" w:cs="Arabic Transparent" w:hint="cs"/>
          <w:sz w:val="28"/>
          <w:szCs w:val="28"/>
          <w:rtl/>
          <w:lang w:bidi="ar-JO"/>
        </w:rPr>
        <w:t>، ع58،</w:t>
      </w:r>
      <w:r w:rsidR="00245785">
        <w:rPr>
          <w:rFonts w:ascii="Arabic Transparent" w:hAnsi="Arabic Transparent" w:cs="Arabic Transparent" w:hint="cs"/>
          <w:sz w:val="28"/>
          <w:szCs w:val="28"/>
          <w:rtl/>
          <w:lang w:bidi="ar-JO"/>
        </w:rPr>
        <w:t xml:space="preserve"> </w:t>
      </w:r>
      <w:r w:rsidR="00F37C3F" w:rsidRPr="00F37C3F">
        <w:rPr>
          <w:rFonts w:ascii="Arabic Transparent" w:hAnsi="Arabic Transparent" w:cs="Arabic Transparent"/>
          <w:sz w:val="28"/>
          <w:szCs w:val="28"/>
          <w:rtl/>
          <w:lang w:bidi="ar-JO"/>
        </w:rPr>
        <w:t>(2004م)</w:t>
      </w:r>
      <w:r w:rsidR="00F37C3F">
        <w:rPr>
          <w:rFonts w:ascii="Arabic Transparent" w:hAnsi="Arabic Transparent" w:cs="Arabic Transparent" w:hint="cs"/>
          <w:sz w:val="28"/>
          <w:szCs w:val="28"/>
          <w:rtl/>
          <w:lang w:bidi="ar-JO"/>
        </w:rPr>
        <w:t xml:space="preserve">، </w:t>
      </w:r>
      <w:r w:rsidR="00245785">
        <w:rPr>
          <w:rFonts w:ascii="Arabic Transparent" w:hAnsi="Arabic Transparent" w:cs="Arabic Transparent" w:hint="cs"/>
          <w:sz w:val="28"/>
          <w:szCs w:val="28"/>
          <w:rtl/>
          <w:lang w:bidi="ar-JO"/>
        </w:rPr>
        <w:t xml:space="preserve">حيث تناول الباحث حقيقة وأهمية تحقيق المناط وتقسيماته ومعاييره وأثر الاختلاف فيه بين العلماء، </w:t>
      </w:r>
      <w:r w:rsidR="008D442D">
        <w:rPr>
          <w:rFonts w:ascii="Arabic Transparent" w:hAnsi="Arabic Transparent" w:cs="Arabic Transparent" w:hint="cs"/>
          <w:sz w:val="28"/>
          <w:szCs w:val="28"/>
          <w:rtl/>
          <w:lang w:bidi="ar-JO"/>
        </w:rPr>
        <w:t xml:space="preserve">حيث يكمن وجه الشبه في بعض المقدمات النظرية التي تبين حقيقة تحقيق المناط </w:t>
      </w:r>
      <w:r w:rsidR="005C0CA2">
        <w:rPr>
          <w:rFonts w:ascii="Arabic Transparent" w:hAnsi="Arabic Transparent" w:cs="Arabic Transparent" w:hint="cs"/>
          <w:sz w:val="28"/>
          <w:szCs w:val="28"/>
          <w:rtl/>
          <w:lang w:bidi="ar-JO"/>
        </w:rPr>
        <w:t xml:space="preserve">وتقسيماته، </w:t>
      </w:r>
      <w:r w:rsidR="005C0CA2" w:rsidRPr="008D442D">
        <w:rPr>
          <w:rFonts w:ascii="Arabic Transparent" w:hAnsi="Arabic Transparent" w:cs="Arabic Transparent" w:hint="cs"/>
          <w:sz w:val="28"/>
          <w:szCs w:val="28"/>
          <w:rtl/>
          <w:lang w:bidi="ar-JO"/>
        </w:rPr>
        <w:t>وتختلف</w:t>
      </w:r>
      <w:r w:rsidR="008D442D" w:rsidRPr="008D442D">
        <w:rPr>
          <w:rFonts w:ascii="Arabic Transparent" w:hAnsi="Arabic Transparent" w:cs="Arabic Transparent"/>
          <w:sz w:val="28"/>
          <w:szCs w:val="28"/>
          <w:rtl/>
          <w:lang w:bidi="ar-JO"/>
        </w:rPr>
        <w:t xml:space="preserve"> الدراسة السابقة، من جهة عدم التطرق للتفاوت الحاصل بين العلماء عند تحقيق المناط الخاص، وأسبابه، وآثاره والتطبيقات العلمية التي ترد عليه.</w:t>
      </w:r>
    </w:p>
    <w:p w14:paraId="4D3AD59F" w14:textId="554DC6AE" w:rsidR="002B1DA0" w:rsidRDefault="002B1DA0" w:rsidP="00264B6F">
      <w:pPr>
        <w:spacing w:after="0" w:line="360" w:lineRule="auto"/>
        <w:jc w:val="both"/>
        <w:rPr>
          <w:rFonts w:ascii="Arabic Transparent" w:hAnsi="Arabic Transparent" w:cs="Arabic Transparent"/>
          <w:sz w:val="28"/>
          <w:szCs w:val="28"/>
          <w:rtl/>
          <w:lang w:bidi="ar-JO"/>
        </w:rPr>
      </w:pPr>
      <w:r>
        <w:rPr>
          <w:rFonts w:ascii="Arabic Transparent" w:hAnsi="Arabic Transparent" w:cs="Arabic Transparent" w:hint="cs"/>
          <w:sz w:val="28"/>
          <w:szCs w:val="28"/>
          <w:rtl/>
          <w:lang w:bidi="ar-JO"/>
        </w:rPr>
        <w:t xml:space="preserve">5- دراسة القضاة، حمادة، بعنوان: </w:t>
      </w:r>
      <w:r w:rsidR="00264B6F" w:rsidRPr="00264B6F">
        <w:rPr>
          <w:rFonts w:ascii="Arabic Transparent" w:hAnsi="Arabic Transparent" w:cs="Arabic Transparent" w:hint="cs"/>
          <w:b/>
          <w:bCs/>
          <w:sz w:val="28"/>
          <w:szCs w:val="28"/>
          <w:rtl/>
          <w:lang w:bidi="ar-JO"/>
        </w:rPr>
        <w:t>"</w:t>
      </w:r>
      <w:r w:rsidR="00264B6F" w:rsidRPr="00264B6F">
        <w:rPr>
          <w:rFonts w:ascii="Arabic Transparent" w:hAnsi="Arabic Transparent" w:cs="Arabic Transparent"/>
          <w:b/>
          <w:bCs/>
          <w:sz w:val="28"/>
          <w:szCs w:val="28"/>
          <w:rtl/>
          <w:lang w:bidi="ar-JO"/>
        </w:rPr>
        <w:t>تحقيق المناط وأثره في اختلاف الفقهاء</w:t>
      </w:r>
      <w:r w:rsidR="00264B6F" w:rsidRPr="00264B6F">
        <w:rPr>
          <w:rFonts w:ascii="Arabic Transparent" w:hAnsi="Arabic Transparent" w:cs="Arabic Transparent" w:hint="cs"/>
          <w:b/>
          <w:bCs/>
          <w:sz w:val="28"/>
          <w:szCs w:val="28"/>
          <w:rtl/>
          <w:lang w:bidi="ar-JO"/>
        </w:rPr>
        <w:t>"</w:t>
      </w:r>
      <w:r w:rsidR="00264B6F">
        <w:rPr>
          <w:rFonts w:ascii="Arabic Transparent" w:hAnsi="Arabic Transparent" w:cs="Arabic Transparent" w:hint="cs"/>
          <w:b/>
          <w:bCs/>
          <w:sz w:val="28"/>
          <w:szCs w:val="28"/>
          <w:rtl/>
          <w:lang w:bidi="ar-JO"/>
        </w:rPr>
        <w:t xml:space="preserve"> </w:t>
      </w:r>
      <w:r w:rsidR="00264B6F">
        <w:rPr>
          <w:rFonts w:ascii="Arabic Transparent" w:hAnsi="Arabic Transparent" w:cs="Arabic Transparent" w:hint="cs"/>
          <w:sz w:val="28"/>
          <w:szCs w:val="28"/>
          <w:rtl/>
          <w:lang w:bidi="ar-JO"/>
        </w:rPr>
        <w:t xml:space="preserve">قُدمت لنيل رسالة الماجستير في الفقه وأصوله، جامعة ال البيت، الأردن، بإشراف د. محمد ركان الدغمي (2000)، تحدث فيها الباحث عن ماهية تحقيق المناط وأثره في اختلاف الفقهاء </w:t>
      </w:r>
      <w:r w:rsidR="00264B6F" w:rsidRPr="00264B6F">
        <w:rPr>
          <w:rFonts w:ascii="Arabic Transparent" w:hAnsi="Arabic Transparent" w:cs="Arabic Transparent"/>
          <w:sz w:val="28"/>
          <w:szCs w:val="28"/>
          <w:rtl/>
          <w:lang w:bidi="ar-JO"/>
        </w:rPr>
        <w:t>وهو وجه التشابه مع دراستنا الحالية، وتختلف الدراسة السابقة، من جهة عدم الت</w:t>
      </w:r>
      <w:r w:rsidR="00264B6F">
        <w:rPr>
          <w:rFonts w:ascii="Arabic Transparent" w:hAnsi="Arabic Transparent" w:cs="Arabic Transparent" w:hint="cs"/>
          <w:sz w:val="28"/>
          <w:szCs w:val="28"/>
          <w:rtl/>
          <w:lang w:bidi="ar-JO"/>
        </w:rPr>
        <w:t>حدث عن ا</w:t>
      </w:r>
      <w:r w:rsidR="00264B6F" w:rsidRPr="00264B6F">
        <w:rPr>
          <w:rFonts w:ascii="Arabic Transparent" w:hAnsi="Arabic Transparent" w:cs="Arabic Transparent"/>
          <w:sz w:val="28"/>
          <w:szCs w:val="28"/>
          <w:rtl/>
          <w:lang w:bidi="ar-JO"/>
        </w:rPr>
        <w:t>لتفاوت الحاصل بين العلماء عند تحقيق المناط الخاص، وأسبابه، وآثاره</w:t>
      </w:r>
      <w:r w:rsidR="003909BD">
        <w:rPr>
          <w:rFonts w:ascii="Arabic Transparent" w:hAnsi="Arabic Transparent" w:cs="Arabic Transparent" w:hint="cs"/>
          <w:sz w:val="28"/>
          <w:szCs w:val="28"/>
          <w:rtl/>
          <w:lang w:bidi="ar-JO"/>
        </w:rPr>
        <w:t>،</w:t>
      </w:r>
      <w:r w:rsidR="00264B6F" w:rsidRPr="00264B6F">
        <w:rPr>
          <w:rFonts w:ascii="Arabic Transparent" w:hAnsi="Arabic Transparent" w:cs="Arabic Transparent"/>
          <w:sz w:val="28"/>
          <w:szCs w:val="28"/>
          <w:rtl/>
          <w:lang w:bidi="ar-JO"/>
        </w:rPr>
        <w:t xml:space="preserve"> و</w:t>
      </w:r>
      <w:r w:rsidR="00264B6F">
        <w:rPr>
          <w:rFonts w:ascii="Arabic Transparent" w:hAnsi="Arabic Transparent" w:cs="Arabic Transparent" w:hint="cs"/>
          <w:sz w:val="28"/>
          <w:szCs w:val="28"/>
          <w:rtl/>
          <w:lang w:bidi="ar-JO"/>
        </w:rPr>
        <w:t xml:space="preserve">إنما تركز على </w:t>
      </w:r>
      <w:r w:rsidR="00264B6F" w:rsidRPr="00264B6F">
        <w:rPr>
          <w:rFonts w:ascii="Arabic Transparent" w:hAnsi="Arabic Transparent" w:cs="Arabic Transparent"/>
          <w:sz w:val="28"/>
          <w:szCs w:val="28"/>
          <w:rtl/>
          <w:lang w:bidi="ar-JO"/>
        </w:rPr>
        <w:t>أثر</w:t>
      </w:r>
      <w:r w:rsidR="00264B6F">
        <w:rPr>
          <w:rFonts w:ascii="Arabic Transparent" w:hAnsi="Arabic Transparent" w:cs="Arabic Transparent" w:hint="cs"/>
          <w:sz w:val="28"/>
          <w:szCs w:val="28"/>
          <w:rtl/>
          <w:lang w:bidi="ar-JO"/>
        </w:rPr>
        <w:t xml:space="preserve"> تحقيق المناط في اختلاف الفقهاء.</w:t>
      </w:r>
    </w:p>
    <w:p w14:paraId="6CF7F94E" w14:textId="77777777" w:rsidR="00555045" w:rsidRPr="00AD31D6" w:rsidRDefault="00555045" w:rsidP="002D51B3">
      <w:pPr>
        <w:spacing w:after="0" w:line="360" w:lineRule="auto"/>
        <w:jc w:val="both"/>
        <w:rPr>
          <w:rFonts w:ascii="Arabic Transparent" w:hAnsi="Arabic Transparent" w:cs="Arabic Transparent"/>
          <w:b/>
          <w:bCs/>
          <w:sz w:val="32"/>
          <w:szCs w:val="32"/>
          <w:rtl/>
          <w:lang w:bidi="ar-JO"/>
        </w:rPr>
      </w:pPr>
      <w:r w:rsidRPr="00AD31D6">
        <w:rPr>
          <w:rFonts w:ascii="Arabic Transparent" w:hAnsi="Arabic Transparent" w:cs="Arabic Transparent" w:hint="cs"/>
          <w:b/>
          <w:bCs/>
          <w:sz w:val="32"/>
          <w:szCs w:val="32"/>
          <w:rtl/>
          <w:lang w:bidi="ar-JO"/>
        </w:rPr>
        <w:t xml:space="preserve">منهج الدراسة: </w:t>
      </w:r>
    </w:p>
    <w:p w14:paraId="00241D73" w14:textId="446C6E28" w:rsidR="00555045" w:rsidRPr="00827CC8" w:rsidRDefault="00AD31D6" w:rsidP="00AD31D6">
      <w:pPr>
        <w:spacing w:after="0" w:line="360" w:lineRule="auto"/>
        <w:ind w:firstLine="360"/>
        <w:jc w:val="both"/>
        <w:rPr>
          <w:rFonts w:ascii="Arabic Transparent" w:hAnsi="Arabic Transparent" w:cs="Arabic Transparent"/>
          <w:sz w:val="28"/>
          <w:szCs w:val="28"/>
          <w:rtl/>
          <w:lang w:bidi="ar-JO"/>
        </w:rPr>
      </w:pPr>
      <w:r>
        <w:rPr>
          <w:rFonts w:ascii="Arabic Transparent" w:hAnsi="Arabic Transparent" w:cs="Arabic Transparent" w:hint="cs"/>
          <w:sz w:val="28"/>
          <w:szCs w:val="28"/>
          <w:rtl/>
          <w:lang w:bidi="ar-JO"/>
        </w:rPr>
        <w:t>يعتمد الباحث في هذه الدراسة المناهج الآتية:</w:t>
      </w:r>
    </w:p>
    <w:p w14:paraId="048A7EDA" w14:textId="49D7FBAF" w:rsidR="00555045" w:rsidRPr="00827CC8" w:rsidRDefault="00555045" w:rsidP="00AD31D6">
      <w:pPr>
        <w:numPr>
          <w:ilvl w:val="0"/>
          <w:numId w:val="5"/>
        </w:numPr>
        <w:spacing w:after="0" w:line="360" w:lineRule="auto"/>
        <w:ind w:left="468"/>
        <w:jc w:val="both"/>
        <w:rPr>
          <w:rFonts w:ascii="Arabic Transparent" w:hAnsi="Arabic Transparent" w:cs="Arabic Transparent"/>
          <w:sz w:val="28"/>
          <w:szCs w:val="28"/>
          <w:rtl/>
          <w:lang w:bidi="ar-JO"/>
        </w:rPr>
      </w:pPr>
      <w:r w:rsidRPr="00827CC8">
        <w:rPr>
          <w:rFonts w:ascii="Arabic Transparent" w:hAnsi="Arabic Transparent" w:cs="Arabic Transparent" w:hint="cs"/>
          <w:sz w:val="28"/>
          <w:szCs w:val="28"/>
          <w:rtl/>
          <w:lang w:bidi="ar-JO"/>
        </w:rPr>
        <w:lastRenderedPageBreak/>
        <w:t>المنهج الاستقرائي: وذلك بتتبع آراء</w:t>
      </w:r>
      <w:r w:rsidR="008C2F73" w:rsidRPr="00827CC8">
        <w:rPr>
          <w:rFonts w:ascii="Arabic Transparent" w:hAnsi="Arabic Transparent" w:cs="Arabic Transparent" w:hint="cs"/>
          <w:sz w:val="28"/>
          <w:szCs w:val="28"/>
          <w:rtl/>
          <w:lang w:bidi="ar-JO"/>
        </w:rPr>
        <w:t xml:space="preserve"> الفقهاء و</w:t>
      </w:r>
      <w:r w:rsidRPr="00827CC8">
        <w:rPr>
          <w:rFonts w:ascii="Arabic Transparent" w:hAnsi="Arabic Transparent" w:cs="Arabic Transparent" w:hint="cs"/>
          <w:sz w:val="28"/>
          <w:szCs w:val="28"/>
          <w:rtl/>
          <w:lang w:bidi="ar-JO"/>
        </w:rPr>
        <w:t xml:space="preserve">الأصوليين </w:t>
      </w:r>
      <w:r w:rsidR="000C178B" w:rsidRPr="00827CC8">
        <w:rPr>
          <w:rFonts w:ascii="Arabic Transparent" w:hAnsi="Arabic Transparent" w:cs="Arabic Transparent" w:hint="cs"/>
          <w:sz w:val="28"/>
          <w:szCs w:val="28"/>
          <w:rtl/>
          <w:lang w:bidi="ar-JO"/>
        </w:rPr>
        <w:t xml:space="preserve">وبيان حقيقة </w:t>
      </w:r>
      <w:r w:rsidR="00D11BDA">
        <w:rPr>
          <w:rFonts w:ascii="Arabic Transparent" w:hAnsi="Arabic Transparent" w:cs="Arabic Transparent" w:hint="cs"/>
          <w:sz w:val="28"/>
          <w:szCs w:val="28"/>
          <w:rtl/>
          <w:lang w:bidi="ar-JO"/>
        </w:rPr>
        <w:t>تحقيق المناط الخاص،</w:t>
      </w:r>
      <w:r w:rsidR="000C178B" w:rsidRPr="00827CC8">
        <w:rPr>
          <w:rFonts w:ascii="Arabic Transparent" w:hAnsi="Arabic Transparent" w:cs="Arabic Transparent" w:hint="cs"/>
          <w:sz w:val="28"/>
          <w:szCs w:val="28"/>
          <w:rtl/>
          <w:lang w:bidi="ar-JO"/>
        </w:rPr>
        <w:t xml:space="preserve"> </w:t>
      </w:r>
      <w:r w:rsidR="00D11BDA">
        <w:rPr>
          <w:rFonts w:ascii="Arabic Transparent" w:hAnsi="Arabic Transparent" w:cs="Arabic Transparent" w:hint="cs"/>
          <w:sz w:val="28"/>
          <w:szCs w:val="28"/>
          <w:rtl/>
          <w:lang w:bidi="ar-JO"/>
        </w:rPr>
        <w:t xml:space="preserve">والتفاوت </w:t>
      </w:r>
      <w:r w:rsidR="000C178B" w:rsidRPr="00827CC8">
        <w:rPr>
          <w:rFonts w:ascii="Arabic Transparent" w:hAnsi="Arabic Transparent" w:cs="Arabic Transparent" w:hint="cs"/>
          <w:sz w:val="28"/>
          <w:szCs w:val="28"/>
          <w:rtl/>
          <w:lang w:bidi="ar-JO"/>
        </w:rPr>
        <w:t xml:space="preserve">الحاصل </w:t>
      </w:r>
      <w:r w:rsidR="00D11BDA">
        <w:rPr>
          <w:rFonts w:ascii="Arabic Transparent" w:hAnsi="Arabic Transparent" w:cs="Arabic Transparent" w:hint="cs"/>
          <w:sz w:val="28"/>
          <w:szCs w:val="28"/>
          <w:rtl/>
          <w:lang w:bidi="ar-JO"/>
        </w:rPr>
        <w:t>بعد تنزيل الحكم على محله</w:t>
      </w:r>
      <w:r w:rsidR="000C178B" w:rsidRPr="00827CC8">
        <w:rPr>
          <w:rFonts w:ascii="Arabic Transparent" w:hAnsi="Arabic Transparent" w:cs="Arabic Transparent" w:hint="cs"/>
          <w:sz w:val="28"/>
          <w:szCs w:val="28"/>
          <w:rtl/>
          <w:lang w:bidi="ar-JO"/>
        </w:rPr>
        <w:t>.</w:t>
      </w:r>
    </w:p>
    <w:p w14:paraId="77CF17E6" w14:textId="35734220" w:rsidR="00AD31D6" w:rsidRPr="00827CC8" w:rsidRDefault="00AD31D6" w:rsidP="00AD31D6">
      <w:pPr>
        <w:numPr>
          <w:ilvl w:val="0"/>
          <w:numId w:val="5"/>
        </w:numPr>
        <w:spacing w:after="0" w:line="360" w:lineRule="auto"/>
        <w:ind w:left="468"/>
        <w:jc w:val="both"/>
        <w:rPr>
          <w:rFonts w:ascii="Arabic Transparent" w:hAnsi="Arabic Transparent" w:cs="Arabic Transparent"/>
          <w:sz w:val="28"/>
          <w:szCs w:val="28"/>
          <w:lang w:bidi="ar-JO"/>
        </w:rPr>
      </w:pPr>
      <w:r w:rsidRPr="00827CC8">
        <w:rPr>
          <w:rFonts w:ascii="Arabic Transparent" w:hAnsi="Arabic Transparent" w:cs="Arabic Transparent" w:hint="cs"/>
          <w:sz w:val="28"/>
          <w:szCs w:val="28"/>
          <w:rtl/>
          <w:lang w:bidi="ar-JO"/>
        </w:rPr>
        <w:t xml:space="preserve">المنهج الوصفي: وذلك من خلال وصف الدور المنشود من تحقيق المناط الخاص في </w:t>
      </w:r>
      <w:r w:rsidR="00144ECE">
        <w:rPr>
          <w:rFonts w:ascii="Arabic Transparent" w:hAnsi="Arabic Transparent" w:cs="Arabic Transparent" w:hint="cs"/>
          <w:sz w:val="28"/>
          <w:szCs w:val="28"/>
          <w:rtl/>
          <w:lang w:bidi="ar-JO"/>
        </w:rPr>
        <w:t>ضبط التباين في القضايا المعاصرة</w:t>
      </w:r>
      <w:r w:rsidRPr="00827CC8">
        <w:rPr>
          <w:rFonts w:ascii="Arabic Transparent" w:hAnsi="Arabic Transparent" w:cs="Arabic Transparent" w:hint="cs"/>
          <w:sz w:val="28"/>
          <w:szCs w:val="28"/>
          <w:rtl/>
          <w:lang w:bidi="ar-JO"/>
        </w:rPr>
        <w:t xml:space="preserve"> بين الفقهاء المعاصرين.</w:t>
      </w:r>
    </w:p>
    <w:p w14:paraId="50311BE8" w14:textId="5715B7BC" w:rsidR="00555045" w:rsidRPr="00827CC8" w:rsidRDefault="00555045" w:rsidP="00AD31D6">
      <w:pPr>
        <w:numPr>
          <w:ilvl w:val="0"/>
          <w:numId w:val="5"/>
        </w:numPr>
        <w:spacing w:after="0" w:line="360" w:lineRule="auto"/>
        <w:ind w:left="468"/>
        <w:jc w:val="both"/>
        <w:rPr>
          <w:rFonts w:ascii="Arabic Transparent" w:hAnsi="Arabic Transparent" w:cs="Arabic Transparent"/>
          <w:sz w:val="28"/>
          <w:szCs w:val="28"/>
          <w:lang w:bidi="ar-JO"/>
        </w:rPr>
      </w:pPr>
      <w:r w:rsidRPr="00827CC8">
        <w:rPr>
          <w:rFonts w:ascii="Arabic Transparent" w:hAnsi="Arabic Transparent" w:cs="Arabic Transparent" w:hint="cs"/>
          <w:sz w:val="28"/>
          <w:szCs w:val="28"/>
          <w:rtl/>
          <w:lang w:bidi="ar-JO"/>
        </w:rPr>
        <w:t xml:space="preserve">المنهج التحليلي: وذلك من خلال تحليل </w:t>
      </w:r>
      <w:r w:rsidR="00144ECE">
        <w:rPr>
          <w:rFonts w:ascii="Arabic Transparent" w:hAnsi="Arabic Transparent" w:cs="Arabic Transparent" w:hint="cs"/>
          <w:sz w:val="28"/>
          <w:szCs w:val="28"/>
          <w:rtl/>
          <w:lang w:bidi="ar-JO"/>
        </w:rPr>
        <w:t>اجتهاد الفقهاء</w:t>
      </w:r>
      <w:r w:rsidRPr="00827CC8">
        <w:rPr>
          <w:rFonts w:ascii="Arabic Transparent" w:hAnsi="Arabic Transparent" w:cs="Arabic Transparent" w:hint="cs"/>
          <w:sz w:val="28"/>
          <w:szCs w:val="28"/>
          <w:rtl/>
          <w:lang w:bidi="ar-JO"/>
        </w:rPr>
        <w:t xml:space="preserve"> للوصول </w:t>
      </w:r>
      <w:r w:rsidR="00F37C3F">
        <w:rPr>
          <w:rFonts w:ascii="Arabic Transparent" w:hAnsi="Arabic Transparent" w:cs="Arabic Transparent" w:hint="cs"/>
          <w:sz w:val="28"/>
          <w:szCs w:val="28"/>
          <w:rtl/>
          <w:lang w:bidi="ar-JO"/>
        </w:rPr>
        <w:t xml:space="preserve">إلى </w:t>
      </w:r>
      <w:r w:rsidR="000C178B" w:rsidRPr="00827CC8">
        <w:rPr>
          <w:rFonts w:ascii="Arabic Transparent" w:hAnsi="Arabic Transparent" w:cs="Arabic Transparent" w:hint="cs"/>
          <w:sz w:val="28"/>
          <w:szCs w:val="28"/>
          <w:rtl/>
          <w:lang w:bidi="ar-JO"/>
        </w:rPr>
        <w:t xml:space="preserve">أثر التباين في تحقيق المناط الخاص في </w:t>
      </w:r>
      <w:r w:rsidR="00144ECE">
        <w:rPr>
          <w:rFonts w:ascii="Arabic Transparent" w:hAnsi="Arabic Transparent" w:cs="Arabic Transparent" w:hint="cs"/>
          <w:sz w:val="28"/>
          <w:szCs w:val="28"/>
          <w:rtl/>
          <w:lang w:bidi="ar-JO"/>
        </w:rPr>
        <w:t>مسائل</w:t>
      </w:r>
      <w:r w:rsidR="000C178B" w:rsidRPr="00827CC8">
        <w:rPr>
          <w:rFonts w:ascii="Arabic Transparent" w:hAnsi="Arabic Transparent" w:cs="Arabic Transparent" w:hint="cs"/>
          <w:sz w:val="28"/>
          <w:szCs w:val="28"/>
          <w:rtl/>
          <w:lang w:bidi="ar-JO"/>
        </w:rPr>
        <w:t xml:space="preserve"> المعاملات المالية</w:t>
      </w:r>
      <w:r w:rsidR="00144ECE">
        <w:rPr>
          <w:rFonts w:ascii="Arabic Transparent" w:hAnsi="Arabic Transparent" w:cs="Arabic Transparent" w:hint="cs"/>
          <w:sz w:val="28"/>
          <w:szCs w:val="28"/>
          <w:rtl/>
          <w:lang w:bidi="ar-JO"/>
        </w:rPr>
        <w:t xml:space="preserve"> المعاصرة</w:t>
      </w:r>
      <w:r w:rsidR="000C178B" w:rsidRPr="00827CC8">
        <w:rPr>
          <w:rFonts w:ascii="Arabic Transparent" w:hAnsi="Arabic Transparent" w:cs="Arabic Transparent" w:hint="cs"/>
          <w:sz w:val="28"/>
          <w:szCs w:val="28"/>
          <w:rtl/>
          <w:lang w:bidi="ar-JO"/>
        </w:rPr>
        <w:t>.</w:t>
      </w:r>
    </w:p>
    <w:p w14:paraId="68CA4BF0" w14:textId="7B3A6427" w:rsidR="00555045" w:rsidRPr="00827CC8" w:rsidRDefault="00555045" w:rsidP="00AD31D6">
      <w:pPr>
        <w:numPr>
          <w:ilvl w:val="0"/>
          <w:numId w:val="5"/>
        </w:numPr>
        <w:spacing w:after="0" w:line="360" w:lineRule="auto"/>
        <w:ind w:left="468"/>
        <w:jc w:val="both"/>
        <w:rPr>
          <w:rFonts w:ascii="Arabic Transparent" w:hAnsi="Arabic Transparent" w:cs="Arabic Transparent"/>
          <w:sz w:val="28"/>
          <w:szCs w:val="28"/>
          <w:lang w:bidi="ar-JO"/>
        </w:rPr>
      </w:pPr>
      <w:r w:rsidRPr="00827CC8">
        <w:rPr>
          <w:rFonts w:ascii="Arabic Transparent" w:hAnsi="Arabic Transparent" w:cs="Arabic Transparent" w:hint="cs"/>
          <w:sz w:val="28"/>
          <w:szCs w:val="28"/>
          <w:rtl/>
          <w:lang w:bidi="ar-JO"/>
        </w:rPr>
        <w:t xml:space="preserve">المنهج التطبيقي: </w:t>
      </w:r>
      <w:r w:rsidR="00CE615B" w:rsidRPr="00827CC8">
        <w:rPr>
          <w:rFonts w:ascii="Arabic Transparent" w:hAnsi="Arabic Transparent" w:cs="Arabic Transparent" w:hint="cs"/>
          <w:sz w:val="28"/>
          <w:szCs w:val="28"/>
          <w:rtl/>
          <w:lang w:bidi="ar-JO"/>
        </w:rPr>
        <w:t>في عرض وتحليل تطبيقات</w:t>
      </w:r>
      <w:r w:rsidR="000C178B" w:rsidRPr="00827CC8">
        <w:rPr>
          <w:rFonts w:ascii="Arabic Transparent" w:hAnsi="Arabic Transparent" w:cs="Arabic Transparent" w:hint="cs"/>
          <w:sz w:val="28"/>
          <w:szCs w:val="28"/>
          <w:rtl/>
          <w:lang w:bidi="ar-JO"/>
        </w:rPr>
        <w:t xml:space="preserve"> المعاملات المالية التي تغير الحكم عليها بناءً على التباين في تحقيق المناط الخاص بين الفقهاء المعاصرين.</w:t>
      </w:r>
    </w:p>
    <w:p w14:paraId="33D02455" w14:textId="77777777" w:rsidR="00555045" w:rsidRPr="00144ECE" w:rsidRDefault="00555045" w:rsidP="002D51B3">
      <w:pPr>
        <w:spacing w:after="0" w:line="360" w:lineRule="auto"/>
        <w:jc w:val="both"/>
        <w:rPr>
          <w:rFonts w:ascii="Arabic Transparent" w:hAnsi="Arabic Transparent" w:cs="Arabic Transparent"/>
          <w:b/>
          <w:bCs/>
          <w:sz w:val="34"/>
          <w:szCs w:val="34"/>
          <w:rtl/>
          <w:lang w:bidi="ar-JO"/>
        </w:rPr>
      </w:pPr>
      <w:r w:rsidRPr="00144ECE">
        <w:rPr>
          <w:rFonts w:ascii="Arabic Transparent" w:hAnsi="Arabic Transparent" w:cs="Arabic Transparent" w:hint="cs"/>
          <w:b/>
          <w:bCs/>
          <w:sz w:val="34"/>
          <w:szCs w:val="34"/>
          <w:rtl/>
          <w:lang w:bidi="ar-JO"/>
        </w:rPr>
        <w:t xml:space="preserve">خطة الدراسة: </w:t>
      </w:r>
    </w:p>
    <w:p w14:paraId="530EAB2B" w14:textId="18268D96" w:rsidR="00555045" w:rsidRPr="00144ECE" w:rsidRDefault="00555045" w:rsidP="002D51B3">
      <w:pPr>
        <w:spacing w:after="0" w:line="360" w:lineRule="auto"/>
        <w:jc w:val="both"/>
        <w:rPr>
          <w:rFonts w:ascii="Arabic Transparent" w:hAnsi="Arabic Transparent" w:cs="Arabic Transparent"/>
          <w:sz w:val="28"/>
          <w:szCs w:val="28"/>
          <w:rtl/>
          <w:lang w:bidi="ar-JO"/>
        </w:rPr>
      </w:pPr>
      <w:r w:rsidRPr="00144ECE">
        <w:rPr>
          <w:rFonts w:ascii="Arabic Transparent" w:hAnsi="Arabic Transparent" w:cs="Arabic Transparent" w:hint="cs"/>
          <w:sz w:val="28"/>
          <w:szCs w:val="28"/>
          <w:rtl/>
          <w:lang w:bidi="ar-JO"/>
        </w:rPr>
        <w:t>تتكون الدراسة من مقدمة</w:t>
      </w:r>
      <w:r w:rsidR="00144ECE" w:rsidRPr="00144ECE">
        <w:rPr>
          <w:rFonts w:ascii="Arabic Transparent" w:hAnsi="Arabic Transparent" w:cs="Arabic Transparent" w:hint="cs"/>
          <w:sz w:val="28"/>
          <w:szCs w:val="28"/>
          <w:rtl/>
          <w:lang w:bidi="ar-JO"/>
        </w:rPr>
        <w:t>،</w:t>
      </w:r>
      <w:r w:rsidRPr="00144ECE">
        <w:rPr>
          <w:rFonts w:ascii="Arabic Transparent" w:hAnsi="Arabic Transparent" w:cs="Arabic Transparent" w:hint="cs"/>
          <w:sz w:val="28"/>
          <w:szCs w:val="28"/>
          <w:rtl/>
          <w:lang w:bidi="ar-JO"/>
        </w:rPr>
        <w:t xml:space="preserve"> </w:t>
      </w:r>
      <w:r w:rsidR="00FE24A7">
        <w:rPr>
          <w:rFonts w:ascii="Arabic Transparent" w:hAnsi="Arabic Transparent" w:cs="Arabic Transparent" w:hint="cs"/>
          <w:sz w:val="28"/>
          <w:szCs w:val="28"/>
          <w:rtl/>
          <w:lang w:bidi="ar-JO"/>
        </w:rPr>
        <w:t>وثلاثة فصول</w:t>
      </w:r>
      <w:r w:rsidR="00144ECE" w:rsidRPr="00144ECE">
        <w:rPr>
          <w:rFonts w:ascii="Arabic Transparent" w:hAnsi="Arabic Transparent" w:cs="Arabic Transparent" w:hint="cs"/>
          <w:sz w:val="28"/>
          <w:szCs w:val="28"/>
          <w:rtl/>
          <w:lang w:bidi="ar-JO"/>
        </w:rPr>
        <w:t>،</w:t>
      </w:r>
      <w:r w:rsidRPr="00144ECE">
        <w:rPr>
          <w:rFonts w:ascii="Arabic Transparent" w:hAnsi="Arabic Transparent" w:cs="Arabic Transparent" w:hint="cs"/>
          <w:sz w:val="28"/>
          <w:szCs w:val="28"/>
          <w:rtl/>
          <w:lang w:bidi="ar-JO"/>
        </w:rPr>
        <w:t xml:space="preserve"> وخاتمة</w:t>
      </w:r>
      <w:r w:rsidR="006A788D">
        <w:rPr>
          <w:rFonts w:ascii="Arabic Transparent" w:hAnsi="Arabic Transparent" w:cs="Arabic Transparent" w:hint="cs"/>
          <w:sz w:val="28"/>
          <w:szCs w:val="28"/>
          <w:rtl/>
          <w:lang w:bidi="ar-JO"/>
        </w:rPr>
        <w:t>، كما يأتي:</w:t>
      </w:r>
    </w:p>
    <w:p w14:paraId="45807544" w14:textId="77777777" w:rsidR="00FE24A7" w:rsidRDefault="00FE24A7" w:rsidP="00FE24A7">
      <w:pPr>
        <w:spacing w:after="0" w:line="360" w:lineRule="auto"/>
        <w:ind w:firstLine="48"/>
        <w:jc w:val="both"/>
        <w:rPr>
          <w:rFonts w:ascii="Arabic Transparent" w:hAnsi="Arabic Transparent" w:cs="Arabic Transparent"/>
          <w:sz w:val="28"/>
          <w:szCs w:val="28"/>
          <w:rtl/>
          <w:lang w:bidi="ar-JO"/>
        </w:rPr>
      </w:pPr>
      <w:r w:rsidRPr="009C30B9">
        <w:rPr>
          <w:rFonts w:ascii="Arabic Transparent" w:hAnsi="Arabic Transparent" w:cs="Arabic Transparent" w:hint="cs"/>
          <w:b/>
          <w:bCs/>
          <w:sz w:val="30"/>
          <w:szCs w:val="30"/>
          <w:rtl/>
          <w:lang w:bidi="ar-JO"/>
        </w:rPr>
        <w:t xml:space="preserve">الفصل الأول: </w:t>
      </w:r>
      <w:r w:rsidRPr="009C30B9">
        <w:rPr>
          <w:rFonts w:ascii="Arabic Transparent" w:hAnsi="Arabic Transparent" w:cs="Arabic Transparent"/>
          <w:b/>
          <w:bCs/>
          <w:sz w:val="30"/>
          <w:szCs w:val="30"/>
          <w:rtl/>
          <w:lang w:bidi="ar-JO"/>
        </w:rPr>
        <w:t>التعريف بحقيقة المناط الخاص</w:t>
      </w:r>
      <w:r w:rsidRPr="00144ECE">
        <w:rPr>
          <w:rFonts w:ascii="Arabic Transparent" w:hAnsi="Arabic Transparent" w:cs="Arabic Transparent" w:hint="cs"/>
          <w:sz w:val="28"/>
          <w:szCs w:val="28"/>
          <w:rtl/>
          <w:lang w:bidi="ar-JO"/>
        </w:rPr>
        <w:t xml:space="preserve"> </w:t>
      </w:r>
    </w:p>
    <w:p w14:paraId="635B4949" w14:textId="77777777" w:rsidR="00FE24A7" w:rsidRDefault="00FE24A7" w:rsidP="00FE24A7">
      <w:pPr>
        <w:spacing w:after="0" w:line="360" w:lineRule="auto"/>
        <w:ind w:firstLine="48"/>
        <w:jc w:val="both"/>
        <w:rPr>
          <w:rFonts w:ascii="Arabic Transparent" w:hAnsi="Arabic Transparent" w:cs="Arabic Transparent"/>
          <w:sz w:val="28"/>
          <w:szCs w:val="28"/>
          <w:rtl/>
          <w:lang w:bidi="ar-JO"/>
        </w:rPr>
      </w:pPr>
      <w:r w:rsidRPr="00FE24A7">
        <w:rPr>
          <w:rFonts w:ascii="Arabic Transparent" w:hAnsi="Arabic Transparent" w:cs="Arabic Transparent"/>
          <w:b/>
          <w:bCs/>
          <w:sz w:val="28"/>
          <w:szCs w:val="28"/>
          <w:rtl/>
          <w:lang w:bidi="ar-JO"/>
        </w:rPr>
        <w:t>المبحث الأول:</w:t>
      </w:r>
      <w:r w:rsidRPr="00FE24A7">
        <w:rPr>
          <w:rFonts w:ascii="Arabic Transparent" w:hAnsi="Arabic Transparent" w:cs="Arabic Transparent"/>
          <w:sz w:val="28"/>
          <w:szCs w:val="28"/>
          <w:rtl/>
          <w:lang w:bidi="ar-JO"/>
        </w:rPr>
        <w:t xml:space="preserve"> التعريف بتحقيق المناط الخاص باعتبار الإضافة واللقب</w:t>
      </w:r>
    </w:p>
    <w:p w14:paraId="40176709" w14:textId="77777777" w:rsidR="00FE24A7" w:rsidRDefault="00FE24A7" w:rsidP="00FE24A7">
      <w:pPr>
        <w:spacing w:after="0" w:line="360" w:lineRule="auto"/>
        <w:ind w:firstLine="48"/>
        <w:jc w:val="both"/>
        <w:rPr>
          <w:rFonts w:ascii="Arabic Transparent" w:hAnsi="Arabic Transparent" w:cs="Arabic Transparent"/>
          <w:sz w:val="28"/>
          <w:szCs w:val="28"/>
          <w:rtl/>
          <w:lang w:bidi="ar-JO"/>
        </w:rPr>
      </w:pPr>
      <w:r w:rsidRPr="00FE24A7">
        <w:rPr>
          <w:rFonts w:ascii="Arabic Transparent" w:hAnsi="Arabic Transparent" w:cs="Arabic Transparent"/>
          <w:sz w:val="28"/>
          <w:szCs w:val="28"/>
          <w:rtl/>
          <w:lang w:bidi="ar-JO"/>
        </w:rPr>
        <w:t>المطلب الأول: تعريف تحقيق المناط الخاص باعتبار الإضافة</w:t>
      </w:r>
    </w:p>
    <w:p w14:paraId="58FED6F8" w14:textId="53A2AFE6" w:rsidR="00FA7204" w:rsidRDefault="00FA7204" w:rsidP="00FE24A7">
      <w:pPr>
        <w:spacing w:after="0" w:line="360" w:lineRule="auto"/>
        <w:ind w:firstLine="48"/>
        <w:jc w:val="both"/>
        <w:rPr>
          <w:rFonts w:ascii="Arabic Transparent" w:hAnsi="Arabic Transparent" w:cs="Arabic Transparent"/>
          <w:sz w:val="28"/>
          <w:szCs w:val="28"/>
          <w:rtl/>
          <w:lang w:bidi="ar-JO"/>
        </w:rPr>
      </w:pPr>
      <w:r>
        <w:rPr>
          <w:rFonts w:ascii="Arabic Transparent" w:hAnsi="Arabic Transparent" w:cs="Arabic Transparent"/>
          <w:sz w:val="28"/>
          <w:szCs w:val="28"/>
          <w:rtl/>
          <w:lang w:bidi="ar-JO"/>
        </w:rPr>
        <w:tab/>
      </w:r>
      <w:r>
        <w:rPr>
          <w:rFonts w:ascii="Arabic Transparent" w:hAnsi="Arabic Transparent" w:cs="Arabic Transparent" w:hint="cs"/>
          <w:sz w:val="28"/>
          <w:szCs w:val="28"/>
          <w:rtl/>
          <w:lang w:bidi="ar-JO"/>
        </w:rPr>
        <w:t xml:space="preserve">الفرع الأول: </w:t>
      </w:r>
      <w:r w:rsidRPr="00FA7204">
        <w:rPr>
          <w:rFonts w:ascii="Arabic Transparent" w:hAnsi="Arabic Transparent" w:cs="Arabic Transparent"/>
          <w:sz w:val="28"/>
          <w:szCs w:val="28"/>
          <w:rtl/>
          <w:lang w:bidi="ar-JO"/>
        </w:rPr>
        <w:t>تعريف التحقيق لغةً واصطلاحاً</w:t>
      </w:r>
    </w:p>
    <w:p w14:paraId="0F088CAF" w14:textId="5850AE68" w:rsidR="00FA7204" w:rsidRDefault="00FA7204" w:rsidP="00FE24A7">
      <w:pPr>
        <w:spacing w:after="0" w:line="360" w:lineRule="auto"/>
        <w:ind w:firstLine="48"/>
        <w:jc w:val="both"/>
        <w:rPr>
          <w:rFonts w:ascii="Arabic Transparent" w:hAnsi="Arabic Transparent" w:cs="Arabic Transparent"/>
          <w:sz w:val="28"/>
          <w:szCs w:val="28"/>
          <w:rtl/>
          <w:lang w:bidi="ar-JO"/>
        </w:rPr>
      </w:pPr>
      <w:r>
        <w:rPr>
          <w:rFonts w:ascii="Arabic Transparent" w:hAnsi="Arabic Transparent" w:cs="Arabic Transparent"/>
          <w:sz w:val="28"/>
          <w:szCs w:val="28"/>
          <w:rtl/>
          <w:lang w:bidi="ar-JO"/>
        </w:rPr>
        <w:tab/>
      </w:r>
      <w:r>
        <w:rPr>
          <w:rFonts w:ascii="Arabic Transparent" w:hAnsi="Arabic Transparent" w:cs="Arabic Transparent" w:hint="cs"/>
          <w:sz w:val="28"/>
          <w:szCs w:val="28"/>
          <w:rtl/>
          <w:lang w:bidi="ar-JO"/>
        </w:rPr>
        <w:t xml:space="preserve">الفرع الثاني: </w:t>
      </w:r>
      <w:r w:rsidRPr="00FA7204">
        <w:rPr>
          <w:rFonts w:ascii="Arabic Transparent" w:hAnsi="Arabic Transparent" w:cs="Arabic Transparent"/>
          <w:sz w:val="28"/>
          <w:szCs w:val="28"/>
          <w:rtl/>
          <w:lang w:bidi="ar-JO"/>
        </w:rPr>
        <w:t>تعريف المناط لغةً واصطلاحاً</w:t>
      </w:r>
    </w:p>
    <w:p w14:paraId="57A22319" w14:textId="36AFDEAD" w:rsidR="00FA7204" w:rsidRPr="00FE24A7" w:rsidRDefault="00FA7204" w:rsidP="00FE24A7">
      <w:pPr>
        <w:spacing w:after="0" w:line="360" w:lineRule="auto"/>
        <w:ind w:firstLine="48"/>
        <w:jc w:val="both"/>
        <w:rPr>
          <w:rFonts w:ascii="Arabic Transparent" w:hAnsi="Arabic Transparent" w:cs="Arabic Transparent"/>
          <w:sz w:val="28"/>
          <w:szCs w:val="28"/>
          <w:lang w:bidi="ar-JO"/>
        </w:rPr>
      </w:pPr>
      <w:r>
        <w:rPr>
          <w:rFonts w:ascii="Arabic Transparent" w:hAnsi="Arabic Transparent" w:cs="Arabic Transparent"/>
          <w:sz w:val="28"/>
          <w:szCs w:val="28"/>
          <w:rtl/>
          <w:lang w:bidi="ar-JO"/>
        </w:rPr>
        <w:tab/>
      </w:r>
      <w:r>
        <w:rPr>
          <w:rFonts w:ascii="Arabic Transparent" w:hAnsi="Arabic Transparent" w:cs="Arabic Transparent" w:hint="cs"/>
          <w:sz w:val="28"/>
          <w:szCs w:val="28"/>
          <w:rtl/>
          <w:lang w:bidi="ar-JO"/>
        </w:rPr>
        <w:t xml:space="preserve">الفرع الثالث: </w:t>
      </w:r>
      <w:r w:rsidRPr="00FA7204">
        <w:rPr>
          <w:rFonts w:ascii="Arabic Transparent" w:hAnsi="Arabic Transparent" w:cs="Arabic Transparent"/>
          <w:sz w:val="28"/>
          <w:szCs w:val="28"/>
          <w:rtl/>
          <w:lang w:bidi="ar-JO"/>
        </w:rPr>
        <w:t xml:space="preserve">تعريف </w:t>
      </w:r>
      <w:r>
        <w:rPr>
          <w:rFonts w:ascii="Arabic Transparent" w:hAnsi="Arabic Transparent" w:cs="Arabic Transparent" w:hint="cs"/>
          <w:sz w:val="28"/>
          <w:szCs w:val="28"/>
          <w:rtl/>
          <w:lang w:bidi="ar-JO"/>
        </w:rPr>
        <w:t>الخاص</w:t>
      </w:r>
      <w:r w:rsidRPr="00FA7204">
        <w:rPr>
          <w:rFonts w:ascii="Arabic Transparent" w:hAnsi="Arabic Transparent" w:cs="Arabic Transparent"/>
          <w:sz w:val="28"/>
          <w:szCs w:val="28"/>
          <w:rtl/>
          <w:lang w:bidi="ar-JO"/>
        </w:rPr>
        <w:t xml:space="preserve"> لغةً واصطلاحاً</w:t>
      </w:r>
    </w:p>
    <w:p w14:paraId="5CD8A53A" w14:textId="77777777" w:rsidR="00FE24A7" w:rsidRDefault="00FE24A7" w:rsidP="00FE24A7">
      <w:pPr>
        <w:spacing w:after="0" w:line="360" w:lineRule="auto"/>
        <w:ind w:firstLine="48"/>
        <w:jc w:val="both"/>
        <w:rPr>
          <w:rFonts w:ascii="Arabic Transparent" w:hAnsi="Arabic Transparent" w:cs="Arabic Transparent"/>
          <w:sz w:val="28"/>
          <w:szCs w:val="28"/>
          <w:rtl/>
          <w:lang w:bidi="ar-JO"/>
        </w:rPr>
      </w:pPr>
      <w:r w:rsidRPr="00FE24A7">
        <w:rPr>
          <w:rFonts w:ascii="Arabic Transparent" w:hAnsi="Arabic Transparent" w:cs="Arabic Transparent"/>
          <w:sz w:val="28"/>
          <w:szCs w:val="28"/>
          <w:rtl/>
          <w:lang w:bidi="ar-JO"/>
        </w:rPr>
        <w:t>المطلب الثاني: تعريف تحقيق المناط الخاص باعتباره لقباً</w:t>
      </w:r>
    </w:p>
    <w:p w14:paraId="7E477D8E" w14:textId="77777777" w:rsidR="00FE24A7" w:rsidRDefault="00FE24A7" w:rsidP="00FE24A7">
      <w:pPr>
        <w:spacing w:after="0" w:line="360" w:lineRule="auto"/>
        <w:ind w:firstLine="48"/>
        <w:jc w:val="both"/>
        <w:rPr>
          <w:rFonts w:ascii="Arabic Transparent" w:hAnsi="Arabic Transparent" w:cs="Arabic Transparent"/>
          <w:sz w:val="28"/>
          <w:szCs w:val="28"/>
          <w:rtl/>
          <w:lang w:bidi="ar-JO"/>
        </w:rPr>
      </w:pPr>
      <w:r w:rsidRPr="00FE24A7">
        <w:rPr>
          <w:rFonts w:ascii="Arabic Transparent" w:hAnsi="Arabic Transparent" w:cs="Arabic Transparent"/>
          <w:sz w:val="28"/>
          <w:szCs w:val="28"/>
          <w:rtl/>
          <w:lang w:bidi="ar-JO"/>
        </w:rPr>
        <w:t>المطلب الثالث: الألفاظ ذات الصلة</w:t>
      </w:r>
    </w:p>
    <w:p w14:paraId="6FB8EC90" w14:textId="1FF2B234" w:rsidR="00FA7204" w:rsidRDefault="00FA7204" w:rsidP="00FE24A7">
      <w:pPr>
        <w:spacing w:after="0" w:line="360" w:lineRule="auto"/>
        <w:ind w:firstLine="48"/>
        <w:jc w:val="both"/>
        <w:rPr>
          <w:rFonts w:ascii="Arabic Transparent" w:hAnsi="Arabic Transparent" w:cs="Arabic Transparent"/>
          <w:sz w:val="28"/>
          <w:szCs w:val="28"/>
          <w:rtl/>
          <w:lang w:bidi="ar-JO"/>
        </w:rPr>
      </w:pPr>
      <w:r>
        <w:rPr>
          <w:rFonts w:ascii="Arabic Transparent" w:hAnsi="Arabic Transparent" w:cs="Arabic Transparent"/>
          <w:sz w:val="28"/>
          <w:szCs w:val="28"/>
          <w:rtl/>
          <w:lang w:bidi="ar-JO"/>
        </w:rPr>
        <w:tab/>
      </w:r>
      <w:r w:rsidRPr="00FA7204">
        <w:rPr>
          <w:rFonts w:ascii="Arabic Transparent" w:hAnsi="Arabic Transparent" w:cs="Arabic Transparent"/>
          <w:sz w:val="28"/>
          <w:szCs w:val="28"/>
          <w:rtl/>
          <w:lang w:bidi="ar-JO"/>
        </w:rPr>
        <w:t>الفرع الأول: تخريج المناط</w:t>
      </w:r>
    </w:p>
    <w:p w14:paraId="0F26D994" w14:textId="1EB95CB4" w:rsidR="00FA7204" w:rsidRDefault="00FA7204" w:rsidP="00FE24A7">
      <w:pPr>
        <w:spacing w:after="0" w:line="360" w:lineRule="auto"/>
        <w:ind w:firstLine="48"/>
        <w:jc w:val="both"/>
        <w:rPr>
          <w:rFonts w:ascii="Arabic Transparent" w:hAnsi="Arabic Transparent" w:cs="Arabic Transparent"/>
          <w:sz w:val="28"/>
          <w:szCs w:val="28"/>
          <w:rtl/>
          <w:lang w:bidi="ar-JO"/>
        </w:rPr>
      </w:pPr>
      <w:r>
        <w:rPr>
          <w:rFonts w:ascii="Arabic Transparent" w:hAnsi="Arabic Transparent" w:cs="Arabic Transparent"/>
          <w:sz w:val="28"/>
          <w:szCs w:val="28"/>
          <w:rtl/>
          <w:lang w:bidi="ar-JO"/>
        </w:rPr>
        <w:tab/>
      </w:r>
      <w:r>
        <w:rPr>
          <w:rFonts w:ascii="Arabic Transparent" w:hAnsi="Arabic Transparent" w:cs="Arabic Transparent" w:hint="cs"/>
          <w:sz w:val="28"/>
          <w:szCs w:val="28"/>
          <w:rtl/>
          <w:lang w:bidi="ar-JO"/>
        </w:rPr>
        <w:t>الفرع الثاني: تنقيح المناط</w:t>
      </w:r>
    </w:p>
    <w:p w14:paraId="7BED67C7" w14:textId="09BDF10A" w:rsidR="00FA7204" w:rsidRPr="00FE24A7" w:rsidRDefault="00FA7204" w:rsidP="00FE24A7">
      <w:pPr>
        <w:spacing w:after="0" w:line="360" w:lineRule="auto"/>
        <w:ind w:firstLine="48"/>
        <w:jc w:val="both"/>
        <w:rPr>
          <w:rFonts w:ascii="Arabic Transparent" w:hAnsi="Arabic Transparent" w:cs="Arabic Transparent"/>
          <w:sz w:val="28"/>
          <w:szCs w:val="28"/>
          <w:lang w:bidi="ar-JO"/>
        </w:rPr>
      </w:pPr>
      <w:r>
        <w:rPr>
          <w:rFonts w:ascii="Arabic Transparent" w:hAnsi="Arabic Transparent" w:cs="Arabic Transparent"/>
          <w:sz w:val="28"/>
          <w:szCs w:val="28"/>
          <w:rtl/>
          <w:lang w:bidi="ar-JO"/>
        </w:rPr>
        <w:tab/>
      </w:r>
      <w:r>
        <w:rPr>
          <w:rFonts w:ascii="Arabic Transparent" w:hAnsi="Arabic Transparent" w:cs="Arabic Transparent" w:hint="cs"/>
          <w:sz w:val="28"/>
          <w:szCs w:val="28"/>
          <w:rtl/>
          <w:lang w:bidi="ar-JO"/>
        </w:rPr>
        <w:t xml:space="preserve">الفرع الثالث: القياس </w:t>
      </w:r>
    </w:p>
    <w:p w14:paraId="17A8A879" w14:textId="77777777" w:rsidR="00FE24A7" w:rsidRPr="00FE24A7" w:rsidRDefault="00FE24A7" w:rsidP="00FE24A7">
      <w:pPr>
        <w:spacing w:after="0" w:line="360" w:lineRule="auto"/>
        <w:ind w:firstLine="48"/>
        <w:jc w:val="both"/>
        <w:rPr>
          <w:rFonts w:ascii="Arabic Transparent" w:hAnsi="Arabic Transparent" w:cs="Arabic Transparent"/>
          <w:sz w:val="28"/>
          <w:szCs w:val="28"/>
          <w:lang w:bidi="ar-JO"/>
        </w:rPr>
      </w:pPr>
      <w:r w:rsidRPr="00FE24A7">
        <w:rPr>
          <w:rFonts w:ascii="Arabic Transparent" w:hAnsi="Arabic Transparent" w:cs="Arabic Transparent"/>
          <w:b/>
          <w:bCs/>
          <w:sz w:val="28"/>
          <w:szCs w:val="28"/>
          <w:rtl/>
          <w:lang w:bidi="ar-JO"/>
        </w:rPr>
        <w:t>المبحث الثاني</w:t>
      </w:r>
      <w:r w:rsidRPr="00FE24A7">
        <w:rPr>
          <w:rFonts w:ascii="Arabic Transparent" w:hAnsi="Arabic Transparent" w:cs="Arabic Transparent"/>
          <w:sz w:val="28"/>
          <w:szCs w:val="28"/>
          <w:rtl/>
          <w:lang w:bidi="ar-JO"/>
        </w:rPr>
        <w:t>: مراتب تحقيق المناط</w:t>
      </w:r>
    </w:p>
    <w:p w14:paraId="3C53F569" w14:textId="77777777" w:rsidR="00FE24A7" w:rsidRPr="00FE24A7" w:rsidRDefault="00FE24A7" w:rsidP="00FE24A7">
      <w:pPr>
        <w:spacing w:after="0" w:line="360" w:lineRule="auto"/>
        <w:ind w:firstLine="48"/>
        <w:jc w:val="both"/>
        <w:rPr>
          <w:rFonts w:ascii="Arabic Transparent" w:hAnsi="Arabic Transparent" w:cs="Arabic Transparent"/>
          <w:sz w:val="28"/>
          <w:szCs w:val="28"/>
          <w:lang w:bidi="ar-JO"/>
        </w:rPr>
      </w:pPr>
      <w:r w:rsidRPr="00FE24A7">
        <w:rPr>
          <w:rFonts w:ascii="Arabic Transparent" w:hAnsi="Arabic Transparent" w:cs="Arabic Transparent"/>
          <w:sz w:val="28"/>
          <w:szCs w:val="28"/>
          <w:rtl/>
          <w:lang w:bidi="ar-JO"/>
        </w:rPr>
        <w:t>المطلب الأول: تحقيق المناط العام</w:t>
      </w:r>
    </w:p>
    <w:p w14:paraId="7BFA939C" w14:textId="77777777" w:rsidR="00FE24A7" w:rsidRDefault="00FE24A7" w:rsidP="00FE24A7">
      <w:pPr>
        <w:spacing w:after="0" w:line="360" w:lineRule="auto"/>
        <w:ind w:firstLine="48"/>
        <w:jc w:val="both"/>
        <w:rPr>
          <w:rFonts w:ascii="Arabic Transparent" w:hAnsi="Arabic Transparent" w:cs="Arabic Transparent"/>
          <w:sz w:val="28"/>
          <w:szCs w:val="28"/>
          <w:rtl/>
          <w:lang w:bidi="ar-JO"/>
        </w:rPr>
      </w:pPr>
      <w:r w:rsidRPr="00FE24A7">
        <w:rPr>
          <w:rFonts w:ascii="Arabic Transparent" w:hAnsi="Arabic Transparent" w:cs="Arabic Transparent"/>
          <w:sz w:val="28"/>
          <w:szCs w:val="28"/>
          <w:rtl/>
          <w:lang w:bidi="ar-JO"/>
        </w:rPr>
        <w:t>المطلب الثاني: تحقيق المناط الخاص</w:t>
      </w:r>
    </w:p>
    <w:p w14:paraId="13E6792C" w14:textId="161811C0" w:rsidR="00FA7204" w:rsidRDefault="00FA7204" w:rsidP="00FE24A7">
      <w:pPr>
        <w:spacing w:after="0" w:line="360" w:lineRule="auto"/>
        <w:ind w:firstLine="48"/>
        <w:jc w:val="both"/>
        <w:rPr>
          <w:rFonts w:ascii="Arabic Transparent" w:hAnsi="Arabic Transparent" w:cs="Arabic Transparent"/>
          <w:sz w:val="28"/>
          <w:szCs w:val="28"/>
          <w:rtl/>
          <w:lang w:bidi="ar-JO"/>
        </w:rPr>
      </w:pPr>
      <w:r>
        <w:rPr>
          <w:rFonts w:ascii="Arabic Transparent" w:hAnsi="Arabic Transparent" w:cs="Arabic Transparent"/>
          <w:sz w:val="28"/>
          <w:szCs w:val="28"/>
          <w:rtl/>
          <w:lang w:bidi="ar-JO"/>
        </w:rPr>
        <w:tab/>
      </w:r>
      <w:r w:rsidRPr="00FA7204">
        <w:rPr>
          <w:rFonts w:ascii="Arabic Transparent" w:hAnsi="Arabic Transparent" w:cs="Arabic Transparent"/>
          <w:sz w:val="28"/>
          <w:szCs w:val="28"/>
          <w:rtl/>
          <w:lang w:bidi="ar-JO"/>
        </w:rPr>
        <w:t>الفرع الأول: تحقيق المناط الخاص في الأنواع</w:t>
      </w:r>
    </w:p>
    <w:p w14:paraId="70381217" w14:textId="7B62CBFD" w:rsidR="00FA7204" w:rsidRPr="00FE24A7" w:rsidRDefault="00FA7204" w:rsidP="00FE24A7">
      <w:pPr>
        <w:spacing w:after="0" w:line="360" w:lineRule="auto"/>
        <w:ind w:firstLine="48"/>
        <w:jc w:val="both"/>
        <w:rPr>
          <w:rFonts w:ascii="Arabic Transparent" w:hAnsi="Arabic Transparent" w:cs="Arabic Transparent"/>
          <w:sz w:val="28"/>
          <w:szCs w:val="28"/>
          <w:lang w:bidi="ar-JO"/>
        </w:rPr>
      </w:pPr>
      <w:r>
        <w:rPr>
          <w:rFonts w:ascii="Arabic Transparent" w:hAnsi="Arabic Transparent" w:cs="Arabic Transparent"/>
          <w:sz w:val="28"/>
          <w:szCs w:val="28"/>
          <w:rtl/>
          <w:lang w:bidi="ar-JO"/>
        </w:rPr>
        <w:tab/>
      </w:r>
      <w:r>
        <w:rPr>
          <w:rFonts w:ascii="Arabic Transparent" w:hAnsi="Arabic Transparent" w:cs="Arabic Transparent" w:hint="cs"/>
          <w:sz w:val="28"/>
          <w:szCs w:val="28"/>
          <w:rtl/>
          <w:lang w:bidi="ar-JO"/>
        </w:rPr>
        <w:t>الفرع الثاني: تحقيق المناط الخاص في الأفراد</w:t>
      </w:r>
    </w:p>
    <w:p w14:paraId="3003495C" w14:textId="56FDB90A" w:rsidR="00FE24A7" w:rsidRDefault="00FE24A7" w:rsidP="00FE24A7">
      <w:pPr>
        <w:spacing w:after="0" w:line="360" w:lineRule="auto"/>
        <w:ind w:firstLine="48"/>
        <w:jc w:val="both"/>
        <w:rPr>
          <w:rFonts w:ascii="Arabic Transparent" w:hAnsi="Arabic Transparent" w:cs="Arabic Transparent"/>
          <w:sz w:val="28"/>
          <w:szCs w:val="28"/>
          <w:rtl/>
          <w:lang w:bidi="ar-JO"/>
        </w:rPr>
      </w:pPr>
      <w:r w:rsidRPr="00FE24A7">
        <w:rPr>
          <w:rFonts w:ascii="Arabic Transparent" w:hAnsi="Arabic Transparent" w:cs="Arabic Transparent"/>
          <w:b/>
          <w:bCs/>
          <w:sz w:val="28"/>
          <w:szCs w:val="28"/>
          <w:rtl/>
          <w:lang w:bidi="ar-JO"/>
        </w:rPr>
        <w:t>المبحث الثالث:</w:t>
      </w:r>
      <w:r w:rsidRPr="00FE24A7">
        <w:rPr>
          <w:rFonts w:ascii="Arabic Transparent" w:hAnsi="Arabic Transparent" w:cs="Arabic Transparent"/>
          <w:sz w:val="28"/>
          <w:szCs w:val="28"/>
          <w:rtl/>
          <w:lang w:bidi="ar-JO"/>
        </w:rPr>
        <w:t xml:space="preserve"> تحقيق المناط الخاص نشأته ومشروعيته وأهميته</w:t>
      </w:r>
    </w:p>
    <w:p w14:paraId="1203C84B" w14:textId="77777777" w:rsidR="00FE24A7" w:rsidRDefault="00FE24A7" w:rsidP="00FE24A7">
      <w:pPr>
        <w:spacing w:after="0" w:line="360" w:lineRule="auto"/>
        <w:ind w:firstLine="48"/>
        <w:jc w:val="both"/>
        <w:rPr>
          <w:rFonts w:ascii="Arabic Transparent" w:hAnsi="Arabic Transparent" w:cs="Arabic Transparent"/>
          <w:sz w:val="28"/>
          <w:szCs w:val="28"/>
          <w:rtl/>
          <w:lang w:bidi="ar-JO"/>
        </w:rPr>
      </w:pPr>
      <w:r w:rsidRPr="00FE24A7">
        <w:rPr>
          <w:rFonts w:ascii="Arabic Transparent" w:hAnsi="Arabic Transparent" w:cs="Arabic Transparent"/>
          <w:sz w:val="28"/>
          <w:szCs w:val="28"/>
          <w:rtl/>
          <w:lang w:bidi="ar-JO"/>
        </w:rPr>
        <w:t>المطلب الأول: نشأة تحقيق المناط الخاص</w:t>
      </w:r>
    </w:p>
    <w:p w14:paraId="3627AF80" w14:textId="5552DC8F" w:rsidR="00FE24A7" w:rsidRDefault="008770F2" w:rsidP="008770F2">
      <w:pPr>
        <w:spacing w:after="0" w:line="360" w:lineRule="auto"/>
        <w:ind w:firstLine="48"/>
        <w:jc w:val="both"/>
        <w:rPr>
          <w:rFonts w:ascii="Arabic Transparent" w:hAnsi="Arabic Transparent" w:cs="Arabic Transparent"/>
          <w:sz w:val="28"/>
          <w:szCs w:val="28"/>
          <w:rtl/>
          <w:lang w:bidi="ar-JO"/>
        </w:rPr>
      </w:pPr>
      <w:r>
        <w:rPr>
          <w:rFonts w:ascii="Arabic Transparent" w:hAnsi="Arabic Transparent" w:cs="Arabic Transparent"/>
          <w:sz w:val="28"/>
          <w:szCs w:val="28"/>
          <w:rtl/>
          <w:lang w:bidi="ar-JO"/>
        </w:rPr>
        <w:tab/>
      </w:r>
      <w:r w:rsidR="00FE24A7" w:rsidRPr="00FE24A7">
        <w:rPr>
          <w:rFonts w:ascii="Arabic Transparent" w:hAnsi="Arabic Transparent" w:cs="Arabic Transparent"/>
          <w:sz w:val="28"/>
          <w:szCs w:val="28"/>
          <w:rtl/>
          <w:lang w:bidi="ar-JO"/>
        </w:rPr>
        <w:t>المطلب الثاني</w:t>
      </w:r>
      <w:r w:rsidR="005D7B91">
        <w:rPr>
          <w:rFonts w:ascii="Arabic Transparent" w:hAnsi="Arabic Transparent" w:cs="Arabic Transparent"/>
          <w:sz w:val="28"/>
          <w:szCs w:val="28"/>
          <w:rtl/>
          <w:lang w:bidi="ar-JO"/>
        </w:rPr>
        <w:t xml:space="preserve">: </w:t>
      </w:r>
      <w:r w:rsidR="00FE24A7" w:rsidRPr="00FE24A7">
        <w:rPr>
          <w:rFonts w:ascii="Arabic Transparent" w:hAnsi="Arabic Transparent" w:cs="Arabic Transparent"/>
          <w:sz w:val="28"/>
          <w:szCs w:val="28"/>
          <w:rtl/>
          <w:lang w:bidi="ar-JO"/>
        </w:rPr>
        <w:t>مشروعية تحقيق المناط الخاص</w:t>
      </w:r>
    </w:p>
    <w:p w14:paraId="2B8A5EE5" w14:textId="69AA2DE0" w:rsidR="008770F2" w:rsidRDefault="008770F2" w:rsidP="00FE24A7">
      <w:pPr>
        <w:spacing w:after="0" w:line="360" w:lineRule="auto"/>
        <w:ind w:firstLine="48"/>
        <w:jc w:val="both"/>
        <w:rPr>
          <w:rFonts w:ascii="Arabic Transparent" w:hAnsi="Arabic Transparent" w:cs="Arabic Transparent"/>
          <w:sz w:val="28"/>
          <w:szCs w:val="28"/>
          <w:rtl/>
          <w:lang w:bidi="ar-JO"/>
        </w:rPr>
      </w:pPr>
      <w:r>
        <w:rPr>
          <w:rFonts w:ascii="Arabic Transparent" w:hAnsi="Arabic Transparent" w:cs="Arabic Transparent"/>
          <w:sz w:val="28"/>
          <w:szCs w:val="28"/>
          <w:rtl/>
          <w:lang w:bidi="ar-JO"/>
        </w:rPr>
        <w:lastRenderedPageBreak/>
        <w:tab/>
      </w:r>
      <w:r w:rsidRPr="008770F2">
        <w:rPr>
          <w:rFonts w:ascii="Arabic Transparent" w:hAnsi="Arabic Transparent" w:cs="Arabic Transparent"/>
          <w:sz w:val="28"/>
          <w:szCs w:val="28"/>
          <w:rtl/>
          <w:lang w:bidi="ar-JO"/>
        </w:rPr>
        <w:t>الفرع الأول: من السنة النبوية:</w:t>
      </w:r>
    </w:p>
    <w:p w14:paraId="7A07C53B" w14:textId="1F523381" w:rsidR="008770F2" w:rsidRDefault="008770F2" w:rsidP="00FE24A7">
      <w:pPr>
        <w:spacing w:after="0" w:line="360" w:lineRule="auto"/>
        <w:ind w:firstLine="48"/>
        <w:jc w:val="both"/>
        <w:rPr>
          <w:rFonts w:ascii="Arabic Transparent" w:hAnsi="Arabic Transparent" w:cs="Arabic Transparent"/>
          <w:sz w:val="28"/>
          <w:szCs w:val="28"/>
          <w:rtl/>
          <w:lang w:bidi="ar-JO"/>
        </w:rPr>
      </w:pPr>
      <w:r>
        <w:rPr>
          <w:rFonts w:ascii="Arabic Transparent" w:hAnsi="Arabic Transparent" w:cs="Arabic Transparent"/>
          <w:sz w:val="28"/>
          <w:szCs w:val="28"/>
          <w:rtl/>
          <w:lang w:bidi="ar-JO"/>
        </w:rPr>
        <w:tab/>
      </w:r>
      <w:r w:rsidRPr="008770F2">
        <w:rPr>
          <w:rFonts w:ascii="Arabic Transparent" w:hAnsi="Arabic Transparent" w:cs="Arabic Transparent"/>
          <w:sz w:val="28"/>
          <w:szCs w:val="28"/>
          <w:rtl/>
          <w:lang w:bidi="ar-JO"/>
        </w:rPr>
        <w:t>الفرع الثاني: من آثار الصحابة الكرام -رضي الله عنهم-</w:t>
      </w:r>
      <w:r w:rsidR="00151AED">
        <w:rPr>
          <w:rFonts w:ascii="Arabic Transparent" w:hAnsi="Arabic Transparent" w:cs="Arabic Transparent"/>
          <w:sz w:val="28"/>
          <w:szCs w:val="28"/>
          <w:rtl/>
          <w:lang w:bidi="ar-JO"/>
        </w:rPr>
        <w:t>:</w:t>
      </w:r>
    </w:p>
    <w:p w14:paraId="5EC68BFB" w14:textId="13FE56BC" w:rsidR="008770F2" w:rsidRDefault="008770F2" w:rsidP="00FE24A7">
      <w:pPr>
        <w:spacing w:after="0" w:line="360" w:lineRule="auto"/>
        <w:ind w:firstLine="48"/>
        <w:jc w:val="both"/>
        <w:rPr>
          <w:rFonts w:ascii="Arabic Transparent" w:hAnsi="Arabic Transparent" w:cs="Arabic Transparent"/>
          <w:sz w:val="28"/>
          <w:szCs w:val="28"/>
          <w:rtl/>
          <w:lang w:bidi="ar-JO"/>
        </w:rPr>
      </w:pPr>
      <w:r>
        <w:rPr>
          <w:rFonts w:ascii="Arabic Transparent" w:hAnsi="Arabic Transparent" w:cs="Arabic Transparent"/>
          <w:sz w:val="28"/>
          <w:szCs w:val="28"/>
          <w:rtl/>
          <w:lang w:bidi="ar-JO"/>
        </w:rPr>
        <w:tab/>
      </w:r>
      <w:r>
        <w:rPr>
          <w:rFonts w:ascii="Arabic Transparent" w:hAnsi="Arabic Transparent" w:cs="Arabic Transparent" w:hint="cs"/>
          <w:sz w:val="28"/>
          <w:szCs w:val="28"/>
          <w:rtl/>
          <w:lang w:bidi="ar-JO"/>
        </w:rPr>
        <w:t>الفرع الثالث: من الإجماع</w:t>
      </w:r>
    </w:p>
    <w:p w14:paraId="060986AE" w14:textId="6DCC4FFC" w:rsidR="008770F2" w:rsidRPr="00FE24A7" w:rsidRDefault="008770F2" w:rsidP="00FE24A7">
      <w:pPr>
        <w:spacing w:after="0" w:line="360" w:lineRule="auto"/>
        <w:ind w:firstLine="48"/>
        <w:jc w:val="both"/>
        <w:rPr>
          <w:rFonts w:ascii="Arabic Transparent" w:hAnsi="Arabic Transparent" w:cs="Arabic Transparent"/>
          <w:sz w:val="28"/>
          <w:szCs w:val="28"/>
          <w:lang w:bidi="ar-JO"/>
        </w:rPr>
      </w:pPr>
      <w:r>
        <w:rPr>
          <w:rFonts w:ascii="Arabic Transparent" w:hAnsi="Arabic Transparent" w:cs="Arabic Transparent"/>
          <w:sz w:val="28"/>
          <w:szCs w:val="28"/>
          <w:rtl/>
          <w:lang w:bidi="ar-JO"/>
        </w:rPr>
        <w:tab/>
      </w:r>
      <w:r>
        <w:rPr>
          <w:rFonts w:ascii="Arabic Transparent" w:hAnsi="Arabic Transparent" w:cs="Arabic Transparent" w:hint="cs"/>
          <w:sz w:val="28"/>
          <w:szCs w:val="28"/>
          <w:rtl/>
          <w:lang w:bidi="ar-JO"/>
        </w:rPr>
        <w:t>الفرع الرابع: من المعقول</w:t>
      </w:r>
    </w:p>
    <w:p w14:paraId="2B849B91" w14:textId="77777777" w:rsidR="00FE24A7" w:rsidRPr="00FE24A7" w:rsidRDefault="00FE24A7" w:rsidP="00FE24A7">
      <w:pPr>
        <w:spacing w:after="0" w:line="360" w:lineRule="auto"/>
        <w:ind w:firstLine="48"/>
        <w:jc w:val="both"/>
        <w:rPr>
          <w:rFonts w:ascii="Arabic Transparent" w:hAnsi="Arabic Transparent" w:cs="Arabic Transparent"/>
          <w:sz w:val="28"/>
          <w:szCs w:val="28"/>
          <w:lang w:bidi="ar-JO"/>
        </w:rPr>
      </w:pPr>
      <w:r w:rsidRPr="00FE24A7">
        <w:rPr>
          <w:rFonts w:ascii="Arabic Transparent" w:hAnsi="Arabic Transparent" w:cs="Arabic Transparent"/>
          <w:sz w:val="28"/>
          <w:szCs w:val="28"/>
          <w:rtl/>
          <w:lang w:bidi="ar-JO"/>
        </w:rPr>
        <w:t>المطلب الثالث: أهمية تحقيق المناط الخاص</w:t>
      </w:r>
    </w:p>
    <w:p w14:paraId="1950C9E4" w14:textId="77777777" w:rsidR="00FE24A7" w:rsidRPr="00FE24A7" w:rsidRDefault="00FE24A7" w:rsidP="00FE24A7">
      <w:pPr>
        <w:spacing w:after="0" w:line="360" w:lineRule="auto"/>
        <w:ind w:firstLine="48"/>
        <w:jc w:val="both"/>
        <w:rPr>
          <w:rFonts w:ascii="Arabic Transparent" w:hAnsi="Arabic Transparent" w:cs="Arabic Transparent"/>
          <w:sz w:val="28"/>
          <w:szCs w:val="28"/>
          <w:lang w:bidi="ar-JO"/>
        </w:rPr>
      </w:pPr>
      <w:r w:rsidRPr="00FA7204">
        <w:rPr>
          <w:rFonts w:ascii="Arabic Transparent" w:hAnsi="Arabic Transparent" w:cs="Arabic Transparent"/>
          <w:b/>
          <w:bCs/>
          <w:sz w:val="28"/>
          <w:szCs w:val="28"/>
          <w:rtl/>
          <w:lang w:bidi="ar-JO"/>
        </w:rPr>
        <w:t>المبحث الرابع</w:t>
      </w:r>
      <w:r w:rsidRPr="00FE24A7">
        <w:rPr>
          <w:rFonts w:ascii="Arabic Transparent" w:hAnsi="Arabic Transparent" w:cs="Arabic Transparent"/>
          <w:sz w:val="28"/>
          <w:szCs w:val="28"/>
          <w:rtl/>
          <w:lang w:bidi="ar-JO"/>
        </w:rPr>
        <w:t>: تحقيق المناط الخاص موقعه ومجالاته وضوابطه</w:t>
      </w:r>
    </w:p>
    <w:p w14:paraId="4B5DFCDB" w14:textId="77777777" w:rsidR="00FE24A7" w:rsidRDefault="00FE24A7" w:rsidP="00FE24A7">
      <w:pPr>
        <w:spacing w:after="0" w:line="360" w:lineRule="auto"/>
        <w:ind w:firstLine="48"/>
        <w:jc w:val="both"/>
        <w:rPr>
          <w:rFonts w:ascii="Arabic Transparent" w:hAnsi="Arabic Transparent" w:cs="Arabic Transparent"/>
          <w:sz w:val="28"/>
          <w:szCs w:val="28"/>
          <w:rtl/>
          <w:lang w:bidi="ar-JO"/>
        </w:rPr>
      </w:pPr>
      <w:r w:rsidRPr="00FE24A7">
        <w:rPr>
          <w:rFonts w:ascii="Arabic Transparent" w:hAnsi="Arabic Transparent" w:cs="Arabic Transparent"/>
          <w:sz w:val="28"/>
          <w:szCs w:val="28"/>
          <w:rtl/>
          <w:lang w:bidi="ar-JO"/>
        </w:rPr>
        <w:t>المطلب الأول: موقع تحقيق المناط الخاص من الاجتهاد</w:t>
      </w:r>
    </w:p>
    <w:p w14:paraId="12A184CA" w14:textId="5D97C78D" w:rsidR="008770F2" w:rsidRDefault="008770F2" w:rsidP="00FE24A7">
      <w:pPr>
        <w:spacing w:after="0" w:line="360" w:lineRule="auto"/>
        <w:ind w:firstLine="48"/>
        <w:jc w:val="both"/>
        <w:rPr>
          <w:rFonts w:ascii="Arabic Transparent" w:hAnsi="Arabic Transparent" w:cs="Arabic Transparent"/>
          <w:sz w:val="28"/>
          <w:szCs w:val="28"/>
          <w:rtl/>
          <w:lang w:bidi="ar-JO"/>
        </w:rPr>
      </w:pPr>
      <w:r>
        <w:rPr>
          <w:rFonts w:ascii="Arabic Transparent" w:hAnsi="Arabic Transparent" w:cs="Arabic Transparent"/>
          <w:sz w:val="28"/>
          <w:szCs w:val="28"/>
          <w:rtl/>
          <w:lang w:bidi="ar-JO"/>
        </w:rPr>
        <w:tab/>
      </w:r>
      <w:r w:rsidRPr="008770F2">
        <w:rPr>
          <w:rFonts w:ascii="Arabic Transparent" w:hAnsi="Arabic Transparent" w:cs="Arabic Transparent"/>
          <w:sz w:val="28"/>
          <w:szCs w:val="28"/>
          <w:rtl/>
          <w:lang w:bidi="ar-JO"/>
        </w:rPr>
        <w:t>الفرع الأول</w:t>
      </w:r>
      <w:r w:rsidR="005D7B91">
        <w:rPr>
          <w:rFonts w:ascii="Arabic Transparent" w:hAnsi="Arabic Transparent" w:cs="Arabic Transparent"/>
          <w:sz w:val="28"/>
          <w:szCs w:val="28"/>
          <w:rtl/>
          <w:lang w:bidi="ar-JO"/>
        </w:rPr>
        <w:t xml:space="preserve">: </w:t>
      </w:r>
      <w:r w:rsidRPr="008770F2">
        <w:rPr>
          <w:rFonts w:ascii="Arabic Transparent" w:hAnsi="Arabic Transparent" w:cs="Arabic Transparent"/>
          <w:sz w:val="28"/>
          <w:szCs w:val="28"/>
          <w:rtl/>
          <w:lang w:bidi="ar-JO"/>
        </w:rPr>
        <w:t>التصور</w:t>
      </w:r>
    </w:p>
    <w:p w14:paraId="48FF6A12" w14:textId="3CCEFA3C" w:rsidR="008770F2" w:rsidRDefault="008770F2" w:rsidP="00FE24A7">
      <w:pPr>
        <w:spacing w:after="0" w:line="360" w:lineRule="auto"/>
        <w:ind w:firstLine="48"/>
        <w:jc w:val="both"/>
        <w:rPr>
          <w:rFonts w:ascii="Arabic Transparent" w:hAnsi="Arabic Transparent" w:cs="Arabic Transparent"/>
          <w:sz w:val="28"/>
          <w:szCs w:val="28"/>
          <w:rtl/>
          <w:lang w:bidi="ar-JO"/>
        </w:rPr>
      </w:pPr>
      <w:r>
        <w:rPr>
          <w:rFonts w:ascii="Arabic Transparent" w:hAnsi="Arabic Transparent" w:cs="Arabic Transparent"/>
          <w:sz w:val="28"/>
          <w:szCs w:val="28"/>
          <w:rtl/>
          <w:lang w:bidi="ar-JO"/>
        </w:rPr>
        <w:tab/>
      </w:r>
      <w:r>
        <w:rPr>
          <w:rFonts w:ascii="Arabic Transparent" w:hAnsi="Arabic Transparent" w:cs="Arabic Transparent" w:hint="cs"/>
          <w:sz w:val="28"/>
          <w:szCs w:val="28"/>
          <w:rtl/>
          <w:lang w:bidi="ar-JO"/>
        </w:rPr>
        <w:t xml:space="preserve">الفرع الثاني: التكييف الفقهي </w:t>
      </w:r>
    </w:p>
    <w:p w14:paraId="419734F5" w14:textId="10E92567" w:rsidR="008770F2" w:rsidRPr="00FE24A7" w:rsidRDefault="008770F2" w:rsidP="00FE24A7">
      <w:pPr>
        <w:spacing w:after="0" w:line="360" w:lineRule="auto"/>
        <w:ind w:firstLine="48"/>
        <w:jc w:val="both"/>
        <w:rPr>
          <w:rFonts w:ascii="Arabic Transparent" w:hAnsi="Arabic Transparent" w:cs="Arabic Transparent"/>
          <w:sz w:val="28"/>
          <w:szCs w:val="28"/>
          <w:lang w:bidi="ar-JO"/>
        </w:rPr>
      </w:pPr>
      <w:r>
        <w:rPr>
          <w:rFonts w:ascii="Arabic Transparent" w:hAnsi="Arabic Transparent" w:cs="Arabic Transparent"/>
          <w:sz w:val="28"/>
          <w:szCs w:val="28"/>
          <w:rtl/>
          <w:lang w:bidi="ar-JO"/>
        </w:rPr>
        <w:tab/>
      </w:r>
      <w:r w:rsidRPr="008770F2">
        <w:rPr>
          <w:rFonts w:ascii="Arabic Transparent" w:hAnsi="Arabic Transparent" w:cs="Arabic Transparent"/>
          <w:sz w:val="28"/>
          <w:szCs w:val="28"/>
          <w:rtl/>
          <w:lang w:bidi="ar-JO"/>
        </w:rPr>
        <w:t>الفرع الثالث: التطبيق</w:t>
      </w:r>
    </w:p>
    <w:p w14:paraId="6FBA2CE8" w14:textId="0DC70FA1" w:rsidR="00FE24A7" w:rsidRPr="00FE24A7" w:rsidRDefault="00FE24A7" w:rsidP="00FE24A7">
      <w:pPr>
        <w:spacing w:after="0" w:line="360" w:lineRule="auto"/>
        <w:ind w:firstLine="48"/>
        <w:jc w:val="both"/>
        <w:rPr>
          <w:rFonts w:ascii="Arabic Transparent" w:hAnsi="Arabic Transparent" w:cs="Arabic Transparent"/>
          <w:sz w:val="28"/>
          <w:szCs w:val="28"/>
          <w:lang w:bidi="ar-JO"/>
        </w:rPr>
      </w:pPr>
      <w:r w:rsidRPr="00FE24A7">
        <w:rPr>
          <w:rFonts w:ascii="Arabic Transparent" w:hAnsi="Arabic Transparent" w:cs="Arabic Transparent"/>
          <w:sz w:val="28"/>
          <w:szCs w:val="28"/>
          <w:rtl/>
          <w:lang w:bidi="ar-JO"/>
        </w:rPr>
        <w:t>المطلب الثاني: مجال تحقيق المناط الخاص</w:t>
      </w:r>
    </w:p>
    <w:p w14:paraId="5459A7D5" w14:textId="28AF5B45" w:rsidR="00FE24A7" w:rsidRDefault="00FE24A7" w:rsidP="00FE24A7">
      <w:pPr>
        <w:spacing w:after="0" w:line="360" w:lineRule="auto"/>
        <w:ind w:firstLine="48"/>
        <w:jc w:val="both"/>
        <w:rPr>
          <w:rFonts w:ascii="Arabic Transparent" w:hAnsi="Arabic Transparent" w:cs="Arabic Transparent"/>
          <w:sz w:val="28"/>
          <w:szCs w:val="28"/>
          <w:rtl/>
          <w:lang w:bidi="ar-JO"/>
        </w:rPr>
      </w:pPr>
      <w:r w:rsidRPr="00FE24A7">
        <w:rPr>
          <w:rFonts w:ascii="Arabic Transparent" w:hAnsi="Arabic Transparent" w:cs="Arabic Transparent"/>
          <w:sz w:val="28"/>
          <w:szCs w:val="28"/>
          <w:rtl/>
          <w:lang w:bidi="ar-JO"/>
        </w:rPr>
        <w:t>المطلب الثالث: ضوابط تحقيق المناط الخاص</w:t>
      </w:r>
    </w:p>
    <w:p w14:paraId="2C7F738E" w14:textId="30AAB82E" w:rsidR="00EE1CAB" w:rsidRDefault="00EE1CAB" w:rsidP="00FE24A7">
      <w:pPr>
        <w:spacing w:after="0" w:line="360" w:lineRule="auto"/>
        <w:ind w:firstLine="48"/>
        <w:jc w:val="both"/>
        <w:rPr>
          <w:rFonts w:ascii="Arabic Transparent" w:hAnsi="Arabic Transparent" w:cs="Arabic Transparent"/>
          <w:sz w:val="28"/>
          <w:szCs w:val="28"/>
          <w:rtl/>
          <w:lang w:bidi="ar-JO"/>
        </w:rPr>
      </w:pPr>
      <w:r>
        <w:rPr>
          <w:rFonts w:ascii="Arabic Transparent" w:hAnsi="Arabic Transparent" w:cs="Arabic Transparent"/>
          <w:sz w:val="28"/>
          <w:szCs w:val="28"/>
          <w:rtl/>
          <w:lang w:bidi="ar-JO"/>
        </w:rPr>
        <w:tab/>
      </w:r>
      <w:r w:rsidRPr="00EE1CAB">
        <w:rPr>
          <w:rFonts w:ascii="Arabic Transparent" w:hAnsi="Arabic Transparent" w:cs="Arabic Transparent"/>
          <w:sz w:val="28"/>
          <w:szCs w:val="28"/>
          <w:rtl/>
          <w:lang w:bidi="ar-JO"/>
        </w:rPr>
        <w:t>الفرع الأول: الإلمام بالواقعة</w:t>
      </w:r>
    </w:p>
    <w:p w14:paraId="1F7D8903" w14:textId="6A4D405A" w:rsidR="00EE1CAB" w:rsidRDefault="00EE1CAB" w:rsidP="00FE24A7">
      <w:pPr>
        <w:spacing w:after="0" w:line="360" w:lineRule="auto"/>
        <w:ind w:firstLine="48"/>
        <w:jc w:val="both"/>
        <w:rPr>
          <w:rFonts w:ascii="Arabic Transparent" w:hAnsi="Arabic Transparent" w:cs="Arabic Transparent"/>
          <w:sz w:val="28"/>
          <w:szCs w:val="28"/>
          <w:rtl/>
          <w:lang w:bidi="ar-JO"/>
        </w:rPr>
      </w:pPr>
      <w:r>
        <w:rPr>
          <w:rFonts w:ascii="Arabic Transparent" w:hAnsi="Arabic Transparent" w:cs="Arabic Transparent"/>
          <w:sz w:val="28"/>
          <w:szCs w:val="28"/>
          <w:rtl/>
          <w:lang w:bidi="ar-JO"/>
        </w:rPr>
        <w:tab/>
      </w:r>
      <w:r w:rsidRPr="00EE1CAB">
        <w:rPr>
          <w:rFonts w:ascii="Arabic Transparent" w:hAnsi="Arabic Transparent" w:cs="Arabic Transparent"/>
          <w:sz w:val="28"/>
          <w:szCs w:val="28"/>
          <w:rtl/>
          <w:lang w:bidi="ar-JO"/>
        </w:rPr>
        <w:t>الفرع الثاني: مراعاة خصوصية المناط</w:t>
      </w:r>
    </w:p>
    <w:p w14:paraId="12315A42" w14:textId="20687D60" w:rsidR="00EE1CAB" w:rsidRPr="00FE24A7" w:rsidRDefault="00EE1CAB" w:rsidP="00FE24A7">
      <w:pPr>
        <w:spacing w:after="0" w:line="360" w:lineRule="auto"/>
        <w:ind w:firstLine="48"/>
        <w:jc w:val="both"/>
        <w:rPr>
          <w:rFonts w:ascii="Arabic Transparent" w:hAnsi="Arabic Transparent" w:cs="Arabic Transparent"/>
          <w:sz w:val="28"/>
          <w:szCs w:val="28"/>
          <w:lang w:bidi="ar-JO"/>
        </w:rPr>
      </w:pPr>
      <w:r>
        <w:rPr>
          <w:rFonts w:ascii="Arabic Transparent" w:hAnsi="Arabic Transparent" w:cs="Arabic Transparent"/>
          <w:sz w:val="28"/>
          <w:szCs w:val="28"/>
          <w:rtl/>
          <w:lang w:bidi="ar-JO"/>
        </w:rPr>
        <w:tab/>
      </w:r>
      <w:r w:rsidRPr="00EE1CAB">
        <w:rPr>
          <w:rFonts w:ascii="Arabic Transparent" w:hAnsi="Arabic Transparent" w:cs="Arabic Transparent"/>
          <w:sz w:val="28"/>
          <w:szCs w:val="28"/>
          <w:rtl/>
          <w:lang w:bidi="ar-JO"/>
        </w:rPr>
        <w:t>الفرع الثالث: الرجوع إلى أصحاب الاختصاص</w:t>
      </w:r>
    </w:p>
    <w:p w14:paraId="0E88716C" w14:textId="77777777" w:rsidR="00FE24A7" w:rsidRPr="00FE24A7" w:rsidRDefault="00FE24A7" w:rsidP="00FE24A7">
      <w:pPr>
        <w:spacing w:after="0" w:line="360" w:lineRule="auto"/>
        <w:ind w:firstLine="48"/>
        <w:jc w:val="both"/>
        <w:rPr>
          <w:rFonts w:ascii="Arabic Transparent" w:hAnsi="Arabic Transparent" w:cs="Arabic Transparent"/>
          <w:b/>
          <w:bCs/>
          <w:sz w:val="28"/>
          <w:szCs w:val="28"/>
          <w:lang w:bidi="ar-JO"/>
        </w:rPr>
      </w:pPr>
      <w:r w:rsidRPr="00FE24A7">
        <w:rPr>
          <w:rFonts w:ascii="Arabic Transparent" w:hAnsi="Arabic Transparent" w:cs="Arabic Transparent"/>
          <w:b/>
          <w:bCs/>
          <w:sz w:val="28"/>
          <w:szCs w:val="28"/>
          <w:rtl/>
          <w:lang w:bidi="ar-JO"/>
        </w:rPr>
        <w:t>الفصل الثاني: التَّفاوت في المعاملات المالية تعريفا وتأصيلاً</w:t>
      </w:r>
    </w:p>
    <w:p w14:paraId="2373E3F3" w14:textId="77777777" w:rsidR="00FE24A7" w:rsidRDefault="00FE24A7" w:rsidP="00FE24A7">
      <w:pPr>
        <w:spacing w:after="0" w:line="360" w:lineRule="auto"/>
        <w:ind w:firstLine="48"/>
        <w:jc w:val="both"/>
        <w:rPr>
          <w:rFonts w:ascii="Arabic Transparent" w:hAnsi="Arabic Transparent" w:cs="Arabic Transparent"/>
          <w:sz w:val="28"/>
          <w:szCs w:val="28"/>
          <w:rtl/>
          <w:lang w:bidi="ar-JO"/>
        </w:rPr>
      </w:pPr>
      <w:r w:rsidRPr="00FA7204">
        <w:rPr>
          <w:rFonts w:ascii="Arabic Transparent" w:hAnsi="Arabic Transparent" w:cs="Arabic Transparent"/>
          <w:b/>
          <w:bCs/>
          <w:sz w:val="28"/>
          <w:szCs w:val="28"/>
          <w:rtl/>
          <w:lang w:bidi="ar-JO"/>
        </w:rPr>
        <w:t>المبحث الأول</w:t>
      </w:r>
      <w:r w:rsidRPr="00FE24A7">
        <w:rPr>
          <w:rFonts w:ascii="Arabic Transparent" w:hAnsi="Arabic Transparent" w:cs="Arabic Transparent"/>
          <w:sz w:val="28"/>
          <w:szCs w:val="28"/>
          <w:rtl/>
          <w:lang w:bidi="ar-JO"/>
        </w:rPr>
        <w:t>: تعريف التَّفاوت والألفاظ ذات الصلة</w:t>
      </w:r>
    </w:p>
    <w:p w14:paraId="2FFC9F18" w14:textId="77777777" w:rsidR="00FE24A7" w:rsidRDefault="00FE24A7" w:rsidP="00FE24A7">
      <w:pPr>
        <w:spacing w:after="0" w:line="360" w:lineRule="auto"/>
        <w:ind w:firstLine="48"/>
        <w:jc w:val="both"/>
        <w:rPr>
          <w:rFonts w:ascii="Arabic Transparent" w:hAnsi="Arabic Transparent" w:cs="Arabic Transparent"/>
          <w:sz w:val="28"/>
          <w:szCs w:val="28"/>
          <w:rtl/>
          <w:lang w:bidi="ar-JO"/>
        </w:rPr>
      </w:pPr>
      <w:r w:rsidRPr="00FE24A7">
        <w:rPr>
          <w:rFonts w:ascii="Arabic Transparent" w:hAnsi="Arabic Transparent" w:cs="Arabic Transparent"/>
          <w:sz w:val="28"/>
          <w:szCs w:val="28"/>
          <w:rtl/>
          <w:lang w:bidi="ar-JO"/>
        </w:rPr>
        <w:t>المطلب الأول: تعريف التَّفاوت لغةً واصطلاحاً</w:t>
      </w:r>
    </w:p>
    <w:p w14:paraId="2E7318A8" w14:textId="1A1274D5" w:rsidR="000974BB" w:rsidRPr="000974BB" w:rsidRDefault="000974BB" w:rsidP="000974BB">
      <w:pPr>
        <w:spacing w:after="0" w:line="360" w:lineRule="auto"/>
        <w:ind w:firstLine="48"/>
        <w:rPr>
          <w:rFonts w:ascii="Arabic Transparent" w:hAnsi="Arabic Transparent" w:cs="Arabic Transparent"/>
          <w:sz w:val="28"/>
          <w:szCs w:val="28"/>
          <w:rtl/>
          <w:lang w:bidi="ar-JO"/>
        </w:rPr>
      </w:pPr>
      <w:r w:rsidRPr="000974BB">
        <w:rPr>
          <w:rFonts w:ascii="Arabic Transparent" w:hAnsi="Arabic Transparent" w:cs="Arabic Transparent"/>
          <w:sz w:val="28"/>
          <w:szCs w:val="28"/>
          <w:rtl/>
          <w:lang w:bidi="ar-JO"/>
        </w:rPr>
        <w:tab/>
        <w:t>الفرع الأول: التَّفاوت لغة</w:t>
      </w:r>
    </w:p>
    <w:p w14:paraId="464177F1" w14:textId="7EEFCF07" w:rsidR="000974BB" w:rsidRPr="00FE24A7" w:rsidRDefault="000974BB" w:rsidP="000974BB">
      <w:pPr>
        <w:spacing w:after="0" w:line="360" w:lineRule="auto"/>
        <w:ind w:firstLine="48"/>
        <w:jc w:val="both"/>
        <w:rPr>
          <w:rFonts w:ascii="Arabic Transparent" w:hAnsi="Arabic Transparent" w:cs="Arabic Transparent"/>
          <w:sz w:val="28"/>
          <w:szCs w:val="28"/>
          <w:lang w:bidi="ar-JO"/>
        </w:rPr>
      </w:pPr>
      <w:r w:rsidRPr="000974BB">
        <w:rPr>
          <w:rFonts w:ascii="Arabic Transparent" w:hAnsi="Arabic Transparent" w:cs="Arabic Transparent"/>
          <w:sz w:val="28"/>
          <w:szCs w:val="28"/>
          <w:rtl/>
          <w:lang w:bidi="ar-JO"/>
        </w:rPr>
        <w:tab/>
        <w:t>الفرع الثاني: التَّفاوت اصطلاحا</w:t>
      </w:r>
    </w:p>
    <w:p w14:paraId="09702FF1" w14:textId="77777777" w:rsidR="00FE24A7" w:rsidRPr="00FE24A7" w:rsidRDefault="00FE24A7" w:rsidP="00FE24A7">
      <w:pPr>
        <w:spacing w:after="0" w:line="360" w:lineRule="auto"/>
        <w:ind w:firstLine="48"/>
        <w:jc w:val="both"/>
        <w:rPr>
          <w:rFonts w:ascii="Arabic Transparent" w:hAnsi="Arabic Transparent" w:cs="Arabic Transparent"/>
          <w:sz w:val="28"/>
          <w:szCs w:val="28"/>
          <w:lang w:bidi="ar-JO"/>
        </w:rPr>
      </w:pPr>
      <w:r w:rsidRPr="00FE24A7">
        <w:rPr>
          <w:rFonts w:ascii="Arabic Transparent" w:hAnsi="Arabic Transparent" w:cs="Arabic Transparent"/>
          <w:sz w:val="28"/>
          <w:szCs w:val="28"/>
          <w:rtl/>
          <w:lang w:bidi="ar-JO"/>
        </w:rPr>
        <w:t>المطلب الثاني: تعريف التَّفاوت في تحقيق المناط الخاص باعتباره لقباً</w:t>
      </w:r>
    </w:p>
    <w:p w14:paraId="2FEBEA52" w14:textId="77777777" w:rsidR="00FE24A7" w:rsidRDefault="00FE24A7" w:rsidP="00FE24A7">
      <w:pPr>
        <w:spacing w:after="0" w:line="360" w:lineRule="auto"/>
        <w:ind w:firstLine="48"/>
        <w:jc w:val="both"/>
        <w:rPr>
          <w:rFonts w:ascii="Arabic Transparent" w:hAnsi="Arabic Transparent" w:cs="Arabic Transparent"/>
          <w:sz w:val="28"/>
          <w:szCs w:val="28"/>
          <w:rtl/>
          <w:lang w:bidi="ar-JO"/>
        </w:rPr>
      </w:pPr>
      <w:r w:rsidRPr="00FE24A7">
        <w:rPr>
          <w:rFonts w:ascii="Arabic Transparent" w:hAnsi="Arabic Transparent" w:cs="Arabic Transparent"/>
          <w:sz w:val="28"/>
          <w:szCs w:val="28"/>
          <w:rtl/>
          <w:lang w:bidi="ar-JO"/>
        </w:rPr>
        <w:t>المطلب الثالث: الألفاظ ذات الصلة</w:t>
      </w:r>
    </w:p>
    <w:p w14:paraId="6239FA64" w14:textId="29C40FC2" w:rsidR="000974BB" w:rsidRDefault="000974BB" w:rsidP="00FE24A7">
      <w:pPr>
        <w:spacing w:after="0" w:line="360" w:lineRule="auto"/>
        <w:ind w:firstLine="48"/>
        <w:jc w:val="both"/>
        <w:rPr>
          <w:rFonts w:ascii="Arabic Transparent" w:hAnsi="Arabic Transparent" w:cs="Arabic Transparent"/>
          <w:sz w:val="28"/>
          <w:szCs w:val="28"/>
          <w:rtl/>
          <w:lang w:bidi="ar-JO"/>
        </w:rPr>
      </w:pPr>
      <w:r>
        <w:rPr>
          <w:rFonts w:ascii="Arabic Transparent" w:hAnsi="Arabic Transparent" w:cs="Arabic Transparent"/>
          <w:sz w:val="28"/>
          <w:szCs w:val="28"/>
          <w:rtl/>
          <w:lang w:bidi="ar-JO"/>
        </w:rPr>
        <w:tab/>
      </w:r>
      <w:r w:rsidRPr="000974BB">
        <w:rPr>
          <w:rFonts w:ascii="Arabic Transparent" w:hAnsi="Arabic Transparent" w:cs="Arabic Transparent"/>
          <w:sz w:val="28"/>
          <w:szCs w:val="28"/>
          <w:rtl/>
          <w:lang w:bidi="ar-JO"/>
        </w:rPr>
        <w:t>الفرع الأول: الاختلاف</w:t>
      </w:r>
    </w:p>
    <w:p w14:paraId="0733FB55" w14:textId="619D41DE" w:rsidR="000974BB" w:rsidRDefault="000974BB" w:rsidP="00FE24A7">
      <w:pPr>
        <w:spacing w:after="0" w:line="360" w:lineRule="auto"/>
        <w:ind w:firstLine="48"/>
        <w:jc w:val="both"/>
        <w:rPr>
          <w:rFonts w:ascii="Arabic Transparent" w:hAnsi="Arabic Transparent" w:cs="Arabic Transparent"/>
          <w:sz w:val="28"/>
          <w:szCs w:val="28"/>
          <w:rtl/>
          <w:lang w:bidi="ar-JO"/>
        </w:rPr>
      </w:pPr>
      <w:r>
        <w:rPr>
          <w:rFonts w:ascii="Arabic Transparent" w:hAnsi="Arabic Transparent" w:cs="Arabic Transparent"/>
          <w:sz w:val="28"/>
          <w:szCs w:val="28"/>
          <w:rtl/>
          <w:lang w:bidi="ar-JO"/>
        </w:rPr>
        <w:tab/>
      </w:r>
      <w:r w:rsidRPr="000974BB">
        <w:rPr>
          <w:rFonts w:ascii="Arabic Transparent" w:hAnsi="Arabic Transparent" w:cs="Arabic Transparent"/>
          <w:sz w:val="28"/>
          <w:szCs w:val="28"/>
          <w:rtl/>
          <w:lang w:bidi="ar-JO"/>
        </w:rPr>
        <w:t>الفرع الثاني: الفروق</w:t>
      </w:r>
    </w:p>
    <w:p w14:paraId="190EE24F" w14:textId="68F4CAEC" w:rsidR="000974BB" w:rsidRPr="00FE24A7" w:rsidRDefault="000974BB" w:rsidP="00FE24A7">
      <w:pPr>
        <w:spacing w:after="0" w:line="360" w:lineRule="auto"/>
        <w:ind w:firstLine="48"/>
        <w:jc w:val="both"/>
        <w:rPr>
          <w:rFonts w:ascii="Arabic Transparent" w:hAnsi="Arabic Transparent" w:cs="Arabic Transparent"/>
          <w:sz w:val="28"/>
          <w:szCs w:val="28"/>
          <w:lang w:bidi="ar-JO"/>
        </w:rPr>
      </w:pPr>
      <w:r>
        <w:rPr>
          <w:rFonts w:ascii="Arabic Transparent" w:hAnsi="Arabic Transparent" w:cs="Arabic Transparent"/>
          <w:sz w:val="28"/>
          <w:szCs w:val="28"/>
          <w:rtl/>
          <w:lang w:bidi="ar-JO"/>
        </w:rPr>
        <w:tab/>
      </w:r>
      <w:r w:rsidRPr="000974BB">
        <w:rPr>
          <w:rFonts w:ascii="Arabic Transparent" w:hAnsi="Arabic Transparent" w:cs="Arabic Transparent"/>
          <w:sz w:val="28"/>
          <w:szCs w:val="28"/>
          <w:rtl/>
          <w:lang w:bidi="ar-JO"/>
        </w:rPr>
        <w:t>الفرع الثالث: التعارض</w:t>
      </w:r>
    </w:p>
    <w:p w14:paraId="0889275B" w14:textId="77777777" w:rsidR="00FE24A7" w:rsidRPr="00FE24A7" w:rsidRDefault="00FE24A7" w:rsidP="00FE24A7">
      <w:pPr>
        <w:spacing w:after="0" w:line="360" w:lineRule="auto"/>
        <w:ind w:firstLine="48"/>
        <w:jc w:val="both"/>
        <w:rPr>
          <w:rFonts w:ascii="Arabic Transparent" w:hAnsi="Arabic Transparent" w:cs="Arabic Transparent"/>
          <w:sz w:val="28"/>
          <w:szCs w:val="28"/>
          <w:lang w:bidi="ar-JO"/>
        </w:rPr>
      </w:pPr>
      <w:r w:rsidRPr="00FA7204">
        <w:rPr>
          <w:rFonts w:ascii="Arabic Transparent" w:hAnsi="Arabic Transparent" w:cs="Arabic Transparent"/>
          <w:b/>
          <w:bCs/>
          <w:sz w:val="28"/>
          <w:szCs w:val="28"/>
          <w:rtl/>
          <w:lang w:bidi="ar-JO"/>
        </w:rPr>
        <w:t>المبحث الثاني</w:t>
      </w:r>
      <w:r w:rsidRPr="00FE24A7">
        <w:rPr>
          <w:rFonts w:ascii="Arabic Transparent" w:hAnsi="Arabic Transparent" w:cs="Arabic Transparent"/>
          <w:sz w:val="28"/>
          <w:szCs w:val="28"/>
          <w:rtl/>
          <w:lang w:bidi="ar-JO"/>
        </w:rPr>
        <w:t>: مشروعية التَّفاوت وبيان أركانه وشروطه</w:t>
      </w:r>
    </w:p>
    <w:p w14:paraId="10B78030" w14:textId="77777777" w:rsidR="00FE24A7" w:rsidRDefault="00FE24A7" w:rsidP="00FE24A7">
      <w:pPr>
        <w:spacing w:after="0" w:line="360" w:lineRule="auto"/>
        <w:ind w:firstLine="48"/>
        <w:jc w:val="both"/>
        <w:rPr>
          <w:rFonts w:ascii="Arabic Transparent" w:hAnsi="Arabic Transparent" w:cs="Arabic Transparent"/>
          <w:sz w:val="28"/>
          <w:szCs w:val="28"/>
          <w:rtl/>
          <w:lang w:bidi="ar-JO"/>
        </w:rPr>
      </w:pPr>
      <w:r w:rsidRPr="00FE24A7">
        <w:rPr>
          <w:rFonts w:ascii="Arabic Transparent" w:hAnsi="Arabic Transparent" w:cs="Arabic Transparent"/>
          <w:sz w:val="28"/>
          <w:szCs w:val="28"/>
          <w:rtl/>
          <w:lang w:bidi="ar-JO"/>
        </w:rPr>
        <w:t>المطلب الأول: مشروعية التفاوت وأنواعه</w:t>
      </w:r>
    </w:p>
    <w:p w14:paraId="09D83D2E" w14:textId="1219A172" w:rsidR="000974BB" w:rsidRDefault="000974BB" w:rsidP="00FE24A7">
      <w:pPr>
        <w:spacing w:after="0" w:line="360" w:lineRule="auto"/>
        <w:ind w:firstLine="48"/>
        <w:jc w:val="both"/>
        <w:rPr>
          <w:rFonts w:ascii="Arabic Transparent" w:hAnsi="Arabic Transparent" w:cs="Arabic Transparent"/>
          <w:sz w:val="28"/>
          <w:szCs w:val="28"/>
          <w:rtl/>
          <w:lang w:bidi="ar-JO"/>
        </w:rPr>
      </w:pPr>
      <w:r>
        <w:rPr>
          <w:rFonts w:ascii="Arabic Transparent" w:hAnsi="Arabic Transparent" w:cs="Arabic Transparent"/>
          <w:sz w:val="28"/>
          <w:szCs w:val="28"/>
          <w:rtl/>
          <w:lang w:bidi="ar-JO"/>
        </w:rPr>
        <w:tab/>
      </w:r>
      <w:r w:rsidRPr="000974BB">
        <w:rPr>
          <w:rFonts w:ascii="Arabic Transparent" w:hAnsi="Arabic Transparent" w:cs="Arabic Transparent"/>
          <w:sz w:val="28"/>
          <w:szCs w:val="28"/>
          <w:rtl/>
          <w:lang w:bidi="ar-JO"/>
        </w:rPr>
        <w:t>الفرع الأول: مشروعية التفاوت</w:t>
      </w:r>
    </w:p>
    <w:p w14:paraId="66CA8847" w14:textId="0E9C1B05" w:rsidR="000974BB" w:rsidRPr="00FE24A7" w:rsidRDefault="000974BB" w:rsidP="00FE24A7">
      <w:pPr>
        <w:spacing w:after="0" w:line="360" w:lineRule="auto"/>
        <w:ind w:firstLine="48"/>
        <w:jc w:val="both"/>
        <w:rPr>
          <w:rFonts w:ascii="Arabic Transparent" w:hAnsi="Arabic Transparent" w:cs="Arabic Transparent"/>
          <w:sz w:val="28"/>
          <w:szCs w:val="28"/>
          <w:lang w:bidi="ar-JO"/>
        </w:rPr>
      </w:pPr>
      <w:r>
        <w:rPr>
          <w:rFonts w:ascii="Arabic Transparent" w:hAnsi="Arabic Transparent" w:cs="Arabic Transparent"/>
          <w:sz w:val="28"/>
          <w:szCs w:val="28"/>
          <w:rtl/>
          <w:lang w:bidi="ar-JO"/>
        </w:rPr>
        <w:tab/>
      </w:r>
      <w:r w:rsidRPr="000974BB">
        <w:rPr>
          <w:rFonts w:ascii="Arabic Transparent" w:hAnsi="Arabic Transparent" w:cs="Arabic Transparent"/>
          <w:sz w:val="28"/>
          <w:szCs w:val="28"/>
          <w:rtl/>
          <w:lang w:bidi="ar-JO"/>
        </w:rPr>
        <w:t>الفرع الثاني: أنواع التفاوت في المعاملات</w:t>
      </w:r>
    </w:p>
    <w:p w14:paraId="6ABD78C4" w14:textId="77777777" w:rsidR="00FE24A7" w:rsidRPr="00FE24A7" w:rsidRDefault="00FE24A7" w:rsidP="00FE24A7">
      <w:pPr>
        <w:spacing w:after="0" w:line="360" w:lineRule="auto"/>
        <w:ind w:firstLine="48"/>
        <w:jc w:val="both"/>
        <w:rPr>
          <w:rFonts w:ascii="Arabic Transparent" w:hAnsi="Arabic Transparent" w:cs="Arabic Transparent"/>
          <w:sz w:val="28"/>
          <w:szCs w:val="28"/>
          <w:lang w:bidi="ar-JO"/>
        </w:rPr>
      </w:pPr>
      <w:r w:rsidRPr="00FE24A7">
        <w:rPr>
          <w:rFonts w:ascii="Arabic Transparent" w:hAnsi="Arabic Transparent" w:cs="Arabic Transparent"/>
          <w:sz w:val="28"/>
          <w:szCs w:val="28"/>
          <w:rtl/>
          <w:lang w:bidi="ar-JO"/>
        </w:rPr>
        <w:lastRenderedPageBreak/>
        <w:t>المطلب الثاني: أركان التفاوت في تحقيق المناط الخاص</w:t>
      </w:r>
    </w:p>
    <w:p w14:paraId="01CEF46A" w14:textId="77777777" w:rsidR="00FE24A7" w:rsidRPr="00FE24A7" w:rsidRDefault="00FE24A7" w:rsidP="00FE24A7">
      <w:pPr>
        <w:spacing w:after="0" w:line="360" w:lineRule="auto"/>
        <w:ind w:firstLine="48"/>
        <w:jc w:val="both"/>
        <w:rPr>
          <w:rFonts w:ascii="Arabic Transparent" w:hAnsi="Arabic Transparent" w:cs="Arabic Transparent"/>
          <w:sz w:val="28"/>
          <w:szCs w:val="28"/>
          <w:lang w:bidi="ar-JO"/>
        </w:rPr>
      </w:pPr>
      <w:r w:rsidRPr="00FE24A7">
        <w:rPr>
          <w:rFonts w:ascii="Arabic Transparent" w:hAnsi="Arabic Transparent" w:cs="Arabic Transparent"/>
          <w:sz w:val="28"/>
          <w:szCs w:val="28"/>
          <w:rtl/>
          <w:lang w:bidi="ar-JO"/>
        </w:rPr>
        <w:t>المطلب الثالث: شروط التفاوت في تحقيق المناط الخاص</w:t>
      </w:r>
    </w:p>
    <w:p w14:paraId="7B83279F" w14:textId="77777777" w:rsidR="00FE24A7" w:rsidRPr="00FE24A7" w:rsidRDefault="00FE24A7" w:rsidP="00FE24A7">
      <w:pPr>
        <w:spacing w:after="0" w:line="360" w:lineRule="auto"/>
        <w:ind w:firstLine="48"/>
        <w:jc w:val="both"/>
        <w:rPr>
          <w:rFonts w:ascii="Arabic Transparent" w:hAnsi="Arabic Transparent" w:cs="Arabic Transparent"/>
          <w:sz w:val="28"/>
          <w:szCs w:val="28"/>
          <w:lang w:bidi="ar-JO"/>
        </w:rPr>
      </w:pPr>
      <w:r w:rsidRPr="00FA7204">
        <w:rPr>
          <w:rFonts w:ascii="Arabic Transparent" w:hAnsi="Arabic Transparent" w:cs="Arabic Transparent"/>
          <w:b/>
          <w:bCs/>
          <w:sz w:val="28"/>
          <w:szCs w:val="28"/>
          <w:rtl/>
          <w:lang w:bidi="ar-JO"/>
        </w:rPr>
        <w:t>المبحث الثالث</w:t>
      </w:r>
      <w:r w:rsidRPr="00FE24A7">
        <w:rPr>
          <w:rFonts w:ascii="Arabic Transparent" w:hAnsi="Arabic Transparent" w:cs="Arabic Transparent"/>
          <w:sz w:val="28"/>
          <w:szCs w:val="28"/>
          <w:rtl/>
          <w:lang w:bidi="ar-JO"/>
        </w:rPr>
        <w:t>: أسباب التفاوت وبيان مراتبه وأصول ضبطه</w:t>
      </w:r>
    </w:p>
    <w:p w14:paraId="719409E7" w14:textId="77777777" w:rsidR="00FE24A7" w:rsidRDefault="00FE24A7" w:rsidP="00FE24A7">
      <w:pPr>
        <w:spacing w:after="0" w:line="360" w:lineRule="auto"/>
        <w:ind w:firstLine="48"/>
        <w:jc w:val="both"/>
        <w:rPr>
          <w:rFonts w:ascii="Arabic Transparent" w:hAnsi="Arabic Transparent" w:cs="Arabic Transparent"/>
          <w:sz w:val="28"/>
          <w:szCs w:val="28"/>
          <w:rtl/>
          <w:lang w:bidi="ar-JO"/>
        </w:rPr>
      </w:pPr>
      <w:r w:rsidRPr="00FE24A7">
        <w:rPr>
          <w:rFonts w:ascii="Arabic Transparent" w:hAnsi="Arabic Transparent" w:cs="Arabic Transparent"/>
          <w:sz w:val="28"/>
          <w:szCs w:val="28"/>
          <w:rtl/>
          <w:lang w:bidi="ar-JO"/>
        </w:rPr>
        <w:t>المطلب الأول: أسباب التفاوت المؤثر في تحقيق المناط الخاص</w:t>
      </w:r>
    </w:p>
    <w:p w14:paraId="4C535FFE" w14:textId="2E6FECFE" w:rsidR="000974BB" w:rsidRDefault="000974BB" w:rsidP="00FE24A7">
      <w:pPr>
        <w:spacing w:after="0" w:line="360" w:lineRule="auto"/>
        <w:ind w:firstLine="48"/>
        <w:jc w:val="both"/>
        <w:rPr>
          <w:rFonts w:ascii="Arabic Transparent" w:hAnsi="Arabic Transparent" w:cs="Arabic Transparent"/>
          <w:sz w:val="28"/>
          <w:szCs w:val="28"/>
          <w:rtl/>
          <w:lang w:bidi="ar-JO"/>
        </w:rPr>
      </w:pPr>
      <w:r>
        <w:rPr>
          <w:rFonts w:ascii="Arabic Transparent" w:hAnsi="Arabic Transparent" w:cs="Arabic Transparent"/>
          <w:sz w:val="28"/>
          <w:szCs w:val="28"/>
          <w:rtl/>
          <w:lang w:bidi="ar-JO"/>
        </w:rPr>
        <w:tab/>
      </w:r>
      <w:r>
        <w:rPr>
          <w:rFonts w:ascii="Arabic Transparent" w:hAnsi="Arabic Transparent" w:cs="Arabic Transparent" w:hint="cs"/>
          <w:sz w:val="28"/>
          <w:szCs w:val="28"/>
          <w:rtl/>
          <w:lang w:bidi="ar-JO"/>
        </w:rPr>
        <w:t xml:space="preserve">الفرع الأول: </w:t>
      </w:r>
      <w:r w:rsidRPr="000974BB">
        <w:rPr>
          <w:rFonts w:ascii="Arabic Transparent" w:hAnsi="Arabic Transparent" w:cs="Arabic Transparent"/>
          <w:sz w:val="28"/>
          <w:szCs w:val="28"/>
          <w:rtl/>
          <w:lang w:bidi="ar-JO"/>
        </w:rPr>
        <w:t xml:space="preserve">بالنظر إلى محل التنزيل </w:t>
      </w:r>
      <w:r>
        <w:rPr>
          <w:rFonts w:ascii="Arabic Transparent" w:hAnsi="Arabic Transparent" w:cs="Arabic Transparent" w:hint="cs"/>
          <w:sz w:val="28"/>
          <w:szCs w:val="28"/>
          <w:rtl/>
          <w:lang w:bidi="ar-JO"/>
        </w:rPr>
        <w:t>(</w:t>
      </w:r>
      <w:r w:rsidRPr="000974BB">
        <w:rPr>
          <w:rFonts w:ascii="Arabic Transparent" w:hAnsi="Arabic Transparent" w:cs="Arabic Transparent"/>
          <w:sz w:val="28"/>
          <w:szCs w:val="28"/>
          <w:rtl/>
          <w:lang w:bidi="ar-JO"/>
        </w:rPr>
        <w:t>الواقعة</w:t>
      </w:r>
      <w:r>
        <w:rPr>
          <w:rFonts w:ascii="Arabic Transparent" w:hAnsi="Arabic Transparent" w:cs="Arabic Transparent" w:hint="cs"/>
          <w:sz w:val="28"/>
          <w:szCs w:val="28"/>
          <w:rtl/>
          <w:lang w:bidi="ar-JO"/>
        </w:rPr>
        <w:t>)</w:t>
      </w:r>
    </w:p>
    <w:p w14:paraId="46B10D85" w14:textId="20DE16D0" w:rsidR="000974BB" w:rsidRPr="00FE24A7" w:rsidRDefault="000974BB" w:rsidP="00FE24A7">
      <w:pPr>
        <w:spacing w:after="0" w:line="360" w:lineRule="auto"/>
        <w:ind w:firstLine="48"/>
        <w:jc w:val="both"/>
        <w:rPr>
          <w:rFonts w:ascii="Arabic Transparent" w:hAnsi="Arabic Transparent" w:cs="Arabic Transparent"/>
          <w:sz w:val="28"/>
          <w:szCs w:val="28"/>
          <w:lang w:bidi="ar-JO"/>
        </w:rPr>
      </w:pPr>
      <w:r>
        <w:rPr>
          <w:rFonts w:ascii="Arabic Transparent" w:hAnsi="Arabic Transparent" w:cs="Arabic Transparent"/>
          <w:sz w:val="28"/>
          <w:szCs w:val="28"/>
          <w:rtl/>
          <w:lang w:bidi="ar-JO"/>
        </w:rPr>
        <w:tab/>
      </w:r>
      <w:r w:rsidRPr="000974BB">
        <w:rPr>
          <w:rFonts w:ascii="Arabic Transparent" w:hAnsi="Arabic Transparent" w:cs="Arabic Transparent"/>
          <w:sz w:val="28"/>
          <w:szCs w:val="28"/>
          <w:rtl/>
          <w:lang w:bidi="ar-JO"/>
        </w:rPr>
        <w:t>الفرع الثاني: بالنظر إلى مجتهد التحقيق</w:t>
      </w:r>
    </w:p>
    <w:p w14:paraId="574CDF86" w14:textId="031DF8EA" w:rsidR="00FE24A7" w:rsidRDefault="00FE24A7" w:rsidP="00FE24A7">
      <w:pPr>
        <w:spacing w:after="0" w:line="360" w:lineRule="auto"/>
        <w:ind w:firstLine="48"/>
        <w:jc w:val="both"/>
        <w:rPr>
          <w:rFonts w:ascii="Arabic Transparent" w:hAnsi="Arabic Transparent" w:cs="Arabic Transparent"/>
          <w:sz w:val="28"/>
          <w:szCs w:val="28"/>
          <w:rtl/>
          <w:lang w:bidi="ar-JO"/>
        </w:rPr>
      </w:pPr>
      <w:r w:rsidRPr="00FE24A7">
        <w:rPr>
          <w:rFonts w:ascii="Arabic Transparent" w:hAnsi="Arabic Transparent" w:cs="Arabic Transparent"/>
          <w:sz w:val="28"/>
          <w:szCs w:val="28"/>
          <w:rtl/>
          <w:lang w:bidi="ar-JO"/>
        </w:rPr>
        <w:t>المطلب الثاني: مراتب التفاوت الذي يتعلق بالمعاملات المالية</w:t>
      </w:r>
    </w:p>
    <w:p w14:paraId="43EB1FE7" w14:textId="2FE2EA32" w:rsidR="000A3A15" w:rsidRDefault="000A3A15" w:rsidP="00FE24A7">
      <w:pPr>
        <w:spacing w:after="0" w:line="360" w:lineRule="auto"/>
        <w:ind w:firstLine="48"/>
        <w:jc w:val="both"/>
        <w:rPr>
          <w:rFonts w:ascii="Arabic Transparent" w:hAnsi="Arabic Transparent" w:cs="Arabic Transparent"/>
          <w:sz w:val="28"/>
          <w:szCs w:val="28"/>
          <w:rtl/>
          <w:lang w:bidi="ar-JO"/>
        </w:rPr>
      </w:pPr>
      <w:r>
        <w:rPr>
          <w:rFonts w:ascii="Arabic Transparent" w:hAnsi="Arabic Transparent" w:cs="Arabic Transparent"/>
          <w:sz w:val="28"/>
          <w:szCs w:val="28"/>
          <w:rtl/>
          <w:lang w:bidi="ar-JO"/>
        </w:rPr>
        <w:tab/>
      </w:r>
      <w:r>
        <w:rPr>
          <w:rFonts w:ascii="Arabic Transparent" w:hAnsi="Arabic Transparent" w:cs="Arabic Transparent" w:hint="cs"/>
          <w:sz w:val="28"/>
          <w:szCs w:val="28"/>
          <w:rtl/>
          <w:lang w:bidi="ar-JO"/>
        </w:rPr>
        <w:t>الفرع الأول: التفاوت الطبيعي</w:t>
      </w:r>
    </w:p>
    <w:p w14:paraId="4A012F6F" w14:textId="38B9FD9F" w:rsidR="000A3A15" w:rsidRDefault="000A3A15" w:rsidP="00FE24A7">
      <w:pPr>
        <w:spacing w:after="0" w:line="360" w:lineRule="auto"/>
        <w:ind w:firstLine="48"/>
        <w:jc w:val="both"/>
        <w:rPr>
          <w:rFonts w:ascii="Arabic Transparent" w:hAnsi="Arabic Transparent" w:cs="Arabic Transparent"/>
          <w:sz w:val="28"/>
          <w:szCs w:val="28"/>
          <w:rtl/>
          <w:lang w:bidi="ar-JO"/>
        </w:rPr>
      </w:pPr>
      <w:r>
        <w:rPr>
          <w:rFonts w:ascii="Arabic Transparent" w:hAnsi="Arabic Transparent" w:cs="Arabic Transparent"/>
          <w:sz w:val="28"/>
          <w:szCs w:val="28"/>
          <w:rtl/>
          <w:lang w:bidi="ar-JO"/>
        </w:rPr>
        <w:tab/>
      </w:r>
      <w:r>
        <w:rPr>
          <w:rFonts w:ascii="Arabic Transparent" w:hAnsi="Arabic Transparent" w:cs="Arabic Transparent" w:hint="cs"/>
          <w:sz w:val="28"/>
          <w:szCs w:val="28"/>
          <w:rtl/>
          <w:lang w:bidi="ar-JO"/>
        </w:rPr>
        <w:t>الفرع الثاني: التفاوت الممنوع</w:t>
      </w:r>
    </w:p>
    <w:p w14:paraId="0409D9BC" w14:textId="7511DC93" w:rsidR="000A3A15" w:rsidRDefault="000A3A15" w:rsidP="00FE24A7">
      <w:pPr>
        <w:spacing w:after="0" w:line="360" w:lineRule="auto"/>
        <w:ind w:firstLine="48"/>
        <w:jc w:val="both"/>
        <w:rPr>
          <w:rFonts w:ascii="Arabic Transparent" w:hAnsi="Arabic Transparent" w:cs="Arabic Transparent"/>
          <w:sz w:val="28"/>
          <w:szCs w:val="28"/>
          <w:rtl/>
          <w:lang w:bidi="ar-JO"/>
        </w:rPr>
      </w:pPr>
      <w:r>
        <w:rPr>
          <w:rFonts w:ascii="Arabic Transparent" w:hAnsi="Arabic Transparent" w:cs="Arabic Transparent"/>
          <w:sz w:val="28"/>
          <w:szCs w:val="28"/>
          <w:rtl/>
          <w:lang w:bidi="ar-JO"/>
        </w:rPr>
        <w:tab/>
      </w:r>
      <w:r w:rsidRPr="000A3A15">
        <w:rPr>
          <w:rFonts w:ascii="Arabic Transparent" w:hAnsi="Arabic Transparent" w:cs="Arabic Transparent"/>
          <w:sz w:val="28"/>
          <w:szCs w:val="28"/>
          <w:rtl/>
          <w:lang w:bidi="ar-JO"/>
        </w:rPr>
        <w:t>الفرع الثالث: التفاوت اليسير</w:t>
      </w:r>
    </w:p>
    <w:p w14:paraId="6731404D" w14:textId="72EB590F" w:rsidR="000A3A15" w:rsidRPr="00FE24A7" w:rsidRDefault="000A3A15" w:rsidP="00FE24A7">
      <w:pPr>
        <w:spacing w:after="0" w:line="360" w:lineRule="auto"/>
        <w:ind w:firstLine="48"/>
        <w:jc w:val="both"/>
        <w:rPr>
          <w:rFonts w:ascii="Arabic Transparent" w:hAnsi="Arabic Transparent" w:cs="Arabic Transparent"/>
          <w:sz w:val="28"/>
          <w:szCs w:val="28"/>
          <w:lang w:bidi="ar-JO"/>
        </w:rPr>
      </w:pPr>
      <w:r>
        <w:rPr>
          <w:rFonts w:ascii="Arabic Transparent" w:hAnsi="Arabic Transparent" w:cs="Arabic Transparent"/>
          <w:sz w:val="28"/>
          <w:szCs w:val="28"/>
          <w:rtl/>
          <w:lang w:bidi="ar-JO"/>
        </w:rPr>
        <w:tab/>
      </w:r>
      <w:r w:rsidRPr="000A3A15">
        <w:rPr>
          <w:rFonts w:ascii="Arabic Transparent" w:hAnsi="Arabic Transparent" w:cs="Arabic Transparent"/>
          <w:sz w:val="28"/>
          <w:szCs w:val="28"/>
          <w:rtl/>
          <w:lang w:bidi="ar-JO"/>
        </w:rPr>
        <w:t>الفرع الرابع:</w:t>
      </w:r>
      <w:r w:rsidR="003E6FE4">
        <w:rPr>
          <w:rFonts w:ascii="Arabic Transparent" w:hAnsi="Arabic Transparent" w:cs="Arabic Transparent" w:hint="cs"/>
          <w:sz w:val="28"/>
          <w:szCs w:val="28"/>
          <w:rtl/>
          <w:lang w:bidi="ar-JO"/>
        </w:rPr>
        <w:t xml:space="preserve"> </w:t>
      </w:r>
      <w:r w:rsidRPr="000A3A15">
        <w:rPr>
          <w:rFonts w:ascii="Arabic Transparent" w:hAnsi="Arabic Transparent" w:cs="Arabic Transparent"/>
          <w:sz w:val="28"/>
          <w:szCs w:val="28"/>
          <w:rtl/>
          <w:lang w:bidi="ar-JO"/>
        </w:rPr>
        <w:t>التفاوت الفاحش</w:t>
      </w:r>
    </w:p>
    <w:p w14:paraId="3B27F437" w14:textId="2C94FF3B" w:rsidR="00FE24A7" w:rsidRPr="00FE24A7" w:rsidRDefault="00FE24A7" w:rsidP="00FE24A7">
      <w:pPr>
        <w:spacing w:after="0" w:line="360" w:lineRule="auto"/>
        <w:ind w:firstLine="48"/>
        <w:jc w:val="both"/>
        <w:rPr>
          <w:rFonts w:ascii="Arabic Transparent" w:hAnsi="Arabic Transparent" w:cs="Arabic Transparent"/>
          <w:sz w:val="28"/>
          <w:szCs w:val="28"/>
          <w:lang w:bidi="ar-JO"/>
        </w:rPr>
      </w:pPr>
      <w:r w:rsidRPr="00FE24A7">
        <w:rPr>
          <w:rFonts w:ascii="Arabic Transparent" w:hAnsi="Arabic Transparent" w:cs="Arabic Transparent"/>
          <w:sz w:val="28"/>
          <w:szCs w:val="28"/>
          <w:rtl/>
          <w:lang w:bidi="ar-JO"/>
        </w:rPr>
        <w:t>المطلب الثالث: أصول ضبط التفاوت في الوقائع والاجتهاد</w:t>
      </w:r>
    </w:p>
    <w:p w14:paraId="06D0C856" w14:textId="4F3ACC61" w:rsidR="00FE24A7" w:rsidRPr="00FE24A7" w:rsidRDefault="00FE24A7" w:rsidP="00FE24A7">
      <w:pPr>
        <w:spacing w:after="0" w:line="360" w:lineRule="auto"/>
        <w:ind w:firstLine="48"/>
        <w:jc w:val="both"/>
        <w:rPr>
          <w:rFonts w:ascii="Arabic Transparent" w:hAnsi="Arabic Transparent" w:cs="Arabic Transparent"/>
          <w:b/>
          <w:bCs/>
          <w:sz w:val="28"/>
          <w:szCs w:val="28"/>
          <w:lang w:bidi="ar-JO"/>
        </w:rPr>
      </w:pPr>
      <w:r w:rsidRPr="00FE24A7">
        <w:rPr>
          <w:rFonts w:ascii="Arabic Transparent" w:hAnsi="Arabic Transparent" w:cs="Arabic Transparent"/>
          <w:b/>
          <w:bCs/>
          <w:sz w:val="28"/>
          <w:szCs w:val="28"/>
          <w:rtl/>
          <w:lang w:bidi="ar-JO"/>
        </w:rPr>
        <w:t>الفصل الثالث: تطبيقات التفاوت في فتاوى المعاملات المالية المعاصرة</w:t>
      </w:r>
    </w:p>
    <w:p w14:paraId="12A2435E" w14:textId="77777777" w:rsidR="00FE24A7" w:rsidRPr="00FE24A7" w:rsidRDefault="00FE24A7" w:rsidP="00FE24A7">
      <w:pPr>
        <w:spacing w:after="0" w:line="360" w:lineRule="auto"/>
        <w:ind w:firstLine="48"/>
        <w:jc w:val="both"/>
        <w:rPr>
          <w:rFonts w:ascii="Arabic Transparent" w:hAnsi="Arabic Transparent" w:cs="Arabic Transparent"/>
          <w:sz w:val="28"/>
          <w:szCs w:val="28"/>
          <w:lang w:bidi="ar-JO"/>
        </w:rPr>
      </w:pPr>
      <w:r w:rsidRPr="00FA7204">
        <w:rPr>
          <w:rFonts w:ascii="Arabic Transparent" w:hAnsi="Arabic Transparent" w:cs="Arabic Transparent"/>
          <w:b/>
          <w:bCs/>
          <w:sz w:val="28"/>
          <w:szCs w:val="28"/>
          <w:rtl/>
          <w:lang w:bidi="ar-JO"/>
        </w:rPr>
        <w:t>المبحث الأول</w:t>
      </w:r>
      <w:r w:rsidRPr="00FE24A7">
        <w:rPr>
          <w:rFonts w:ascii="Arabic Transparent" w:hAnsi="Arabic Transparent" w:cs="Arabic Transparent"/>
          <w:sz w:val="28"/>
          <w:szCs w:val="28"/>
          <w:rtl/>
          <w:lang w:bidi="ar-JO"/>
        </w:rPr>
        <w:t>: تطبيقات من فتاوى التمويل الإسلامي</w:t>
      </w:r>
    </w:p>
    <w:p w14:paraId="75FF227F" w14:textId="77777777" w:rsidR="00FE24A7" w:rsidRDefault="00FE24A7" w:rsidP="00FE24A7">
      <w:pPr>
        <w:spacing w:after="0" w:line="360" w:lineRule="auto"/>
        <w:ind w:firstLine="48"/>
        <w:jc w:val="both"/>
        <w:rPr>
          <w:rFonts w:ascii="Arabic Transparent" w:hAnsi="Arabic Transparent" w:cs="Arabic Transparent"/>
          <w:sz w:val="28"/>
          <w:szCs w:val="28"/>
          <w:rtl/>
          <w:lang w:bidi="ar-JO"/>
        </w:rPr>
      </w:pPr>
      <w:r w:rsidRPr="00FE24A7">
        <w:rPr>
          <w:rFonts w:ascii="Arabic Transparent" w:hAnsi="Arabic Transparent" w:cs="Arabic Transparent"/>
          <w:sz w:val="28"/>
          <w:szCs w:val="28"/>
          <w:rtl/>
          <w:lang w:bidi="ar-JO"/>
        </w:rPr>
        <w:t>المطلب الأول: التَّورُّق المصرفي المنظم</w:t>
      </w:r>
    </w:p>
    <w:p w14:paraId="792BF6D0" w14:textId="6B10376C" w:rsidR="00225A87" w:rsidRDefault="00225A87" w:rsidP="00FE24A7">
      <w:pPr>
        <w:spacing w:after="0" w:line="360" w:lineRule="auto"/>
        <w:ind w:firstLine="48"/>
        <w:jc w:val="both"/>
        <w:rPr>
          <w:rFonts w:ascii="Arabic Transparent" w:hAnsi="Arabic Transparent" w:cs="Arabic Transparent"/>
          <w:sz w:val="28"/>
          <w:szCs w:val="28"/>
          <w:rtl/>
          <w:lang w:bidi="ar-JO"/>
        </w:rPr>
      </w:pPr>
      <w:r>
        <w:rPr>
          <w:rFonts w:ascii="Arabic Transparent" w:hAnsi="Arabic Transparent" w:cs="Arabic Transparent"/>
          <w:sz w:val="28"/>
          <w:szCs w:val="28"/>
          <w:rtl/>
          <w:lang w:bidi="ar-JO"/>
        </w:rPr>
        <w:tab/>
      </w:r>
      <w:r w:rsidRPr="00225A87">
        <w:rPr>
          <w:rFonts w:ascii="Arabic Transparent" w:hAnsi="Arabic Transparent" w:cs="Arabic Transparent"/>
          <w:sz w:val="28"/>
          <w:szCs w:val="28"/>
          <w:rtl/>
          <w:lang w:bidi="ar-JO"/>
        </w:rPr>
        <w:t>الفرع الأول: حقيقة التَّورُّق المنظم</w:t>
      </w:r>
    </w:p>
    <w:p w14:paraId="6E86F301" w14:textId="4ACE253B" w:rsidR="00225A87" w:rsidRDefault="00225A87" w:rsidP="00FE24A7">
      <w:pPr>
        <w:spacing w:after="0" w:line="360" w:lineRule="auto"/>
        <w:ind w:firstLine="48"/>
        <w:jc w:val="both"/>
        <w:rPr>
          <w:rFonts w:ascii="Arabic Transparent" w:hAnsi="Arabic Transparent" w:cs="Arabic Transparent"/>
          <w:sz w:val="28"/>
          <w:szCs w:val="28"/>
          <w:rtl/>
          <w:lang w:bidi="ar-JO"/>
        </w:rPr>
      </w:pPr>
      <w:r>
        <w:rPr>
          <w:rFonts w:ascii="Arabic Transparent" w:hAnsi="Arabic Transparent" w:cs="Arabic Transparent"/>
          <w:sz w:val="28"/>
          <w:szCs w:val="28"/>
          <w:rtl/>
          <w:lang w:bidi="ar-JO"/>
        </w:rPr>
        <w:tab/>
      </w:r>
      <w:r w:rsidRPr="00225A87">
        <w:rPr>
          <w:rFonts w:ascii="Arabic Transparent" w:hAnsi="Arabic Transparent" w:cs="Arabic Transparent"/>
          <w:sz w:val="28"/>
          <w:szCs w:val="28"/>
          <w:rtl/>
          <w:lang w:bidi="ar-JO"/>
        </w:rPr>
        <w:t>الفرع الثاني: فتاوى التورق المنظم عرضاً وتحليلاً</w:t>
      </w:r>
    </w:p>
    <w:p w14:paraId="34A98F3D" w14:textId="682B24E4" w:rsidR="00225A87" w:rsidRDefault="00225A87" w:rsidP="00FE24A7">
      <w:pPr>
        <w:spacing w:after="0" w:line="360" w:lineRule="auto"/>
        <w:ind w:firstLine="48"/>
        <w:jc w:val="both"/>
        <w:rPr>
          <w:rFonts w:ascii="Arabic Transparent" w:hAnsi="Arabic Transparent" w:cs="Arabic Transparent"/>
          <w:sz w:val="28"/>
          <w:szCs w:val="28"/>
          <w:rtl/>
          <w:lang w:bidi="ar-JO"/>
        </w:rPr>
      </w:pPr>
      <w:r>
        <w:rPr>
          <w:rFonts w:ascii="Arabic Transparent" w:hAnsi="Arabic Transparent" w:cs="Arabic Transparent"/>
          <w:sz w:val="28"/>
          <w:szCs w:val="28"/>
          <w:rtl/>
          <w:lang w:bidi="ar-JO"/>
        </w:rPr>
        <w:tab/>
      </w:r>
      <w:r w:rsidRPr="00225A87">
        <w:rPr>
          <w:rFonts w:ascii="Arabic Transparent" w:hAnsi="Arabic Transparent" w:cs="Arabic Transparent"/>
          <w:sz w:val="28"/>
          <w:szCs w:val="28"/>
          <w:rtl/>
          <w:lang w:bidi="ar-JO"/>
        </w:rPr>
        <w:t>الفرع الثالث: وجه التفاوت في تحقيق المناط الخاص</w:t>
      </w:r>
    </w:p>
    <w:p w14:paraId="43871FD5" w14:textId="5A332601" w:rsidR="00225A87" w:rsidRPr="00FE24A7" w:rsidRDefault="00225A87" w:rsidP="00FE24A7">
      <w:pPr>
        <w:spacing w:after="0" w:line="360" w:lineRule="auto"/>
        <w:ind w:firstLine="48"/>
        <w:jc w:val="both"/>
        <w:rPr>
          <w:rFonts w:ascii="Arabic Transparent" w:hAnsi="Arabic Transparent" w:cs="Arabic Transparent"/>
          <w:sz w:val="28"/>
          <w:szCs w:val="28"/>
          <w:lang w:bidi="ar-JO"/>
        </w:rPr>
      </w:pPr>
      <w:r>
        <w:rPr>
          <w:rFonts w:ascii="Arabic Transparent" w:hAnsi="Arabic Transparent" w:cs="Arabic Transparent"/>
          <w:sz w:val="28"/>
          <w:szCs w:val="28"/>
          <w:rtl/>
          <w:lang w:bidi="ar-JO"/>
        </w:rPr>
        <w:tab/>
      </w:r>
      <w:r w:rsidRPr="00225A87">
        <w:rPr>
          <w:rFonts w:ascii="Arabic Transparent" w:hAnsi="Arabic Transparent" w:cs="Arabic Transparent"/>
          <w:sz w:val="28"/>
          <w:szCs w:val="28"/>
          <w:rtl/>
          <w:lang w:bidi="ar-JO"/>
        </w:rPr>
        <w:t>الفرع الرابع: مراعاة أصول ضبط التفاوت</w:t>
      </w:r>
    </w:p>
    <w:p w14:paraId="7D52D0D0" w14:textId="57DB4890" w:rsidR="00FE24A7" w:rsidRDefault="00FE24A7" w:rsidP="00FE24A7">
      <w:pPr>
        <w:spacing w:after="0" w:line="360" w:lineRule="auto"/>
        <w:ind w:firstLine="48"/>
        <w:jc w:val="both"/>
        <w:rPr>
          <w:rFonts w:ascii="Arabic Transparent" w:hAnsi="Arabic Transparent" w:cs="Arabic Transparent"/>
          <w:sz w:val="28"/>
          <w:szCs w:val="28"/>
          <w:rtl/>
          <w:lang w:bidi="ar-JO"/>
        </w:rPr>
      </w:pPr>
      <w:r w:rsidRPr="00FE24A7">
        <w:rPr>
          <w:rFonts w:ascii="Arabic Transparent" w:hAnsi="Arabic Transparent" w:cs="Arabic Transparent"/>
          <w:sz w:val="28"/>
          <w:szCs w:val="28"/>
          <w:rtl/>
          <w:lang w:bidi="ar-JO"/>
        </w:rPr>
        <w:t>المطلب الثاني: تمويل خدمات التعليم والعلاج</w:t>
      </w:r>
    </w:p>
    <w:p w14:paraId="6FCA4AE4" w14:textId="7745D2C5" w:rsidR="00225A87" w:rsidRDefault="00225A87" w:rsidP="00FE24A7">
      <w:pPr>
        <w:spacing w:after="0" w:line="360" w:lineRule="auto"/>
        <w:ind w:firstLine="48"/>
        <w:jc w:val="both"/>
        <w:rPr>
          <w:rFonts w:ascii="Arabic Transparent" w:hAnsi="Arabic Transparent" w:cs="Arabic Transparent"/>
          <w:sz w:val="28"/>
          <w:szCs w:val="28"/>
          <w:rtl/>
          <w:lang w:bidi="ar-JO"/>
        </w:rPr>
      </w:pPr>
      <w:r>
        <w:rPr>
          <w:rFonts w:ascii="Arabic Transparent" w:hAnsi="Arabic Transparent" w:cs="Arabic Transparent"/>
          <w:sz w:val="28"/>
          <w:szCs w:val="28"/>
          <w:rtl/>
          <w:lang w:bidi="ar-JO"/>
        </w:rPr>
        <w:tab/>
      </w:r>
      <w:r w:rsidRPr="00225A87">
        <w:rPr>
          <w:rFonts w:ascii="Arabic Transparent" w:hAnsi="Arabic Transparent" w:cs="Arabic Transparent"/>
          <w:sz w:val="28"/>
          <w:szCs w:val="28"/>
          <w:rtl/>
          <w:lang w:bidi="ar-JO"/>
        </w:rPr>
        <w:t>الفرع الأول: حقيقة تمويل خدمات التعليم والعلاج</w:t>
      </w:r>
    </w:p>
    <w:p w14:paraId="74C03A74" w14:textId="4CB3CAAC" w:rsidR="00225A87" w:rsidRDefault="00225A87" w:rsidP="00FE24A7">
      <w:pPr>
        <w:spacing w:after="0" w:line="360" w:lineRule="auto"/>
        <w:ind w:firstLine="48"/>
        <w:jc w:val="both"/>
        <w:rPr>
          <w:rFonts w:ascii="Arabic Transparent" w:hAnsi="Arabic Transparent" w:cs="Arabic Transparent"/>
          <w:sz w:val="28"/>
          <w:szCs w:val="28"/>
          <w:rtl/>
          <w:lang w:bidi="ar-JO"/>
        </w:rPr>
      </w:pPr>
      <w:r>
        <w:rPr>
          <w:rFonts w:ascii="Arabic Transparent" w:hAnsi="Arabic Transparent" w:cs="Arabic Transparent"/>
          <w:sz w:val="28"/>
          <w:szCs w:val="28"/>
          <w:rtl/>
          <w:lang w:bidi="ar-JO"/>
        </w:rPr>
        <w:tab/>
      </w:r>
      <w:r w:rsidRPr="00225A87">
        <w:rPr>
          <w:rFonts w:ascii="Arabic Transparent" w:hAnsi="Arabic Transparent" w:cs="Arabic Transparent"/>
          <w:sz w:val="28"/>
          <w:szCs w:val="28"/>
          <w:rtl/>
          <w:lang w:bidi="ar-JO"/>
        </w:rPr>
        <w:t>الفرع الثاني: فتاوى تمويل خدمات التعليم والعلاج عرضاً وتحليلاً</w:t>
      </w:r>
    </w:p>
    <w:p w14:paraId="72715287" w14:textId="61B0DEDA" w:rsidR="00225A87" w:rsidRDefault="00225A87" w:rsidP="00FE24A7">
      <w:pPr>
        <w:spacing w:after="0" w:line="360" w:lineRule="auto"/>
        <w:ind w:firstLine="48"/>
        <w:jc w:val="both"/>
        <w:rPr>
          <w:rFonts w:ascii="Arabic Transparent" w:hAnsi="Arabic Transparent" w:cs="Arabic Transparent"/>
          <w:sz w:val="28"/>
          <w:szCs w:val="28"/>
          <w:rtl/>
          <w:lang w:bidi="ar-JO"/>
        </w:rPr>
      </w:pPr>
      <w:r>
        <w:rPr>
          <w:rFonts w:ascii="Arabic Transparent" w:hAnsi="Arabic Transparent" w:cs="Arabic Transparent"/>
          <w:sz w:val="28"/>
          <w:szCs w:val="28"/>
          <w:rtl/>
          <w:lang w:bidi="ar-JO"/>
        </w:rPr>
        <w:tab/>
      </w:r>
      <w:r w:rsidRPr="00225A87">
        <w:rPr>
          <w:rFonts w:ascii="Arabic Transparent" w:hAnsi="Arabic Transparent" w:cs="Arabic Transparent"/>
          <w:sz w:val="28"/>
          <w:szCs w:val="28"/>
          <w:rtl/>
          <w:lang w:bidi="ar-JO"/>
        </w:rPr>
        <w:t>الفرع الثالث: وجه التفاوت في تحقيق المناط الخاص</w:t>
      </w:r>
    </w:p>
    <w:p w14:paraId="16881DFB" w14:textId="59624E8D" w:rsidR="00225A87" w:rsidRDefault="00225A87" w:rsidP="00FE24A7">
      <w:pPr>
        <w:spacing w:after="0" w:line="360" w:lineRule="auto"/>
        <w:ind w:firstLine="48"/>
        <w:jc w:val="both"/>
        <w:rPr>
          <w:rFonts w:ascii="Arabic Transparent" w:hAnsi="Arabic Transparent" w:cs="Arabic Transparent"/>
          <w:sz w:val="28"/>
          <w:szCs w:val="28"/>
          <w:rtl/>
          <w:lang w:bidi="ar-JO"/>
        </w:rPr>
      </w:pPr>
      <w:r>
        <w:rPr>
          <w:rFonts w:ascii="Arabic Transparent" w:hAnsi="Arabic Transparent" w:cs="Arabic Transparent"/>
          <w:sz w:val="28"/>
          <w:szCs w:val="28"/>
          <w:rtl/>
          <w:lang w:bidi="ar-JO"/>
        </w:rPr>
        <w:tab/>
      </w:r>
      <w:r w:rsidRPr="00225A87">
        <w:rPr>
          <w:rFonts w:ascii="Arabic Transparent" w:hAnsi="Arabic Transparent" w:cs="Arabic Transparent"/>
          <w:sz w:val="28"/>
          <w:szCs w:val="28"/>
          <w:rtl/>
          <w:lang w:bidi="ar-JO"/>
        </w:rPr>
        <w:t>الفرع الرابع: مراعاة أصول ضبط التفاوت</w:t>
      </w:r>
    </w:p>
    <w:p w14:paraId="0039A9AC" w14:textId="77777777" w:rsidR="00FA7204" w:rsidRPr="00FA7204" w:rsidRDefault="00FA7204" w:rsidP="00FA7204">
      <w:pPr>
        <w:spacing w:after="0" w:line="360" w:lineRule="auto"/>
        <w:ind w:firstLine="48"/>
        <w:jc w:val="both"/>
        <w:rPr>
          <w:rFonts w:ascii="Arabic Transparent" w:hAnsi="Arabic Transparent" w:cs="Arabic Transparent"/>
          <w:sz w:val="28"/>
          <w:szCs w:val="28"/>
          <w:lang w:bidi="ar-JO"/>
        </w:rPr>
      </w:pPr>
      <w:r w:rsidRPr="00FA7204">
        <w:rPr>
          <w:rFonts w:ascii="Arabic Transparent" w:hAnsi="Arabic Transparent" w:cs="Arabic Transparent"/>
          <w:b/>
          <w:bCs/>
          <w:sz w:val="28"/>
          <w:szCs w:val="28"/>
          <w:rtl/>
          <w:lang w:bidi="ar-JO"/>
        </w:rPr>
        <w:t>المبحث الثاني</w:t>
      </w:r>
      <w:r w:rsidRPr="00FA7204">
        <w:rPr>
          <w:rFonts w:ascii="Arabic Transparent" w:hAnsi="Arabic Transparent" w:cs="Arabic Transparent"/>
          <w:sz w:val="28"/>
          <w:szCs w:val="28"/>
          <w:rtl/>
          <w:lang w:bidi="ar-JO"/>
        </w:rPr>
        <w:t>: تطبيقات من الفتاوى المتعلقة بالديون المؤجلة</w:t>
      </w:r>
    </w:p>
    <w:p w14:paraId="3F2ECDE0" w14:textId="2B6C4CA4" w:rsidR="00FA7204" w:rsidRDefault="00FA7204" w:rsidP="00FA7204">
      <w:pPr>
        <w:spacing w:after="0" w:line="360" w:lineRule="auto"/>
        <w:ind w:firstLine="48"/>
        <w:jc w:val="both"/>
        <w:rPr>
          <w:rFonts w:ascii="Arabic Transparent" w:hAnsi="Arabic Transparent" w:cs="Arabic Transparent"/>
          <w:sz w:val="28"/>
          <w:szCs w:val="28"/>
          <w:rtl/>
          <w:lang w:bidi="ar-JO"/>
        </w:rPr>
      </w:pPr>
      <w:r w:rsidRPr="00FA7204">
        <w:rPr>
          <w:rFonts w:ascii="Arabic Transparent" w:hAnsi="Arabic Transparent" w:cs="Arabic Transparent"/>
          <w:sz w:val="28"/>
          <w:szCs w:val="28"/>
          <w:rtl/>
          <w:lang w:bidi="ar-JO"/>
        </w:rPr>
        <w:t>المطلب الأول: غرامة التأخير عن سداد الدين</w:t>
      </w:r>
    </w:p>
    <w:p w14:paraId="6582F24C" w14:textId="1C38D51A" w:rsidR="00225A87" w:rsidRDefault="00225A87" w:rsidP="00FA7204">
      <w:pPr>
        <w:spacing w:after="0" w:line="360" w:lineRule="auto"/>
        <w:ind w:firstLine="48"/>
        <w:jc w:val="both"/>
        <w:rPr>
          <w:rFonts w:ascii="Arabic Transparent" w:hAnsi="Arabic Transparent" w:cs="Arabic Transparent"/>
          <w:sz w:val="28"/>
          <w:szCs w:val="28"/>
          <w:rtl/>
          <w:lang w:bidi="ar-JO"/>
        </w:rPr>
      </w:pPr>
      <w:r>
        <w:rPr>
          <w:rFonts w:ascii="Arabic Transparent" w:hAnsi="Arabic Transparent" w:cs="Arabic Transparent"/>
          <w:sz w:val="28"/>
          <w:szCs w:val="28"/>
          <w:rtl/>
          <w:lang w:bidi="ar-JO"/>
        </w:rPr>
        <w:tab/>
      </w:r>
      <w:r w:rsidRPr="00225A87">
        <w:rPr>
          <w:rFonts w:ascii="Arabic Transparent" w:hAnsi="Arabic Transparent" w:cs="Arabic Transparent"/>
          <w:sz w:val="28"/>
          <w:szCs w:val="28"/>
          <w:rtl/>
          <w:lang w:bidi="ar-JO"/>
        </w:rPr>
        <w:t>الفرع الأول: حقيقة غرامة الدين</w:t>
      </w:r>
    </w:p>
    <w:p w14:paraId="358FD25B" w14:textId="4B5409BB" w:rsidR="00225A87" w:rsidRDefault="00225A87" w:rsidP="00FA7204">
      <w:pPr>
        <w:spacing w:after="0" w:line="360" w:lineRule="auto"/>
        <w:ind w:firstLine="48"/>
        <w:jc w:val="both"/>
        <w:rPr>
          <w:rFonts w:ascii="Arabic Transparent" w:hAnsi="Arabic Transparent" w:cs="Arabic Transparent"/>
          <w:sz w:val="28"/>
          <w:szCs w:val="28"/>
          <w:rtl/>
          <w:lang w:bidi="ar-JO"/>
        </w:rPr>
      </w:pPr>
      <w:r>
        <w:rPr>
          <w:rFonts w:ascii="Arabic Transparent" w:hAnsi="Arabic Transparent" w:cs="Arabic Transparent"/>
          <w:sz w:val="28"/>
          <w:szCs w:val="28"/>
          <w:rtl/>
          <w:lang w:bidi="ar-JO"/>
        </w:rPr>
        <w:tab/>
      </w:r>
      <w:r w:rsidRPr="00225A87">
        <w:rPr>
          <w:rFonts w:ascii="Arabic Transparent" w:hAnsi="Arabic Transparent" w:cs="Arabic Transparent"/>
          <w:sz w:val="28"/>
          <w:szCs w:val="28"/>
          <w:rtl/>
          <w:lang w:bidi="ar-JO"/>
        </w:rPr>
        <w:t>الفرع الثاني: فتاوى غرامة التأخير عرضاً وتحليلاً</w:t>
      </w:r>
    </w:p>
    <w:p w14:paraId="19341966" w14:textId="05180B37" w:rsidR="00225A87" w:rsidRDefault="00225A87" w:rsidP="00FA7204">
      <w:pPr>
        <w:spacing w:after="0" w:line="360" w:lineRule="auto"/>
        <w:ind w:firstLine="48"/>
        <w:jc w:val="both"/>
        <w:rPr>
          <w:rFonts w:ascii="Arabic Transparent" w:hAnsi="Arabic Transparent" w:cs="Arabic Transparent"/>
          <w:sz w:val="28"/>
          <w:szCs w:val="28"/>
          <w:rtl/>
          <w:lang w:bidi="ar-JO"/>
        </w:rPr>
      </w:pPr>
      <w:r>
        <w:rPr>
          <w:rFonts w:ascii="Arabic Transparent" w:hAnsi="Arabic Transparent" w:cs="Arabic Transparent"/>
          <w:sz w:val="28"/>
          <w:szCs w:val="28"/>
          <w:rtl/>
          <w:lang w:bidi="ar-JO"/>
        </w:rPr>
        <w:tab/>
      </w:r>
      <w:r w:rsidRPr="00225A87">
        <w:rPr>
          <w:rFonts w:ascii="Arabic Transparent" w:hAnsi="Arabic Transparent" w:cs="Arabic Transparent"/>
          <w:sz w:val="28"/>
          <w:szCs w:val="28"/>
          <w:rtl/>
          <w:lang w:bidi="ar-JO"/>
        </w:rPr>
        <w:t>الفرع الثالث: وجه التفاوت في تحقيق المناط الخاص</w:t>
      </w:r>
    </w:p>
    <w:p w14:paraId="58AEB07A" w14:textId="501650BE" w:rsidR="00225A87" w:rsidRPr="00FA7204" w:rsidRDefault="00225A87" w:rsidP="00FA7204">
      <w:pPr>
        <w:spacing w:after="0" w:line="360" w:lineRule="auto"/>
        <w:ind w:firstLine="48"/>
        <w:jc w:val="both"/>
        <w:rPr>
          <w:rFonts w:ascii="Arabic Transparent" w:hAnsi="Arabic Transparent" w:cs="Arabic Transparent"/>
          <w:sz w:val="28"/>
          <w:szCs w:val="28"/>
          <w:lang w:bidi="ar-JO"/>
        </w:rPr>
      </w:pPr>
      <w:r>
        <w:rPr>
          <w:rFonts w:ascii="Arabic Transparent" w:hAnsi="Arabic Transparent" w:cs="Arabic Transparent"/>
          <w:sz w:val="28"/>
          <w:szCs w:val="28"/>
          <w:rtl/>
          <w:lang w:bidi="ar-JO"/>
        </w:rPr>
        <w:lastRenderedPageBreak/>
        <w:tab/>
      </w:r>
      <w:r w:rsidRPr="00225A87">
        <w:rPr>
          <w:rFonts w:ascii="Arabic Transparent" w:hAnsi="Arabic Transparent" w:cs="Arabic Transparent"/>
          <w:sz w:val="28"/>
          <w:szCs w:val="28"/>
          <w:rtl/>
          <w:lang w:bidi="ar-JO"/>
        </w:rPr>
        <w:t>الفرع الرابع: مراعاة أصول ضبط التفاوت</w:t>
      </w:r>
    </w:p>
    <w:p w14:paraId="019CF288" w14:textId="7206291E" w:rsidR="00FA7204" w:rsidRDefault="00FA7204" w:rsidP="00FA7204">
      <w:pPr>
        <w:spacing w:after="0" w:line="360" w:lineRule="auto"/>
        <w:ind w:firstLine="48"/>
        <w:jc w:val="both"/>
        <w:rPr>
          <w:rFonts w:ascii="Arabic Transparent" w:hAnsi="Arabic Transparent" w:cs="Arabic Transparent"/>
          <w:sz w:val="28"/>
          <w:szCs w:val="28"/>
          <w:rtl/>
          <w:lang w:bidi="ar-JO"/>
        </w:rPr>
      </w:pPr>
      <w:r w:rsidRPr="00FA7204">
        <w:rPr>
          <w:rFonts w:ascii="Arabic Transparent" w:hAnsi="Arabic Transparent" w:cs="Arabic Transparent"/>
          <w:sz w:val="28"/>
          <w:szCs w:val="28"/>
          <w:rtl/>
          <w:lang w:bidi="ar-JO"/>
        </w:rPr>
        <w:t>المطلب الثاني: دفع الزيادة في القرض من طرف ثالث</w:t>
      </w:r>
    </w:p>
    <w:p w14:paraId="2CFC57FB" w14:textId="2F7B97FF" w:rsidR="00225A87" w:rsidRDefault="00225A87" w:rsidP="00FA7204">
      <w:pPr>
        <w:spacing w:after="0" w:line="360" w:lineRule="auto"/>
        <w:ind w:firstLine="48"/>
        <w:jc w:val="both"/>
        <w:rPr>
          <w:rFonts w:ascii="Arabic Transparent" w:hAnsi="Arabic Transparent" w:cs="Arabic Transparent"/>
          <w:sz w:val="28"/>
          <w:szCs w:val="28"/>
          <w:rtl/>
          <w:lang w:bidi="ar-JO"/>
        </w:rPr>
      </w:pPr>
      <w:r>
        <w:rPr>
          <w:rFonts w:ascii="Arabic Transparent" w:hAnsi="Arabic Transparent" w:cs="Arabic Transparent"/>
          <w:sz w:val="28"/>
          <w:szCs w:val="28"/>
          <w:rtl/>
          <w:lang w:bidi="ar-JO"/>
        </w:rPr>
        <w:tab/>
      </w:r>
      <w:r w:rsidR="00D1459D" w:rsidRPr="00D1459D">
        <w:rPr>
          <w:rFonts w:ascii="Arabic Transparent" w:hAnsi="Arabic Transparent" w:cs="Arabic Transparent"/>
          <w:sz w:val="28"/>
          <w:szCs w:val="28"/>
          <w:rtl/>
          <w:lang w:bidi="ar-JO"/>
        </w:rPr>
        <w:t>الفرع الأول: حقيقة تقديم المنفعة من طرف ثالث</w:t>
      </w:r>
    </w:p>
    <w:p w14:paraId="004B505A" w14:textId="3C57A99F" w:rsidR="00225A87" w:rsidRDefault="00225A87" w:rsidP="00FA7204">
      <w:pPr>
        <w:spacing w:after="0" w:line="360" w:lineRule="auto"/>
        <w:ind w:firstLine="48"/>
        <w:jc w:val="both"/>
        <w:rPr>
          <w:rFonts w:ascii="Arabic Transparent" w:hAnsi="Arabic Transparent" w:cs="Arabic Transparent"/>
          <w:sz w:val="28"/>
          <w:szCs w:val="28"/>
          <w:rtl/>
          <w:lang w:bidi="ar-JO"/>
        </w:rPr>
      </w:pPr>
      <w:r>
        <w:rPr>
          <w:rFonts w:ascii="Arabic Transparent" w:hAnsi="Arabic Transparent" w:cs="Arabic Transparent"/>
          <w:sz w:val="28"/>
          <w:szCs w:val="28"/>
          <w:rtl/>
          <w:lang w:bidi="ar-JO"/>
        </w:rPr>
        <w:tab/>
      </w:r>
      <w:r w:rsidRPr="00225A87">
        <w:rPr>
          <w:rFonts w:ascii="Arabic Transparent" w:hAnsi="Arabic Transparent" w:cs="Arabic Transparent"/>
          <w:sz w:val="28"/>
          <w:szCs w:val="28"/>
          <w:rtl/>
          <w:lang w:bidi="ar-JO"/>
        </w:rPr>
        <w:t>الفرع الثاني: فتاوى دفع الزيادة في القرض من طرف ثالث عرضاً وتحليلاً</w:t>
      </w:r>
    </w:p>
    <w:p w14:paraId="1EB32F7D" w14:textId="2059EBC8" w:rsidR="00D1459D" w:rsidRDefault="00D1459D" w:rsidP="00FA7204">
      <w:pPr>
        <w:spacing w:after="0" w:line="360" w:lineRule="auto"/>
        <w:ind w:firstLine="48"/>
        <w:jc w:val="both"/>
        <w:rPr>
          <w:rFonts w:ascii="Arabic Transparent" w:hAnsi="Arabic Transparent" w:cs="Arabic Transparent"/>
          <w:sz w:val="28"/>
          <w:szCs w:val="28"/>
          <w:rtl/>
          <w:lang w:bidi="ar-JO"/>
        </w:rPr>
      </w:pPr>
      <w:r>
        <w:rPr>
          <w:rFonts w:ascii="Arabic Transparent" w:hAnsi="Arabic Transparent" w:cs="Arabic Transparent"/>
          <w:sz w:val="28"/>
          <w:szCs w:val="28"/>
          <w:rtl/>
          <w:lang w:bidi="ar-JO"/>
        </w:rPr>
        <w:tab/>
      </w:r>
      <w:r w:rsidRPr="00D1459D">
        <w:rPr>
          <w:rFonts w:ascii="Arabic Transparent" w:hAnsi="Arabic Transparent" w:cs="Arabic Transparent"/>
          <w:sz w:val="28"/>
          <w:szCs w:val="28"/>
          <w:rtl/>
          <w:lang w:bidi="ar-JO"/>
        </w:rPr>
        <w:t>الفرع الثالث: وجه التفاوت في تحقيق المناط الخاص</w:t>
      </w:r>
    </w:p>
    <w:p w14:paraId="5D3FC5D8" w14:textId="1D74A8E5" w:rsidR="00D1459D" w:rsidRPr="00FA7204" w:rsidRDefault="00D1459D" w:rsidP="00FA7204">
      <w:pPr>
        <w:spacing w:after="0" w:line="360" w:lineRule="auto"/>
        <w:ind w:firstLine="48"/>
        <w:jc w:val="both"/>
        <w:rPr>
          <w:rFonts w:ascii="Arabic Transparent" w:hAnsi="Arabic Transparent" w:cs="Arabic Transparent"/>
          <w:sz w:val="28"/>
          <w:szCs w:val="28"/>
          <w:lang w:bidi="ar-JO"/>
        </w:rPr>
      </w:pPr>
      <w:r>
        <w:rPr>
          <w:rFonts w:ascii="Arabic Transparent" w:hAnsi="Arabic Transparent" w:cs="Arabic Transparent"/>
          <w:sz w:val="28"/>
          <w:szCs w:val="28"/>
          <w:rtl/>
          <w:lang w:bidi="ar-JO"/>
        </w:rPr>
        <w:tab/>
      </w:r>
      <w:r w:rsidRPr="00D1459D">
        <w:rPr>
          <w:rFonts w:ascii="Arabic Transparent" w:hAnsi="Arabic Transparent" w:cs="Arabic Transparent"/>
          <w:sz w:val="28"/>
          <w:szCs w:val="28"/>
          <w:rtl/>
          <w:lang w:bidi="ar-JO"/>
        </w:rPr>
        <w:t>الفرع الرابع: مراعاة أصول ضبط التفاوت</w:t>
      </w:r>
    </w:p>
    <w:p w14:paraId="7D10F955" w14:textId="77777777" w:rsidR="00FA7204" w:rsidRDefault="00FA7204" w:rsidP="00FA7204">
      <w:pPr>
        <w:spacing w:after="0" w:line="360" w:lineRule="auto"/>
        <w:ind w:firstLine="48"/>
        <w:jc w:val="both"/>
        <w:rPr>
          <w:rFonts w:ascii="Arabic Transparent" w:hAnsi="Arabic Transparent" w:cs="Arabic Transparent"/>
          <w:sz w:val="28"/>
          <w:szCs w:val="28"/>
          <w:rtl/>
          <w:lang w:bidi="ar-JO"/>
        </w:rPr>
      </w:pPr>
      <w:r w:rsidRPr="00FA7204">
        <w:rPr>
          <w:rFonts w:ascii="Arabic Transparent" w:hAnsi="Arabic Transparent" w:cs="Arabic Transparent"/>
          <w:sz w:val="28"/>
          <w:szCs w:val="28"/>
          <w:rtl/>
          <w:lang w:bidi="ar-JO"/>
        </w:rPr>
        <w:t>المطلب الثالث: الربط القياسي للديون والالتزامات الآجلة</w:t>
      </w:r>
    </w:p>
    <w:p w14:paraId="20FA3C5D" w14:textId="0A12FAC7" w:rsidR="00D1459D" w:rsidRDefault="00D1459D" w:rsidP="00FA7204">
      <w:pPr>
        <w:spacing w:after="0" w:line="360" w:lineRule="auto"/>
        <w:ind w:firstLine="48"/>
        <w:jc w:val="both"/>
        <w:rPr>
          <w:rFonts w:ascii="Arabic Transparent" w:hAnsi="Arabic Transparent" w:cs="Arabic Transparent"/>
          <w:sz w:val="28"/>
          <w:szCs w:val="28"/>
          <w:rtl/>
          <w:lang w:bidi="ar-JO"/>
        </w:rPr>
      </w:pPr>
      <w:r>
        <w:rPr>
          <w:rFonts w:ascii="Arabic Transparent" w:hAnsi="Arabic Transparent" w:cs="Arabic Transparent"/>
          <w:sz w:val="28"/>
          <w:szCs w:val="28"/>
          <w:rtl/>
          <w:lang w:bidi="ar-JO"/>
        </w:rPr>
        <w:tab/>
      </w:r>
      <w:r w:rsidRPr="00D1459D">
        <w:rPr>
          <w:rFonts w:ascii="Arabic Transparent" w:hAnsi="Arabic Transparent" w:cs="Arabic Transparent"/>
          <w:sz w:val="28"/>
          <w:szCs w:val="28"/>
          <w:rtl/>
          <w:lang w:bidi="ar-JO"/>
        </w:rPr>
        <w:t>الفرع الأول: حقيقة أداء الديون والالتزامات الآجلة</w:t>
      </w:r>
    </w:p>
    <w:p w14:paraId="23EE9641" w14:textId="3AF8508F" w:rsidR="00D1459D" w:rsidRDefault="00D1459D" w:rsidP="00FA7204">
      <w:pPr>
        <w:spacing w:after="0" w:line="360" w:lineRule="auto"/>
        <w:ind w:firstLine="48"/>
        <w:jc w:val="both"/>
        <w:rPr>
          <w:rFonts w:ascii="Arabic Transparent" w:hAnsi="Arabic Transparent" w:cs="Arabic Transparent"/>
          <w:sz w:val="28"/>
          <w:szCs w:val="28"/>
          <w:rtl/>
          <w:lang w:bidi="ar-JO"/>
        </w:rPr>
      </w:pPr>
      <w:r>
        <w:rPr>
          <w:rFonts w:ascii="Arabic Transparent" w:hAnsi="Arabic Transparent" w:cs="Arabic Transparent"/>
          <w:sz w:val="28"/>
          <w:szCs w:val="28"/>
          <w:rtl/>
          <w:lang w:bidi="ar-JO"/>
        </w:rPr>
        <w:tab/>
      </w:r>
      <w:r w:rsidRPr="00D1459D">
        <w:rPr>
          <w:rFonts w:ascii="Arabic Transparent" w:hAnsi="Arabic Transparent" w:cs="Arabic Transparent"/>
          <w:sz w:val="28"/>
          <w:szCs w:val="28"/>
          <w:rtl/>
          <w:lang w:bidi="ar-JO"/>
        </w:rPr>
        <w:t>الفرع الثاني: فتاوى أداء الديون والالتزامات عرضاً وتحليلاً</w:t>
      </w:r>
    </w:p>
    <w:p w14:paraId="28892447" w14:textId="63374820" w:rsidR="00D1459D" w:rsidRDefault="00D1459D" w:rsidP="00FA7204">
      <w:pPr>
        <w:spacing w:after="0" w:line="360" w:lineRule="auto"/>
        <w:ind w:firstLine="48"/>
        <w:jc w:val="both"/>
        <w:rPr>
          <w:rFonts w:ascii="Arabic Transparent" w:hAnsi="Arabic Transparent" w:cs="Arabic Transparent"/>
          <w:sz w:val="28"/>
          <w:szCs w:val="28"/>
          <w:rtl/>
          <w:lang w:bidi="ar-JO"/>
        </w:rPr>
      </w:pPr>
      <w:r>
        <w:rPr>
          <w:rFonts w:ascii="Arabic Transparent" w:hAnsi="Arabic Transparent" w:cs="Arabic Transparent"/>
          <w:sz w:val="28"/>
          <w:szCs w:val="28"/>
          <w:rtl/>
          <w:lang w:bidi="ar-JO"/>
        </w:rPr>
        <w:tab/>
      </w:r>
      <w:r w:rsidRPr="00D1459D">
        <w:rPr>
          <w:rFonts w:ascii="Arabic Transparent" w:hAnsi="Arabic Transparent" w:cs="Arabic Transparent"/>
          <w:sz w:val="28"/>
          <w:szCs w:val="28"/>
          <w:rtl/>
          <w:lang w:bidi="ar-JO"/>
        </w:rPr>
        <w:t>الفرع الثالث: وجه التفاوت في تحقيق المناط الخاص</w:t>
      </w:r>
    </w:p>
    <w:p w14:paraId="3A602F2A" w14:textId="5AD6ED15" w:rsidR="00D1459D" w:rsidRPr="00FA7204" w:rsidRDefault="00D1459D" w:rsidP="00FA7204">
      <w:pPr>
        <w:spacing w:after="0" w:line="360" w:lineRule="auto"/>
        <w:ind w:firstLine="48"/>
        <w:jc w:val="both"/>
        <w:rPr>
          <w:rFonts w:ascii="Arabic Transparent" w:hAnsi="Arabic Transparent" w:cs="Arabic Transparent"/>
          <w:sz w:val="28"/>
          <w:szCs w:val="28"/>
          <w:lang w:bidi="ar-JO"/>
        </w:rPr>
      </w:pPr>
      <w:r>
        <w:rPr>
          <w:rFonts w:ascii="Arabic Transparent" w:hAnsi="Arabic Transparent" w:cs="Arabic Transparent"/>
          <w:sz w:val="28"/>
          <w:szCs w:val="28"/>
          <w:rtl/>
          <w:lang w:bidi="ar-JO"/>
        </w:rPr>
        <w:tab/>
      </w:r>
      <w:r w:rsidRPr="00D1459D">
        <w:rPr>
          <w:rFonts w:ascii="Arabic Transparent" w:hAnsi="Arabic Transparent" w:cs="Arabic Transparent"/>
          <w:sz w:val="28"/>
          <w:szCs w:val="28"/>
          <w:rtl/>
          <w:lang w:bidi="ar-JO"/>
        </w:rPr>
        <w:t>الفرع الرابع: مراعاة أصول ضبط التفاوت</w:t>
      </w:r>
    </w:p>
    <w:p w14:paraId="0F3A3F59" w14:textId="77777777" w:rsidR="00FA7204" w:rsidRPr="00FA7204" w:rsidRDefault="00FA7204" w:rsidP="00FA7204">
      <w:pPr>
        <w:spacing w:after="0" w:line="360" w:lineRule="auto"/>
        <w:ind w:firstLine="48"/>
        <w:jc w:val="both"/>
        <w:rPr>
          <w:rFonts w:ascii="Arabic Transparent" w:hAnsi="Arabic Transparent" w:cs="Arabic Transparent"/>
          <w:sz w:val="28"/>
          <w:szCs w:val="28"/>
          <w:lang w:bidi="ar-JO"/>
        </w:rPr>
      </w:pPr>
      <w:r w:rsidRPr="00FA7204">
        <w:rPr>
          <w:rFonts w:ascii="Arabic Transparent" w:hAnsi="Arabic Transparent" w:cs="Arabic Transparent"/>
          <w:b/>
          <w:bCs/>
          <w:sz w:val="28"/>
          <w:szCs w:val="28"/>
          <w:rtl/>
          <w:lang w:bidi="ar-JO"/>
        </w:rPr>
        <w:t>المبحث الثالث:</w:t>
      </w:r>
      <w:r w:rsidRPr="00FA7204">
        <w:rPr>
          <w:rFonts w:ascii="Arabic Transparent" w:hAnsi="Arabic Transparent" w:cs="Arabic Transparent"/>
          <w:sz w:val="28"/>
          <w:szCs w:val="28"/>
          <w:rtl/>
          <w:lang w:bidi="ar-JO"/>
        </w:rPr>
        <w:t xml:space="preserve"> تطبيقات من فتاوى العملات الرقمية والتجارة الالكترونية</w:t>
      </w:r>
    </w:p>
    <w:p w14:paraId="489CF5F3" w14:textId="02522955" w:rsidR="00FA7204" w:rsidRDefault="00FA7204" w:rsidP="00FA7204">
      <w:pPr>
        <w:spacing w:after="0" w:line="360" w:lineRule="auto"/>
        <w:ind w:firstLine="48"/>
        <w:jc w:val="both"/>
        <w:rPr>
          <w:rFonts w:ascii="Arabic Transparent" w:hAnsi="Arabic Transparent" w:cs="Arabic Transparent"/>
          <w:sz w:val="28"/>
          <w:szCs w:val="28"/>
          <w:rtl/>
          <w:lang w:bidi="ar-JO"/>
        </w:rPr>
      </w:pPr>
      <w:r w:rsidRPr="00FA7204">
        <w:rPr>
          <w:rFonts w:ascii="Arabic Transparent" w:hAnsi="Arabic Transparent" w:cs="Arabic Transparent"/>
          <w:sz w:val="28"/>
          <w:szCs w:val="28"/>
          <w:rtl/>
          <w:lang w:bidi="ar-JO"/>
        </w:rPr>
        <w:t>المطلب الأول: العملات الرقمية المشفرة</w:t>
      </w:r>
    </w:p>
    <w:p w14:paraId="65965E95" w14:textId="2508482B" w:rsidR="00D1459D" w:rsidRDefault="00D1459D" w:rsidP="00FA7204">
      <w:pPr>
        <w:spacing w:after="0" w:line="360" w:lineRule="auto"/>
        <w:ind w:firstLine="48"/>
        <w:jc w:val="both"/>
        <w:rPr>
          <w:rFonts w:ascii="Arabic Transparent" w:hAnsi="Arabic Transparent" w:cs="Arabic Transparent"/>
          <w:sz w:val="28"/>
          <w:szCs w:val="28"/>
          <w:rtl/>
          <w:lang w:bidi="ar-JO"/>
        </w:rPr>
      </w:pPr>
      <w:r>
        <w:rPr>
          <w:rFonts w:ascii="Arabic Transparent" w:hAnsi="Arabic Transparent" w:cs="Arabic Transparent"/>
          <w:sz w:val="28"/>
          <w:szCs w:val="28"/>
          <w:rtl/>
          <w:lang w:bidi="ar-JO"/>
        </w:rPr>
        <w:tab/>
      </w:r>
      <w:r w:rsidRPr="00D1459D">
        <w:rPr>
          <w:rFonts w:ascii="Arabic Transparent" w:hAnsi="Arabic Transparent" w:cs="Arabic Transparent"/>
          <w:sz w:val="28"/>
          <w:szCs w:val="28"/>
          <w:rtl/>
          <w:lang w:bidi="ar-JO"/>
        </w:rPr>
        <w:t>الفرع الأول: حقيقة العملات المشفرة</w:t>
      </w:r>
    </w:p>
    <w:p w14:paraId="7432E823" w14:textId="49C56C7E" w:rsidR="00D1459D" w:rsidRDefault="00D1459D" w:rsidP="00FA7204">
      <w:pPr>
        <w:spacing w:after="0" w:line="360" w:lineRule="auto"/>
        <w:ind w:firstLine="48"/>
        <w:jc w:val="both"/>
        <w:rPr>
          <w:rFonts w:ascii="Arabic Transparent" w:hAnsi="Arabic Transparent" w:cs="Arabic Transparent"/>
          <w:sz w:val="28"/>
          <w:szCs w:val="28"/>
          <w:rtl/>
          <w:lang w:bidi="ar-JO"/>
        </w:rPr>
      </w:pPr>
      <w:r>
        <w:rPr>
          <w:rFonts w:ascii="Arabic Transparent" w:hAnsi="Arabic Transparent" w:cs="Arabic Transparent"/>
          <w:sz w:val="28"/>
          <w:szCs w:val="28"/>
          <w:rtl/>
          <w:lang w:bidi="ar-JO"/>
        </w:rPr>
        <w:tab/>
      </w:r>
      <w:r w:rsidRPr="00D1459D">
        <w:rPr>
          <w:rFonts w:ascii="Arabic Transparent" w:hAnsi="Arabic Transparent" w:cs="Arabic Transparent"/>
          <w:sz w:val="28"/>
          <w:szCs w:val="28"/>
          <w:rtl/>
          <w:lang w:bidi="ar-JO"/>
        </w:rPr>
        <w:t>الفرع الثاني: فتاوى العملات الرقمية المشفرة عرضاً وتحليلاً</w:t>
      </w:r>
    </w:p>
    <w:p w14:paraId="7DDDA32E" w14:textId="35E00A92" w:rsidR="00D1459D" w:rsidRDefault="00D1459D" w:rsidP="00FA7204">
      <w:pPr>
        <w:spacing w:after="0" w:line="360" w:lineRule="auto"/>
        <w:ind w:firstLine="48"/>
        <w:jc w:val="both"/>
        <w:rPr>
          <w:rFonts w:ascii="Arabic Transparent" w:hAnsi="Arabic Transparent" w:cs="Arabic Transparent"/>
          <w:sz w:val="28"/>
          <w:szCs w:val="28"/>
          <w:rtl/>
          <w:lang w:bidi="ar-JO"/>
        </w:rPr>
      </w:pPr>
      <w:r>
        <w:rPr>
          <w:rFonts w:ascii="Arabic Transparent" w:hAnsi="Arabic Transparent" w:cs="Arabic Transparent"/>
          <w:sz w:val="28"/>
          <w:szCs w:val="28"/>
          <w:rtl/>
          <w:lang w:bidi="ar-JO"/>
        </w:rPr>
        <w:tab/>
      </w:r>
      <w:r w:rsidRPr="00D1459D">
        <w:rPr>
          <w:rFonts w:ascii="Arabic Transparent" w:hAnsi="Arabic Transparent" w:cs="Arabic Transparent"/>
          <w:sz w:val="28"/>
          <w:szCs w:val="28"/>
          <w:rtl/>
          <w:lang w:bidi="ar-JO"/>
        </w:rPr>
        <w:t>الفرع الثالث: وجه التفاوت في تحقيق المناط الخاص</w:t>
      </w:r>
    </w:p>
    <w:p w14:paraId="0EFFDA70" w14:textId="6F0252FC" w:rsidR="00D1459D" w:rsidRPr="00FA7204" w:rsidRDefault="00D1459D" w:rsidP="00FA7204">
      <w:pPr>
        <w:spacing w:after="0" w:line="360" w:lineRule="auto"/>
        <w:ind w:firstLine="48"/>
        <w:jc w:val="both"/>
        <w:rPr>
          <w:rFonts w:ascii="Arabic Transparent" w:hAnsi="Arabic Transparent" w:cs="Arabic Transparent"/>
          <w:sz w:val="28"/>
          <w:szCs w:val="28"/>
          <w:lang w:bidi="ar-JO"/>
        </w:rPr>
      </w:pPr>
      <w:r>
        <w:rPr>
          <w:rFonts w:ascii="Arabic Transparent" w:hAnsi="Arabic Transparent" w:cs="Arabic Transparent"/>
          <w:sz w:val="28"/>
          <w:szCs w:val="28"/>
          <w:rtl/>
          <w:lang w:bidi="ar-JO"/>
        </w:rPr>
        <w:tab/>
      </w:r>
      <w:r w:rsidRPr="00D1459D">
        <w:rPr>
          <w:rFonts w:ascii="Arabic Transparent" w:hAnsi="Arabic Transparent" w:cs="Arabic Transparent"/>
          <w:sz w:val="28"/>
          <w:szCs w:val="28"/>
          <w:rtl/>
          <w:lang w:bidi="ar-JO"/>
        </w:rPr>
        <w:t>الفرع الرابع: مراعاة أصول ضبط التفاوت</w:t>
      </w:r>
    </w:p>
    <w:p w14:paraId="3FA21B8F" w14:textId="6777B661" w:rsidR="00D1459D" w:rsidRDefault="00FA7204" w:rsidP="00D1459D">
      <w:pPr>
        <w:spacing w:after="0" w:line="360" w:lineRule="auto"/>
        <w:ind w:firstLine="48"/>
        <w:jc w:val="both"/>
        <w:rPr>
          <w:rFonts w:ascii="Arabic Transparent" w:hAnsi="Arabic Transparent" w:cs="Arabic Transparent"/>
          <w:sz w:val="28"/>
          <w:szCs w:val="28"/>
          <w:rtl/>
          <w:lang w:bidi="ar-JO"/>
        </w:rPr>
      </w:pPr>
      <w:r w:rsidRPr="00FA7204">
        <w:rPr>
          <w:rFonts w:ascii="Arabic Transparent" w:hAnsi="Arabic Transparent" w:cs="Arabic Transparent"/>
          <w:sz w:val="28"/>
          <w:szCs w:val="28"/>
          <w:rtl/>
          <w:lang w:bidi="ar-JO"/>
        </w:rPr>
        <w:t>المطلب الثاني: بيوع إسقاط الشحن (</w:t>
      </w:r>
      <w:r w:rsidRPr="00FA7204">
        <w:rPr>
          <w:rFonts w:ascii="Arabic Transparent" w:hAnsi="Arabic Transparent" w:cs="Arabic Transparent"/>
          <w:sz w:val="28"/>
          <w:szCs w:val="28"/>
          <w:lang w:bidi="ar-JO"/>
        </w:rPr>
        <w:t>drop shipping</w:t>
      </w:r>
      <w:r w:rsidRPr="00FA7204">
        <w:rPr>
          <w:rFonts w:ascii="Arabic Transparent" w:hAnsi="Arabic Transparent" w:cs="Arabic Transparent"/>
          <w:sz w:val="28"/>
          <w:szCs w:val="28"/>
          <w:rtl/>
          <w:lang w:bidi="ar-JO"/>
        </w:rPr>
        <w:t>)</w:t>
      </w:r>
    </w:p>
    <w:p w14:paraId="71A2994D" w14:textId="4736867B" w:rsidR="00D1459D" w:rsidRDefault="00D1459D" w:rsidP="00D1459D">
      <w:pPr>
        <w:spacing w:after="0" w:line="360" w:lineRule="auto"/>
        <w:ind w:firstLine="48"/>
        <w:jc w:val="both"/>
        <w:rPr>
          <w:rFonts w:ascii="Arabic Transparent" w:hAnsi="Arabic Transparent" w:cs="Arabic Transparent"/>
          <w:sz w:val="28"/>
          <w:szCs w:val="28"/>
          <w:rtl/>
          <w:lang w:bidi="ar-JO"/>
        </w:rPr>
      </w:pPr>
      <w:r>
        <w:rPr>
          <w:rFonts w:ascii="Arabic Transparent" w:hAnsi="Arabic Transparent" w:cs="Arabic Transparent"/>
          <w:sz w:val="28"/>
          <w:szCs w:val="28"/>
          <w:rtl/>
          <w:lang w:bidi="ar-JO"/>
        </w:rPr>
        <w:tab/>
      </w:r>
      <w:r w:rsidRPr="00D1459D">
        <w:rPr>
          <w:rFonts w:ascii="Arabic Transparent" w:hAnsi="Arabic Transparent" w:cs="Arabic Transparent"/>
          <w:sz w:val="28"/>
          <w:szCs w:val="28"/>
          <w:rtl/>
          <w:lang w:bidi="ar-JO"/>
        </w:rPr>
        <w:t>الفرع الأول: حقيقة</w:t>
      </w:r>
      <w:r w:rsidR="005D7B91">
        <w:rPr>
          <w:rFonts w:ascii="Arabic Transparent" w:hAnsi="Arabic Transparent" w:cs="Arabic Transparent"/>
          <w:sz w:val="28"/>
          <w:szCs w:val="28"/>
          <w:rtl/>
          <w:lang w:bidi="ar-JO"/>
        </w:rPr>
        <w:t xml:space="preserve">: </w:t>
      </w:r>
      <w:r w:rsidRPr="00D1459D">
        <w:rPr>
          <w:rFonts w:ascii="Arabic Transparent" w:hAnsi="Arabic Transparent" w:cs="Arabic Transparent"/>
          <w:sz w:val="28"/>
          <w:szCs w:val="28"/>
          <w:rtl/>
          <w:lang w:bidi="ar-JO"/>
        </w:rPr>
        <w:t>إسقاط الشحن (</w:t>
      </w:r>
      <w:r w:rsidRPr="00D1459D">
        <w:rPr>
          <w:rFonts w:ascii="Arabic Transparent" w:hAnsi="Arabic Transparent" w:cs="Arabic Transparent"/>
          <w:sz w:val="28"/>
          <w:szCs w:val="28"/>
          <w:lang w:bidi="ar-JO"/>
        </w:rPr>
        <w:t>drop shipping</w:t>
      </w:r>
      <w:r w:rsidRPr="00D1459D">
        <w:rPr>
          <w:rFonts w:ascii="Arabic Transparent" w:hAnsi="Arabic Transparent" w:cs="Arabic Transparent"/>
          <w:sz w:val="28"/>
          <w:szCs w:val="28"/>
          <w:rtl/>
          <w:lang w:bidi="ar-JO"/>
        </w:rPr>
        <w:t>)</w:t>
      </w:r>
    </w:p>
    <w:p w14:paraId="171326ED" w14:textId="3FE838F9" w:rsidR="00D1459D" w:rsidRDefault="00D1459D" w:rsidP="00D1459D">
      <w:pPr>
        <w:spacing w:after="0" w:line="360" w:lineRule="auto"/>
        <w:ind w:firstLine="48"/>
        <w:jc w:val="both"/>
        <w:rPr>
          <w:rFonts w:ascii="Arabic Transparent" w:hAnsi="Arabic Transparent" w:cs="Arabic Transparent"/>
          <w:sz w:val="28"/>
          <w:szCs w:val="28"/>
          <w:rtl/>
          <w:lang w:bidi="ar-JO"/>
        </w:rPr>
      </w:pPr>
      <w:r>
        <w:rPr>
          <w:rFonts w:ascii="Arabic Transparent" w:hAnsi="Arabic Transparent" w:cs="Arabic Transparent"/>
          <w:sz w:val="28"/>
          <w:szCs w:val="28"/>
          <w:rtl/>
          <w:lang w:bidi="ar-JO"/>
        </w:rPr>
        <w:tab/>
      </w:r>
      <w:r w:rsidRPr="00D1459D">
        <w:rPr>
          <w:rFonts w:ascii="Arabic Transparent" w:hAnsi="Arabic Transparent" w:cs="Arabic Transparent"/>
          <w:sz w:val="28"/>
          <w:szCs w:val="28"/>
          <w:rtl/>
          <w:lang w:bidi="ar-JO"/>
        </w:rPr>
        <w:t>الفرع الثاني: فتاوى بيوع إسقاط الشحن عرضاً وتحليلاً</w:t>
      </w:r>
    </w:p>
    <w:p w14:paraId="51F398E5" w14:textId="4ADE7076" w:rsidR="00D1459D" w:rsidRDefault="00D1459D" w:rsidP="00D1459D">
      <w:pPr>
        <w:spacing w:after="0" w:line="360" w:lineRule="auto"/>
        <w:ind w:firstLine="48"/>
        <w:jc w:val="both"/>
        <w:rPr>
          <w:rFonts w:ascii="Arabic Transparent" w:hAnsi="Arabic Transparent" w:cs="Arabic Transparent"/>
          <w:sz w:val="28"/>
          <w:szCs w:val="28"/>
          <w:rtl/>
          <w:lang w:bidi="ar-JO"/>
        </w:rPr>
      </w:pPr>
      <w:r>
        <w:rPr>
          <w:rFonts w:ascii="Arabic Transparent" w:hAnsi="Arabic Transparent" w:cs="Arabic Transparent"/>
          <w:sz w:val="28"/>
          <w:szCs w:val="28"/>
          <w:rtl/>
          <w:lang w:bidi="ar-JO"/>
        </w:rPr>
        <w:tab/>
      </w:r>
      <w:r w:rsidRPr="00D1459D">
        <w:rPr>
          <w:rFonts w:ascii="Arabic Transparent" w:hAnsi="Arabic Transparent" w:cs="Arabic Transparent"/>
          <w:sz w:val="28"/>
          <w:szCs w:val="28"/>
          <w:rtl/>
          <w:lang w:bidi="ar-JO"/>
        </w:rPr>
        <w:t>الفرع الثالث: وجه التفاوت في تحقيق المناط الخاص</w:t>
      </w:r>
    </w:p>
    <w:p w14:paraId="21914CBE" w14:textId="528D4E0F" w:rsidR="00D1459D" w:rsidRDefault="00D1459D" w:rsidP="00D1459D">
      <w:pPr>
        <w:spacing w:after="0" w:line="360" w:lineRule="auto"/>
        <w:ind w:firstLine="48"/>
        <w:jc w:val="both"/>
        <w:rPr>
          <w:rFonts w:ascii="Arabic Transparent" w:hAnsi="Arabic Transparent" w:cs="Arabic Transparent"/>
          <w:sz w:val="28"/>
          <w:szCs w:val="28"/>
          <w:rtl/>
          <w:lang w:bidi="ar-JO"/>
        </w:rPr>
      </w:pPr>
      <w:r>
        <w:rPr>
          <w:rFonts w:ascii="Arabic Transparent" w:hAnsi="Arabic Transparent" w:cs="Arabic Transparent"/>
          <w:sz w:val="28"/>
          <w:szCs w:val="28"/>
          <w:rtl/>
          <w:lang w:bidi="ar-JO"/>
        </w:rPr>
        <w:tab/>
      </w:r>
      <w:r w:rsidRPr="00D1459D">
        <w:rPr>
          <w:rFonts w:ascii="Arabic Transparent" w:hAnsi="Arabic Transparent" w:cs="Arabic Transparent"/>
          <w:sz w:val="28"/>
          <w:szCs w:val="28"/>
          <w:rtl/>
          <w:lang w:bidi="ar-JO"/>
        </w:rPr>
        <w:t>الفرع الرابع: مراعاة أصول ضبط التفاوت</w:t>
      </w:r>
    </w:p>
    <w:p w14:paraId="606B76D1" w14:textId="11F88492" w:rsidR="00D1459D" w:rsidRPr="00D1459D" w:rsidRDefault="00D1459D" w:rsidP="00D1459D">
      <w:pPr>
        <w:spacing w:after="0" w:line="360" w:lineRule="auto"/>
        <w:ind w:firstLine="48"/>
        <w:jc w:val="both"/>
        <w:rPr>
          <w:rFonts w:ascii="Arabic Transparent" w:hAnsi="Arabic Transparent" w:cs="Arabic Transparent"/>
          <w:b/>
          <w:bCs/>
          <w:sz w:val="28"/>
          <w:szCs w:val="28"/>
          <w:rtl/>
          <w:lang w:bidi="ar-JO"/>
        </w:rPr>
      </w:pPr>
      <w:r w:rsidRPr="00D1459D">
        <w:rPr>
          <w:rFonts w:ascii="Arabic Transparent" w:hAnsi="Arabic Transparent" w:cs="Arabic Transparent" w:hint="cs"/>
          <w:b/>
          <w:bCs/>
          <w:sz w:val="28"/>
          <w:szCs w:val="28"/>
          <w:rtl/>
          <w:lang w:bidi="ar-JO"/>
        </w:rPr>
        <w:t>الخاتمة والتوصيات</w:t>
      </w:r>
    </w:p>
    <w:p w14:paraId="7EDDD6BB" w14:textId="377AFF33" w:rsidR="00FE24A7" w:rsidRDefault="00D1459D" w:rsidP="00D1459D">
      <w:pPr>
        <w:spacing w:after="0" w:line="360" w:lineRule="auto"/>
        <w:ind w:firstLine="48"/>
        <w:jc w:val="both"/>
        <w:rPr>
          <w:rFonts w:ascii="Arabic Transparent" w:hAnsi="Arabic Transparent" w:cs="Arabic Transparent"/>
          <w:sz w:val="28"/>
          <w:szCs w:val="28"/>
          <w:rtl/>
          <w:lang w:bidi="ar-JO"/>
        </w:rPr>
      </w:pPr>
      <w:r w:rsidRPr="00D1459D">
        <w:rPr>
          <w:rFonts w:ascii="Arabic Transparent" w:hAnsi="Arabic Transparent" w:cs="Arabic Transparent" w:hint="cs"/>
          <w:b/>
          <w:bCs/>
          <w:sz w:val="28"/>
          <w:szCs w:val="28"/>
          <w:rtl/>
          <w:lang w:bidi="ar-JO"/>
        </w:rPr>
        <w:t>المصادر والمراجع</w:t>
      </w:r>
    </w:p>
    <w:p w14:paraId="545823DA" w14:textId="1E5D5DA2" w:rsidR="00F37C3F" w:rsidRDefault="00F37C3F" w:rsidP="00FE24A7">
      <w:pPr>
        <w:bidi w:val="0"/>
        <w:spacing w:after="0" w:line="240" w:lineRule="auto"/>
        <w:rPr>
          <w:rFonts w:ascii="Arabic Transparent" w:hAnsi="Arabic Transparent" w:cs="Arabic Transparent"/>
          <w:b/>
          <w:bCs/>
          <w:sz w:val="32"/>
          <w:szCs w:val="32"/>
          <w:rtl/>
          <w:lang w:bidi="ar-JO"/>
        </w:rPr>
      </w:pPr>
      <w:r>
        <w:rPr>
          <w:rFonts w:ascii="Arabic Transparent" w:hAnsi="Arabic Transparent" w:cs="Arabic Transparent"/>
          <w:b/>
          <w:bCs/>
          <w:sz w:val="32"/>
          <w:szCs w:val="32"/>
          <w:rtl/>
          <w:lang w:bidi="ar-JO"/>
        </w:rPr>
        <w:br w:type="page"/>
      </w:r>
    </w:p>
    <w:p w14:paraId="3332F91F" w14:textId="546441F4" w:rsidR="00051585" w:rsidRPr="00B529EB" w:rsidRDefault="00F37C3F" w:rsidP="00051585">
      <w:pPr>
        <w:spacing w:after="0" w:line="360" w:lineRule="auto"/>
        <w:jc w:val="center"/>
        <w:rPr>
          <w:rFonts w:ascii="Arabic Transparent" w:hAnsi="Arabic Transparent" w:cs="Arabic Transparent"/>
          <w:b/>
          <w:bCs/>
          <w:sz w:val="32"/>
          <w:szCs w:val="32"/>
          <w:rtl/>
          <w:lang w:bidi="ar-JO"/>
        </w:rPr>
      </w:pPr>
      <w:r>
        <w:rPr>
          <w:rFonts w:ascii="Arabic Transparent" w:hAnsi="Arabic Transparent" w:cs="Arabic Transparent" w:hint="cs"/>
          <w:b/>
          <w:bCs/>
          <w:sz w:val="32"/>
          <w:szCs w:val="32"/>
          <w:rtl/>
          <w:lang w:bidi="ar-JO"/>
        </w:rPr>
        <w:t>ا</w:t>
      </w:r>
      <w:r w:rsidR="00051585" w:rsidRPr="00B529EB">
        <w:rPr>
          <w:rFonts w:ascii="Arabic Transparent" w:hAnsi="Arabic Transparent" w:cs="Arabic Transparent" w:hint="cs"/>
          <w:b/>
          <w:bCs/>
          <w:sz w:val="32"/>
          <w:szCs w:val="32"/>
          <w:rtl/>
          <w:lang w:bidi="ar-JO"/>
        </w:rPr>
        <w:t xml:space="preserve">لفصل </w:t>
      </w:r>
      <w:r w:rsidR="005E5D7B" w:rsidRPr="00B529EB">
        <w:rPr>
          <w:rFonts w:ascii="Arabic Transparent" w:hAnsi="Arabic Transparent" w:cs="Arabic Transparent" w:hint="cs"/>
          <w:b/>
          <w:bCs/>
          <w:sz w:val="32"/>
          <w:szCs w:val="32"/>
          <w:rtl/>
          <w:lang w:bidi="ar-JO"/>
        </w:rPr>
        <w:t>الأول</w:t>
      </w:r>
      <w:r w:rsidR="00051585" w:rsidRPr="00B529EB">
        <w:rPr>
          <w:rFonts w:ascii="Arabic Transparent" w:hAnsi="Arabic Transparent" w:cs="Arabic Transparent" w:hint="cs"/>
          <w:b/>
          <w:bCs/>
          <w:sz w:val="32"/>
          <w:szCs w:val="32"/>
          <w:rtl/>
          <w:lang w:bidi="ar-JO"/>
        </w:rPr>
        <w:t>:</w:t>
      </w:r>
    </w:p>
    <w:p w14:paraId="458BF06E" w14:textId="376500D6" w:rsidR="00051585" w:rsidRPr="00B529EB" w:rsidRDefault="00286DA5" w:rsidP="00E86146">
      <w:pPr>
        <w:spacing w:after="0" w:line="360" w:lineRule="auto"/>
        <w:jc w:val="center"/>
        <w:rPr>
          <w:rFonts w:ascii="Arabic Transparent" w:hAnsi="Arabic Transparent" w:cs="Arabic Transparent"/>
          <w:b/>
          <w:bCs/>
          <w:sz w:val="32"/>
          <w:szCs w:val="32"/>
          <w:rtl/>
          <w:lang w:bidi="ar-JO"/>
        </w:rPr>
      </w:pPr>
      <w:r>
        <w:rPr>
          <w:rFonts w:ascii="Arabic Transparent" w:hAnsi="Arabic Transparent" w:cs="Arabic Transparent" w:hint="cs"/>
          <w:b/>
          <w:bCs/>
          <w:sz w:val="32"/>
          <w:szCs w:val="32"/>
          <w:rtl/>
          <w:lang w:bidi="ar-JO"/>
        </w:rPr>
        <w:t>التعريف بحقيقة المناط الخاص</w:t>
      </w:r>
    </w:p>
    <w:p w14:paraId="24938175" w14:textId="77777777" w:rsidR="00051585" w:rsidRPr="00B529EB" w:rsidRDefault="00051585" w:rsidP="00E86146">
      <w:pPr>
        <w:spacing w:after="0" w:line="360" w:lineRule="auto"/>
        <w:jc w:val="center"/>
        <w:rPr>
          <w:rFonts w:ascii="Arabic Transparent" w:hAnsi="Arabic Transparent" w:cs="Arabic Transparent"/>
          <w:b/>
          <w:bCs/>
          <w:sz w:val="32"/>
          <w:szCs w:val="32"/>
          <w:rtl/>
          <w:lang w:bidi="ar-JO"/>
        </w:rPr>
      </w:pPr>
      <w:r w:rsidRPr="00B529EB">
        <w:rPr>
          <w:rFonts w:ascii="Arabic Transparent" w:hAnsi="Arabic Transparent" w:cs="Arabic Transparent" w:hint="cs"/>
          <w:b/>
          <w:bCs/>
          <w:sz w:val="32"/>
          <w:szCs w:val="32"/>
          <w:rtl/>
          <w:lang w:bidi="ar-JO"/>
        </w:rPr>
        <w:t>المبحث الأول:</w:t>
      </w:r>
    </w:p>
    <w:p w14:paraId="49DA22A5" w14:textId="54EB7A13" w:rsidR="00051585" w:rsidRPr="00B529EB" w:rsidRDefault="00286DA5" w:rsidP="00E86146">
      <w:pPr>
        <w:spacing w:after="0" w:line="360" w:lineRule="auto"/>
        <w:jc w:val="center"/>
        <w:rPr>
          <w:rFonts w:ascii="Arabic Transparent" w:hAnsi="Arabic Transparent" w:cs="Arabic Transparent"/>
          <w:b/>
          <w:bCs/>
          <w:sz w:val="32"/>
          <w:szCs w:val="32"/>
          <w:rtl/>
          <w:lang w:bidi="ar-JO"/>
        </w:rPr>
      </w:pPr>
      <w:r>
        <w:rPr>
          <w:rFonts w:ascii="Arabic Transparent" w:hAnsi="Arabic Transparent" w:cs="Arabic Transparent" w:hint="cs"/>
          <w:b/>
          <w:bCs/>
          <w:sz w:val="32"/>
          <w:szCs w:val="32"/>
          <w:rtl/>
          <w:lang w:bidi="ar-JO"/>
        </w:rPr>
        <w:t>التعريف بتحقيق المناط الخاص باعتبار الإضافة واللقب</w:t>
      </w:r>
    </w:p>
    <w:p w14:paraId="506FF62C" w14:textId="7C2DDC3B" w:rsidR="00051585" w:rsidRPr="002C707F" w:rsidRDefault="00986930" w:rsidP="00E86146">
      <w:pPr>
        <w:spacing w:after="0" w:line="360" w:lineRule="auto"/>
        <w:jc w:val="both"/>
        <w:rPr>
          <w:rFonts w:ascii="Arabic Transparent" w:hAnsi="Arabic Transparent" w:cs="Arabic Transparent"/>
          <w:b/>
          <w:bCs/>
          <w:sz w:val="32"/>
          <w:szCs w:val="32"/>
          <w:rtl/>
          <w:lang w:bidi="ar-JO"/>
        </w:rPr>
      </w:pPr>
      <w:r w:rsidRPr="002C707F">
        <w:rPr>
          <w:rFonts w:ascii="Arabic Transparent" w:hAnsi="Arabic Transparent" w:cs="Arabic Transparent" w:hint="cs"/>
          <w:b/>
          <w:bCs/>
          <w:sz w:val="32"/>
          <w:szCs w:val="32"/>
          <w:rtl/>
          <w:lang w:bidi="ar-JO"/>
        </w:rPr>
        <w:t>المطلب الأول:</w:t>
      </w:r>
      <w:r w:rsidR="003E592D" w:rsidRPr="002C707F">
        <w:rPr>
          <w:rFonts w:ascii="Arabic Transparent" w:hAnsi="Arabic Transparent" w:cs="Arabic Transparent" w:hint="cs"/>
          <w:b/>
          <w:bCs/>
          <w:sz w:val="32"/>
          <w:szCs w:val="32"/>
          <w:rtl/>
          <w:lang w:bidi="ar-JO"/>
        </w:rPr>
        <w:t xml:space="preserve"> تعريف</w:t>
      </w:r>
      <w:r w:rsidRPr="002C707F">
        <w:rPr>
          <w:rFonts w:ascii="Arabic Transparent" w:hAnsi="Arabic Transparent" w:cs="Arabic Transparent" w:hint="cs"/>
          <w:b/>
          <w:bCs/>
          <w:sz w:val="32"/>
          <w:szCs w:val="32"/>
          <w:rtl/>
          <w:lang w:bidi="ar-JO"/>
        </w:rPr>
        <w:t xml:space="preserve"> </w:t>
      </w:r>
      <w:r w:rsidR="007D4067" w:rsidRPr="002C707F">
        <w:rPr>
          <w:rFonts w:ascii="Arabic Transparent" w:hAnsi="Arabic Transparent" w:cs="Arabic Transparent" w:hint="cs"/>
          <w:b/>
          <w:bCs/>
          <w:sz w:val="32"/>
          <w:szCs w:val="32"/>
          <w:rtl/>
          <w:lang w:bidi="ar-JO"/>
        </w:rPr>
        <w:t xml:space="preserve">تحقيق المناط الخاص باعتبار الإضافة </w:t>
      </w:r>
    </w:p>
    <w:p w14:paraId="45DC53CB" w14:textId="5118D1D7" w:rsidR="00B87AAA" w:rsidRPr="00286DA5" w:rsidRDefault="00B87AAA" w:rsidP="00B87AAA">
      <w:pPr>
        <w:spacing w:after="0" w:line="360" w:lineRule="auto"/>
        <w:jc w:val="both"/>
        <w:rPr>
          <w:rFonts w:ascii="Arabic Transparent" w:hAnsi="Arabic Transparent" w:cs="Arabic Transparent"/>
          <w:b/>
          <w:bCs/>
          <w:sz w:val="28"/>
          <w:szCs w:val="28"/>
          <w:rtl/>
          <w:lang w:bidi="ar-JO"/>
        </w:rPr>
      </w:pPr>
      <w:r w:rsidRPr="00286DA5">
        <w:rPr>
          <w:rFonts w:ascii="Arabic Transparent" w:hAnsi="Arabic Transparent" w:cs="Arabic Transparent" w:hint="cs"/>
          <w:b/>
          <w:bCs/>
          <w:sz w:val="28"/>
          <w:szCs w:val="28"/>
          <w:rtl/>
          <w:lang w:bidi="ar-JO"/>
        </w:rPr>
        <w:t>الفرع ال</w:t>
      </w:r>
      <w:r w:rsidR="00286DA5" w:rsidRPr="00286DA5">
        <w:rPr>
          <w:rFonts w:ascii="Arabic Transparent" w:hAnsi="Arabic Transparent" w:cs="Arabic Transparent" w:hint="cs"/>
          <w:b/>
          <w:bCs/>
          <w:sz w:val="28"/>
          <w:szCs w:val="28"/>
          <w:rtl/>
          <w:lang w:bidi="ar-JO"/>
        </w:rPr>
        <w:t>أول</w:t>
      </w:r>
      <w:r w:rsidRPr="00286DA5">
        <w:rPr>
          <w:rFonts w:ascii="Arabic Transparent" w:hAnsi="Arabic Transparent" w:cs="Arabic Transparent" w:hint="cs"/>
          <w:b/>
          <w:bCs/>
          <w:sz w:val="28"/>
          <w:szCs w:val="28"/>
          <w:rtl/>
          <w:lang w:bidi="ar-JO"/>
        </w:rPr>
        <w:t>: تعريف التحقيق لغةً واصطلاحاً</w:t>
      </w:r>
    </w:p>
    <w:p w14:paraId="57757F58" w14:textId="77777777" w:rsidR="00FB645B" w:rsidRDefault="00B87AAA" w:rsidP="00141EF6">
      <w:pPr>
        <w:spacing w:after="0" w:line="360" w:lineRule="auto"/>
        <w:jc w:val="both"/>
        <w:rPr>
          <w:rFonts w:ascii="Arabic Transparent" w:hAnsi="Arabic Transparent" w:cs="Arabic Transparent"/>
          <w:sz w:val="28"/>
          <w:szCs w:val="28"/>
          <w:rtl/>
          <w:lang w:bidi="ar-JO"/>
        </w:rPr>
      </w:pPr>
      <w:r w:rsidRPr="0065659F">
        <w:rPr>
          <w:rFonts w:ascii="Arabic Transparent" w:hAnsi="Arabic Transparent" w:cs="Arabic Transparent" w:hint="cs"/>
          <w:b/>
          <w:bCs/>
          <w:sz w:val="28"/>
          <w:szCs w:val="28"/>
          <w:rtl/>
          <w:lang w:bidi="ar-JO"/>
        </w:rPr>
        <w:t>أولاً: التحقيق لغة ً</w:t>
      </w:r>
      <w:r w:rsidR="00FC1A30" w:rsidRPr="0065659F">
        <w:rPr>
          <w:rFonts w:ascii="Arabic Transparent" w:hAnsi="Arabic Transparent" w:cs="Arabic Transparent" w:hint="cs"/>
          <w:b/>
          <w:bCs/>
          <w:sz w:val="28"/>
          <w:szCs w:val="28"/>
          <w:rtl/>
          <w:lang w:bidi="ar-JO"/>
        </w:rPr>
        <w:t>:</w:t>
      </w:r>
      <w:r w:rsidR="00FC1A30" w:rsidRPr="00B529EB">
        <w:rPr>
          <w:rFonts w:ascii="Arabic Transparent" w:hAnsi="Arabic Transparent" w:cs="Arabic Transparent" w:hint="cs"/>
          <w:sz w:val="28"/>
          <w:szCs w:val="28"/>
          <w:rtl/>
          <w:lang w:bidi="ar-JO"/>
        </w:rPr>
        <w:t xml:space="preserve"> </w:t>
      </w:r>
    </w:p>
    <w:p w14:paraId="3FF731BE" w14:textId="6D259FEF" w:rsidR="0065659F" w:rsidRDefault="00FC1A30" w:rsidP="00FB645B">
      <w:pPr>
        <w:spacing w:after="0" w:line="360" w:lineRule="auto"/>
        <w:ind w:firstLine="615"/>
        <w:jc w:val="both"/>
        <w:rPr>
          <w:rFonts w:ascii="Arabic Transparent" w:hAnsi="Arabic Transparent" w:cs="Arabic Transparent"/>
          <w:sz w:val="28"/>
          <w:szCs w:val="28"/>
          <w:rtl/>
          <w:lang w:bidi="ar-JO"/>
        </w:rPr>
      </w:pPr>
      <w:r w:rsidRPr="00B529EB">
        <w:rPr>
          <w:rFonts w:ascii="Arabic Transparent" w:hAnsi="Arabic Transparent" w:cs="Arabic Transparent" w:hint="cs"/>
          <w:sz w:val="28"/>
          <w:szCs w:val="28"/>
          <w:rtl/>
          <w:lang w:bidi="ar-JO"/>
        </w:rPr>
        <w:t>هي مصدر</w:t>
      </w:r>
      <w:r w:rsidR="00FD1CD0" w:rsidRPr="00B529EB">
        <w:rPr>
          <w:rFonts w:ascii="Arabic Transparent" w:hAnsi="Arabic Transparent" w:cs="Arabic Transparent" w:hint="cs"/>
          <w:sz w:val="28"/>
          <w:szCs w:val="28"/>
          <w:rtl/>
          <w:lang w:bidi="ar-JO"/>
        </w:rPr>
        <w:t xml:space="preserve"> الفعل حقَّق، </w:t>
      </w:r>
      <w:r w:rsidR="0065659F">
        <w:rPr>
          <w:rFonts w:ascii="Arabic Transparent" w:hAnsi="Arabic Transparent" w:cs="Arabic Transparent" w:hint="cs"/>
          <w:sz w:val="28"/>
          <w:szCs w:val="28"/>
          <w:rtl/>
          <w:lang w:bidi="ar-JO"/>
        </w:rPr>
        <w:t xml:space="preserve">ولها استعمالات </w:t>
      </w:r>
      <w:r w:rsidR="00930205">
        <w:rPr>
          <w:rFonts w:ascii="Arabic Transparent" w:hAnsi="Arabic Transparent" w:cs="Arabic Transparent" w:hint="cs"/>
          <w:sz w:val="28"/>
          <w:szCs w:val="28"/>
          <w:rtl/>
          <w:lang w:bidi="ar-JO"/>
        </w:rPr>
        <w:t xml:space="preserve">عدة </w:t>
      </w:r>
      <w:r w:rsidR="0065659F">
        <w:rPr>
          <w:rFonts w:ascii="Arabic Transparent" w:hAnsi="Arabic Transparent" w:cs="Arabic Transparent" w:hint="cs"/>
          <w:sz w:val="28"/>
          <w:szCs w:val="28"/>
          <w:rtl/>
          <w:lang w:bidi="ar-JO"/>
        </w:rPr>
        <w:t xml:space="preserve">عند علماء اللغة منها: </w:t>
      </w:r>
    </w:p>
    <w:p w14:paraId="46929738" w14:textId="7F52B5D5" w:rsidR="0065659F" w:rsidRDefault="0065659F" w:rsidP="0017181B">
      <w:pPr>
        <w:spacing w:after="0"/>
        <w:jc w:val="both"/>
        <w:rPr>
          <w:rFonts w:ascii="Arabic Transparent" w:hAnsi="Arabic Transparent" w:cs="Arabic Transparent"/>
          <w:sz w:val="28"/>
          <w:szCs w:val="28"/>
          <w:rtl/>
          <w:lang w:bidi="ar-JO"/>
        </w:rPr>
      </w:pPr>
      <w:r>
        <w:rPr>
          <w:rFonts w:ascii="Arabic Transparent" w:hAnsi="Arabic Transparent" w:cs="Arabic Transparent" w:hint="cs"/>
          <w:sz w:val="28"/>
          <w:szCs w:val="28"/>
          <w:rtl/>
          <w:lang w:bidi="ar-JO"/>
        </w:rPr>
        <w:t>1.الإثبات</w:t>
      </w:r>
      <w:r w:rsidR="00930205">
        <w:rPr>
          <w:rFonts w:ascii="Arabic Transparent" w:hAnsi="Arabic Transparent" w:cs="Arabic Transparent" w:hint="cs"/>
          <w:sz w:val="28"/>
          <w:szCs w:val="28"/>
          <w:rtl/>
          <w:lang w:bidi="ar-JO"/>
        </w:rPr>
        <w:t xml:space="preserve">: </w:t>
      </w:r>
      <w:r w:rsidR="00930205" w:rsidRPr="00930205">
        <w:rPr>
          <w:rFonts w:ascii="Arabic Transparent" w:hAnsi="Arabic Transparent" w:cs="Arabic Transparent"/>
          <w:sz w:val="28"/>
          <w:szCs w:val="28"/>
          <w:rtl/>
          <w:lang w:bidi="ar-JO"/>
        </w:rPr>
        <w:t xml:space="preserve">وهو </w:t>
      </w:r>
      <w:r w:rsidR="00241EA2">
        <w:rPr>
          <w:rFonts w:ascii="Arabic Transparent" w:hAnsi="Arabic Transparent" w:cs="Arabic Transparent" w:hint="cs"/>
          <w:sz w:val="28"/>
          <w:szCs w:val="28"/>
          <w:rtl/>
          <w:lang w:bidi="ar-JO"/>
        </w:rPr>
        <w:t>"</w:t>
      </w:r>
      <w:r w:rsidR="00930205">
        <w:rPr>
          <w:rFonts w:ascii="Arabic Transparent" w:hAnsi="Arabic Transparent" w:cs="Arabic Transparent" w:hint="cs"/>
          <w:sz w:val="28"/>
          <w:szCs w:val="28"/>
          <w:rtl/>
          <w:lang w:bidi="ar-JO"/>
        </w:rPr>
        <w:t xml:space="preserve">ما كان ثابتاً </w:t>
      </w:r>
      <w:r w:rsidR="002A283D">
        <w:rPr>
          <w:rFonts w:ascii="Arabic Transparent" w:hAnsi="Arabic Transparent" w:cs="Arabic Transparent" w:hint="cs"/>
          <w:sz w:val="28"/>
          <w:szCs w:val="28"/>
          <w:rtl/>
          <w:lang w:bidi="ar-JO"/>
        </w:rPr>
        <w:t xml:space="preserve">ومقرراً، </w:t>
      </w:r>
      <w:r w:rsidR="00930205" w:rsidRPr="00930205">
        <w:rPr>
          <w:rFonts w:ascii="Arabic Transparent" w:hAnsi="Arabic Transparent" w:cs="Arabic Transparent"/>
          <w:sz w:val="28"/>
          <w:szCs w:val="28"/>
          <w:rtl/>
          <w:lang w:bidi="ar-JO"/>
        </w:rPr>
        <w:t xml:space="preserve">كما في قوله تعالى: </w:t>
      </w:r>
      <w:r w:rsidR="0017181B" w:rsidRPr="0017181B">
        <w:rPr>
          <w:rFonts w:ascii="KFGQPC HAFS Uthmanic Script" w:hAnsi="Times New Roman" w:cs="KFGQPC HAFS Uthmanic Script" w:hint="cs"/>
          <w:color w:val="000000"/>
          <w:sz w:val="28"/>
          <w:szCs w:val="28"/>
          <w:rtl/>
        </w:rPr>
        <w:t>ﵟ لِيُحِقَّ ٱلۡحَقَّ وَيُبۡطِلَ ٱلۡبَٰطِلَ وَلَوۡ كَرِهَ ٱلۡمُجۡرِمُونَ ٨ﵞ</w:t>
      </w:r>
      <w:r w:rsidR="0017181B" w:rsidRPr="0017181B">
        <w:rPr>
          <w:rFonts w:ascii="KFGQPC HAFS Uthmanic Script" w:hAnsi="Times New Roman" w:cs="KFGQPC HAFS Uthmanic Script"/>
          <w:color w:val="000000"/>
          <w:sz w:val="28"/>
          <w:szCs w:val="28"/>
          <w:rtl/>
        </w:rPr>
        <w:t xml:space="preserve"> </w:t>
      </w:r>
      <w:r w:rsidR="0017181B" w:rsidRPr="0017181B">
        <w:rPr>
          <w:rFonts w:ascii="KFGQPC HAFS Uthmanic Script" w:hAnsi="Times New Roman" w:cs="KFGQPC HAFS Uthmanic Script" w:hint="cs"/>
          <w:color w:val="000000"/>
          <w:sz w:val="28"/>
          <w:szCs w:val="28"/>
          <w:rtl/>
        </w:rPr>
        <w:t>ﵝالأَنفَال</w:t>
      </w:r>
      <w:r w:rsidR="005D7B91">
        <w:rPr>
          <w:rFonts w:ascii="KFGQPC HAFS Uthmanic Script" w:hAnsi="Times New Roman" w:cs="KFGQPC HAFS Uthmanic Script"/>
          <w:color w:val="000000"/>
          <w:sz w:val="28"/>
          <w:szCs w:val="28"/>
          <w:rtl/>
        </w:rPr>
        <w:t xml:space="preserve">: </w:t>
      </w:r>
      <w:r w:rsidR="0017181B" w:rsidRPr="0017181B">
        <w:rPr>
          <w:rFonts w:ascii="KFGQPC HAFS Uthmanic Script" w:hAnsi="Times New Roman" w:cs="KFGQPC HAFS Uthmanic Script" w:hint="cs"/>
          <w:color w:val="000000"/>
          <w:sz w:val="28"/>
          <w:szCs w:val="28"/>
          <w:rtl/>
        </w:rPr>
        <w:t>ﵘﵜ</w:t>
      </w:r>
      <w:r w:rsidR="00241EA2">
        <w:rPr>
          <w:rFonts w:ascii="KFGQPC HAFS Uthmanic Script" w:hAnsi="Times New Roman" w:cs="Cambria" w:hint="cs"/>
          <w:color w:val="000000"/>
          <w:sz w:val="28"/>
          <w:szCs w:val="28"/>
          <w:rtl/>
        </w:rPr>
        <w:t>.</w:t>
      </w:r>
      <w:r w:rsidR="000F026C">
        <w:rPr>
          <w:rFonts w:ascii="KFGQPC HAFS Uthmanic Script" w:hAnsi="Times New Roman" w:cs="KFGQPC HAFS Uthmanic Script"/>
          <w:color w:val="000000"/>
          <w:sz w:val="28"/>
          <w:szCs w:val="28"/>
          <w:rtl/>
        </w:rPr>
        <w:t xml:space="preserve"> </w:t>
      </w:r>
      <w:r w:rsidR="00930205">
        <w:rPr>
          <w:rFonts w:ascii="Arabic Transparent" w:hAnsi="Arabic Transparent" w:cs="Arabic Transparent" w:hint="cs"/>
          <w:sz w:val="28"/>
          <w:szCs w:val="28"/>
          <w:rtl/>
          <w:lang w:bidi="ar-JO"/>
        </w:rPr>
        <w:t>بمعنى يثبت الحق</w:t>
      </w:r>
      <w:r w:rsidR="00241EA2">
        <w:rPr>
          <w:rFonts w:ascii="Arabic Transparent" w:hAnsi="Arabic Transparent" w:cs="Arabic Transparent" w:hint="cs"/>
          <w:sz w:val="28"/>
          <w:szCs w:val="28"/>
          <w:rtl/>
          <w:lang w:bidi="ar-JO"/>
        </w:rPr>
        <w:t>"</w:t>
      </w:r>
      <w:r w:rsidR="002A283D" w:rsidRPr="002A283D">
        <w:rPr>
          <w:rFonts w:ascii="Arabic Transparent" w:hAnsi="Arabic Transparent" w:cs="Simplified Arabic" w:hint="cs"/>
          <w:sz w:val="28"/>
          <w:szCs w:val="28"/>
          <w:vertAlign w:val="superscript"/>
          <w:rtl/>
          <w:lang w:bidi="ar-JO"/>
        </w:rPr>
        <w:t>(</w:t>
      </w:r>
      <w:r w:rsidR="002A283D" w:rsidRPr="002A283D">
        <w:rPr>
          <w:rStyle w:val="FootnoteReference"/>
          <w:rFonts w:ascii="Arabic Transparent" w:hAnsi="Arabic Transparent" w:cs="Simplified Arabic"/>
          <w:sz w:val="28"/>
          <w:szCs w:val="28"/>
          <w:rtl/>
          <w:lang w:bidi="ar-JO"/>
        </w:rPr>
        <w:footnoteReference w:id="1"/>
      </w:r>
      <w:r w:rsidR="002A283D" w:rsidRPr="002A283D">
        <w:rPr>
          <w:rFonts w:ascii="Arabic Transparent" w:hAnsi="Arabic Transparent" w:cs="Simplified Arabic" w:hint="cs"/>
          <w:sz w:val="28"/>
          <w:szCs w:val="28"/>
          <w:vertAlign w:val="superscript"/>
          <w:rtl/>
          <w:lang w:bidi="ar-JO"/>
        </w:rPr>
        <w:t>)</w:t>
      </w:r>
      <w:r w:rsidR="00930205">
        <w:rPr>
          <w:rFonts w:ascii="Arabic Transparent" w:hAnsi="Arabic Transparent" w:cs="Arabic Transparent" w:hint="cs"/>
          <w:sz w:val="28"/>
          <w:szCs w:val="28"/>
          <w:rtl/>
          <w:lang w:bidi="ar-JO"/>
        </w:rPr>
        <w:t>.</w:t>
      </w:r>
    </w:p>
    <w:p w14:paraId="2637153F" w14:textId="77777777" w:rsidR="009F1455" w:rsidRDefault="0017181B" w:rsidP="009F1455">
      <w:pPr>
        <w:spacing w:after="0"/>
        <w:jc w:val="both"/>
        <w:rPr>
          <w:rFonts w:ascii="Arabic Transparent" w:hAnsi="Arabic Transparent" w:cs="Arabic Transparent"/>
          <w:sz w:val="28"/>
          <w:szCs w:val="28"/>
          <w:rtl/>
          <w:lang w:bidi="ar-JO"/>
        </w:rPr>
      </w:pPr>
      <w:r>
        <w:rPr>
          <w:rFonts w:ascii="Arabic Transparent" w:hAnsi="Arabic Transparent" w:cs="Arabic Transparent" w:hint="cs"/>
          <w:sz w:val="28"/>
          <w:szCs w:val="28"/>
          <w:rtl/>
          <w:lang w:bidi="ar-JO"/>
        </w:rPr>
        <w:t xml:space="preserve">2. </w:t>
      </w:r>
      <w:r w:rsidR="002A283D">
        <w:rPr>
          <w:rFonts w:ascii="Arabic Transparent" w:hAnsi="Arabic Transparent" w:cs="Arabic Transparent" w:hint="cs"/>
          <w:sz w:val="28"/>
          <w:szCs w:val="28"/>
          <w:rtl/>
          <w:lang w:bidi="ar-JO"/>
        </w:rPr>
        <w:t>الوجوب</w:t>
      </w:r>
      <w:r>
        <w:rPr>
          <w:rFonts w:ascii="Arabic Transparent" w:hAnsi="Arabic Transparent" w:cs="Arabic Transparent" w:hint="cs"/>
          <w:sz w:val="28"/>
          <w:szCs w:val="28"/>
          <w:rtl/>
          <w:lang w:bidi="ar-JO"/>
        </w:rPr>
        <w:t xml:space="preserve">: </w:t>
      </w:r>
      <w:r w:rsidR="007C21DD">
        <w:rPr>
          <w:rFonts w:ascii="Arabic Transparent" w:hAnsi="Arabic Transparent" w:cs="Arabic Transparent" w:hint="cs"/>
          <w:sz w:val="28"/>
          <w:szCs w:val="28"/>
          <w:rtl/>
          <w:lang w:bidi="ar-JO"/>
        </w:rPr>
        <w:t>"</w:t>
      </w:r>
      <w:r w:rsidRPr="00B529EB">
        <w:rPr>
          <w:rFonts w:ascii="Arabic Transparent" w:hAnsi="Arabic Transparent" w:cs="Arabic Transparent" w:hint="cs"/>
          <w:sz w:val="28"/>
          <w:szCs w:val="28"/>
          <w:rtl/>
          <w:lang w:bidi="ar-JO"/>
        </w:rPr>
        <w:t>أحققت الشيء، أي</w:t>
      </w:r>
      <w:r w:rsidR="00F37C3F">
        <w:rPr>
          <w:rFonts w:ascii="Arabic Transparent" w:hAnsi="Arabic Transparent" w:cs="Arabic Transparent" w:hint="cs"/>
          <w:sz w:val="28"/>
          <w:szCs w:val="28"/>
          <w:rtl/>
          <w:lang w:bidi="ar-JO"/>
        </w:rPr>
        <w:t>:</w:t>
      </w:r>
      <w:r w:rsidRPr="00B529EB">
        <w:rPr>
          <w:rFonts w:ascii="Arabic Transparent" w:hAnsi="Arabic Transparent" w:cs="Arabic Transparent" w:hint="cs"/>
          <w:sz w:val="28"/>
          <w:szCs w:val="28"/>
          <w:rtl/>
          <w:lang w:bidi="ar-JO"/>
        </w:rPr>
        <w:t xml:space="preserve"> أوجبته</w:t>
      </w:r>
      <w:r w:rsidR="002A283D">
        <w:rPr>
          <w:rFonts w:ascii="Arabic Transparent" w:hAnsi="Arabic Transparent" w:cs="Arabic Transparent" w:hint="cs"/>
          <w:sz w:val="28"/>
          <w:szCs w:val="28"/>
          <w:rtl/>
          <w:lang w:bidi="ar-JO"/>
        </w:rPr>
        <w:t xml:space="preserve">، </w:t>
      </w:r>
      <w:r w:rsidRPr="00B529EB">
        <w:rPr>
          <w:rFonts w:ascii="Arabic Transparent" w:hAnsi="Arabic Transparent" w:cs="Arabic Transparent" w:hint="cs"/>
          <w:sz w:val="28"/>
          <w:szCs w:val="28"/>
          <w:rtl/>
          <w:lang w:bidi="ar-JO"/>
        </w:rPr>
        <w:t>واستَحقَقته، أي</w:t>
      </w:r>
      <w:r w:rsidR="00F37C3F">
        <w:rPr>
          <w:rFonts w:ascii="Arabic Transparent" w:hAnsi="Arabic Transparent" w:cs="Arabic Transparent" w:hint="cs"/>
          <w:sz w:val="28"/>
          <w:szCs w:val="28"/>
          <w:rtl/>
          <w:lang w:bidi="ar-JO"/>
        </w:rPr>
        <w:t>:</w:t>
      </w:r>
      <w:r w:rsidRPr="00B529EB">
        <w:rPr>
          <w:rFonts w:ascii="Arabic Transparent" w:hAnsi="Arabic Transparent" w:cs="Arabic Transparent" w:hint="cs"/>
          <w:sz w:val="28"/>
          <w:szCs w:val="28"/>
          <w:rtl/>
          <w:lang w:bidi="ar-JO"/>
        </w:rPr>
        <w:t xml:space="preserve"> </w:t>
      </w:r>
      <w:r w:rsidR="00B154EE">
        <w:rPr>
          <w:rFonts w:ascii="Arabic Transparent" w:hAnsi="Arabic Transparent" w:cs="Arabic Transparent" w:hint="cs"/>
          <w:sz w:val="28"/>
          <w:szCs w:val="28"/>
          <w:rtl/>
          <w:lang w:bidi="ar-JO"/>
        </w:rPr>
        <w:t>"</w:t>
      </w:r>
      <w:r w:rsidRPr="00B529EB">
        <w:rPr>
          <w:rFonts w:ascii="Arabic Transparent" w:hAnsi="Arabic Transparent" w:cs="Arabic Transparent" w:hint="cs"/>
          <w:sz w:val="28"/>
          <w:szCs w:val="28"/>
          <w:rtl/>
          <w:lang w:bidi="ar-JO"/>
        </w:rPr>
        <w:t>استوجبته</w:t>
      </w:r>
      <w:r w:rsidR="002A283D">
        <w:rPr>
          <w:rFonts w:ascii="Arabic Transparent" w:hAnsi="Arabic Transparent" w:cs="Arabic Transparent" w:hint="cs"/>
          <w:sz w:val="28"/>
          <w:szCs w:val="28"/>
          <w:rtl/>
          <w:lang w:bidi="ar-JO"/>
        </w:rPr>
        <w:t>،</w:t>
      </w:r>
      <w:r w:rsidR="002A283D">
        <w:rPr>
          <w:rFonts w:ascii="Arabic Transparent" w:hAnsi="Arabic Transparent" w:cs="Arabic Transparent" w:hint="cs"/>
          <w:sz w:val="28"/>
          <w:szCs w:val="28"/>
          <w:vertAlign w:val="superscript"/>
          <w:rtl/>
          <w:lang w:bidi="ar-JO"/>
        </w:rPr>
        <w:t xml:space="preserve"> </w:t>
      </w:r>
      <w:r w:rsidR="002A283D">
        <w:rPr>
          <w:rFonts w:ascii="Arabic Transparent" w:hAnsi="Arabic Transparent" w:cs="Arabic Transparent" w:hint="cs"/>
          <w:sz w:val="28"/>
          <w:szCs w:val="28"/>
          <w:rtl/>
          <w:lang w:bidi="ar-JO"/>
        </w:rPr>
        <w:t>ولزمته</w:t>
      </w:r>
      <w:r w:rsidR="00B154EE" w:rsidRPr="00B154EE">
        <w:rPr>
          <w:rFonts w:ascii="Arabic Transparent" w:hAnsi="Arabic Transparent" w:cs="Arabic Transparent" w:hint="cs"/>
          <w:sz w:val="28"/>
          <w:szCs w:val="28"/>
          <w:rtl/>
          <w:lang w:bidi="ar-JO"/>
        </w:rPr>
        <w:t>"</w:t>
      </w:r>
      <w:r w:rsidR="002A283D" w:rsidRPr="00B529EB">
        <w:rPr>
          <w:rFonts w:ascii="Arabic Transparent" w:hAnsi="Arabic Transparent" w:cs="Arabic Transparent" w:hint="cs"/>
          <w:sz w:val="28"/>
          <w:szCs w:val="28"/>
          <w:vertAlign w:val="superscript"/>
          <w:rtl/>
          <w:lang w:bidi="ar-JO"/>
        </w:rPr>
        <w:t>(</w:t>
      </w:r>
      <w:r w:rsidR="002A283D" w:rsidRPr="00B529EB">
        <w:rPr>
          <w:rStyle w:val="FootnoteReference"/>
          <w:rFonts w:ascii="Arabic Transparent" w:hAnsi="Arabic Transparent" w:cs="Arabic Transparent" w:hint="cs"/>
          <w:sz w:val="28"/>
          <w:szCs w:val="28"/>
          <w:rtl/>
          <w:lang w:bidi="ar-JO"/>
        </w:rPr>
        <w:footnoteReference w:id="2"/>
      </w:r>
      <w:r w:rsidR="002A283D" w:rsidRPr="00B529EB">
        <w:rPr>
          <w:rFonts w:ascii="Arabic Transparent" w:hAnsi="Arabic Transparent" w:cs="Arabic Transparent" w:hint="cs"/>
          <w:sz w:val="28"/>
          <w:szCs w:val="28"/>
          <w:vertAlign w:val="superscript"/>
          <w:rtl/>
          <w:lang w:bidi="ar-JO"/>
        </w:rPr>
        <w:t>)</w:t>
      </w:r>
      <w:r w:rsidR="0075222B">
        <w:rPr>
          <w:rFonts w:ascii="Arabic Transparent" w:hAnsi="Arabic Transparent" w:cs="Arabic Transparent" w:hint="cs"/>
          <w:sz w:val="28"/>
          <w:szCs w:val="28"/>
          <w:rtl/>
          <w:lang w:bidi="ar-JO"/>
        </w:rPr>
        <w:t xml:space="preserve">، قال تعالى: </w:t>
      </w:r>
      <w:r w:rsidR="0075222B" w:rsidRPr="0075222B">
        <w:rPr>
          <w:rFonts w:ascii="KFGQPC HAFS Uthmanic Script" w:hAnsi="Times New Roman" w:cs="KFGQPC HAFS Uthmanic Script" w:hint="cs"/>
          <w:color w:val="000000"/>
          <w:sz w:val="28"/>
          <w:szCs w:val="28"/>
          <w:rtl/>
        </w:rPr>
        <w:t>ﵟكَذَٰلِكَ حَقَّتۡ كَلِمَتُ رَبِّكَ عَلَى ٱلَّذِينَ فَسَقُوٓاْ أَنَّهُمۡ لَا يُؤۡمِنُونَ ٣٣ﵞ</w:t>
      </w:r>
      <w:r w:rsidR="0075222B" w:rsidRPr="0075222B">
        <w:rPr>
          <w:rFonts w:ascii="KFGQPC HAFS Uthmanic Script" w:hAnsi="Times New Roman" w:cs="KFGQPC HAFS Uthmanic Script"/>
          <w:color w:val="000000"/>
          <w:sz w:val="28"/>
          <w:szCs w:val="28"/>
          <w:rtl/>
        </w:rPr>
        <w:t xml:space="preserve"> </w:t>
      </w:r>
      <w:r w:rsidR="0075222B" w:rsidRPr="0075222B">
        <w:rPr>
          <w:rFonts w:ascii="KFGQPC HAFS Uthmanic Script" w:hAnsi="Times New Roman" w:cs="KFGQPC HAFS Uthmanic Script" w:hint="cs"/>
          <w:color w:val="000000"/>
          <w:sz w:val="28"/>
          <w:szCs w:val="28"/>
          <w:rtl/>
        </w:rPr>
        <w:t>ﵝيُونُس</w:t>
      </w:r>
      <w:r w:rsidR="005D7B91">
        <w:rPr>
          <w:rFonts w:ascii="KFGQPC HAFS Uthmanic Script" w:hAnsi="Times New Roman" w:cs="KFGQPC HAFS Uthmanic Script"/>
          <w:color w:val="000000"/>
          <w:sz w:val="28"/>
          <w:szCs w:val="28"/>
          <w:rtl/>
        </w:rPr>
        <w:t xml:space="preserve">: </w:t>
      </w:r>
      <w:r w:rsidR="0075222B" w:rsidRPr="0075222B">
        <w:rPr>
          <w:rFonts w:ascii="KFGQPC HAFS Uthmanic Script" w:hAnsi="Times New Roman" w:cs="KFGQPC HAFS Uthmanic Script" w:hint="cs"/>
          <w:color w:val="000000"/>
          <w:sz w:val="28"/>
          <w:szCs w:val="28"/>
          <w:rtl/>
        </w:rPr>
        <w:t>ﵓﵓﵜ</w:t>
      </w:r>
      <w:r w:rsidR="0075222B">
        <w:rPr>
          <w:rFonts w:ascii="Arabic Transparent" w:hAnsi="Arabic Transparent" w:cs="Arabic Transparent" w:hint="cs"/>
          <w:sz w:val="28"/>
          <w:szCs w:val="28"/>
          <w:rtl/>
          <w:lang w:bidi="ar-JO"/>
        </w:rPr>
        <w:t xml:space="preserve">، بمعنى </w:t>
      </w:r>
      <w:r w:rsidR="007C21DD">
        <w:rPr>
          <w:rFonts w:ascii="Arabic Transparent" w:hAnsi="Arabic Transparent" w:cs="Arabic Transparent" w:hint="cs"/>
          <w:sz w:val="28"/>
          <w:szCs w:val="28"/>
          <w:rtl/>
          <w:lang w:bidi="ar-JO"/>
        </w:rPr>
        <w:t>"</w:t>
      </w:r>
      <w:r w:rsidR="0075222B">
        <w:rPr>
          <w:rFonts w:ascii="Arabic Transparent" w:hAnsi="Arabic Transparent" w:cs="Arabic Transparent" w:hint="cs"/>
          <w:sz w:val="28"/>
          <w:szCs w:val="28"/>
          <w:rtl/>
          <w:lang w:bidi="ar-JO"/>
        </w:rPr>
        <w:t>وجبت ولزمت</w:t>
      </w:r>
      <w:r w:rsidR="007C21DD">
        <w:rPr>
          <w:rFonts w:ascii="Arabic Transparent" w:hAnsi="Arabic Transparent" w:cs="Arabic Transparent" w:hint="cs"/>
          <w:sz w:val="28"/>
          <w:szCs w:val="28"/>
          <w:rtl/>
          <w:lang w:bidi="ar-JO"/>
        </w:rPr>
        <w:t>"</w:t>
      </w:r>
      <w:r w:rsidR="0075222B" w:rsidRPr="0075222B">
        <w:rPr>
          <w:rFonts w:ascii="Arabic Transparent" w:hAnsi="Arabic Transparent" w:cs="Simplified Arabic" w:hint="cs"/>
          <w:sz w:val="28"/>
          <w:szCs w:val="28"/>
          <w:vertAlign w:val="superscript"/>
          <w:rtl/>
          <w:lang w:bidi="ar-JO"/>
        </w:rPr>
        <w:t>(</w:t>
      </w:r>
      <w:r w:rsidR="0075222B" w:rsidRPr="0075222B">
        <w:rPr>
          <w:rStyle w:val="FootnoteReference"/>
          <w:rFonts w:ascii="Arabic Transparent" w:hAnsi="Arabic Transparent" w:cs="Simplified Arabic"/>
          <w:sz w:val="28"/>
          <w:szCs w:val="28"/>
          <w:rtl/>
          <w:lang w:bidi="ar-JO"/>
        </w:rPr>
        <w:footnoteReference w:id="3"/>
      </w:r>
      <w:r w:rsidR="0075222B" w:rsidRPr="0075222B">
        <w:rPr>
          <w:rFonts w:ascii="Arabic Transparent" w:hAnsi="Arabic Transparent" w:cs="Simplified Arabic" w:hint="cs"/>
          <w:sz w:val="28"/>
          <w:szCs w:val="28"/>
          <w:vertAlign w:val="superscript"/>
          <w:rtl/>
          <w:lang w:bidi="ar-JO"/>
        </w:rPr>
        <w:t>)</w:t>
      </w:r>
      <w:r w:rsidR="006A788D">
        <w:rPr>
          <w:rFonts w:ascii="Arabic Transparent" w:hAnsi="Arabic Transparent" w:cs="Arabic Transparent" w:hint="cs"/>
          <w:sz w:val="28"/>
          <w:szCs w:val="28"/>
          <w:rtl/>
          <w:lang w:bidi="ar-JO"/>
        </w:rPr>
        <w:t>.</w:t>
      </w:r>
    </w:p>
    <w:p w14:paraId="66306D3F" w14:textId="16035CA3" w:rsidR="00E05FC4" w:rsidRDefault="002A283D" w:rsidP="009F1455">
      <w:pPr>
        <w:spacing w:after="0"/>
        <w:jc w:val="both"/>
        <w:rPr>
          <w:rFonts w:ascii="Arabic Transparent" w:hAnsi="Arabic Transparent" w:cs="Arabic Transparent"/>
          <w:sz w:val="28"/>
          <w:szCs w:val="28"/>
          <w:rtl/>
          <w:lang w:bidi="ar-JO"/>
        </w:rPr>
      </w:pPr>
      <w:r>
        <w:rPr>
          <w:rFonts w:ascii="Arabic Transparent" w:hAnsi="Arabic Transparent" w:cs="Arabic Transparent" w:hint="cs"/>
          <w:sz w:val="28"/>
          <w:szCs w:val="28"/>
          <w:rtl/>
          <w:lang w:bidi="ar-JO"/>
        </w:rPr>
        <w:t>3</w:t>
      </w:r>
      <w:r w:rsidR="0065659F">
        <w:rPr>
          <w:rFonts w:ascii="Arabic Transparent" w:hAnsi="Arabic Transparent" w:cs="Arabic Transparent" w:hint="cs"/>
          <w:sz w:val="28"/>
          <w:szCs w:val="28"/>
          <w:rtl/>
          <w:lang w:bidi="ar-JO"/>
        </w:rPr>
        <w:t>.ال</w:t>
      </w:r>
      <w:r w:rsidR="00930205">
        <w:rPr>
          <w:rFonts w:ascii="Arabic Transparent" w:hAnsi="Arabic Transparent" w:cs="Arabic Transparent" w:hint="cs"/>
          <w:sz w:val="28"/>
          <w:szCs w:val="28"/>
          <w:rtl/>
          <w:lang w:bidi="ar-JO"/>
        </w:rPr>
        <w:t>صدق</w:t>
      </w:r>
      <w:r w:rsidR="0017181B">
        <w:rPr>
          <w:rFonts w:ascii="Arabic Transparent" w:hAnsi="Arabic Transparent" w:cs="Arabic Transparent" w:hint="cs"/>
          <w:sz w:val="28"/>
          <w:szCs w:val="28"/>
          <w:rtl/>
          <w:lang w:bidi="ar-JO"/>
        </w:rPr>
        <w:t xml:space="preserve">: </w:t>
      </w:r>
      <w:r w:rsidR="004A3AAA" w:rsidRPr="00B529EB">
        <w:rPr>
          <w:rFonts w:ascii="Arabic Transparent" w:hAnsi="Arabic Transparent" w:cs="Arabic Transparent" w:hint="cs"/>
          <w:sz w:val="28"/>
          <w:szCs w:val="28"/>
          <w:rtl/>
          <w:lang w:bidi="ar-JO"/>
        </w:rPr>
        <w:t xml:space="preserve">يقال: </w:t>
      </w:r>
      <w:r w:rsidR="00971943">
        <w:rPr>
          <w:rFonts w:ascii="Arabic Transparent" w:hAnsi="Arabic Transparent" w:cs="Arabic Transparent" w:hint="cs"/>
          <w:sz w:val="28"/>
          <w:szCs w:val="28"/>
          <w:rtl/>
          <w:lang w:bidi="ar-JO"/>
        </w:rPr>
        <w:t>"</w:t>
      </w:r>
      <w:r w:rsidR="004A3AAA" w:rsidRPr="00B529EB">
        <w:rPr>
          <w:rFonts w:ascii="Arabic Transparent" w:hAnsi="Arabic Transparent" w:cs="Arabic Transparent" w:hint="cs"/>
          <w:sz w:val="28"/>
          <w:szCs w:val="28"/>
          <w:rtl/>
          <w:lang w:bidi="ar-JO"/>
        </w:rPr>
        <w:t>قول ‌حق وصواب</w:t>
      </w:r>
      <w:r w:rsidR="00971943">
        <w:rPr>
          <w:rFonts w:ascii="Arabic Transparent" w:hAnsi="Arabic Transparent" w:cs="Arabic Transparent" w:hint="cs"/>
          <w:sz w:val="28"/>
          <w:szCs w:val="28"/>
          <w:rtl/>
          <w:lang w:bidi="ar-JO"/>
        </w:rPr>
        <w:t>"</w:t>
      </w:r>
      <w:r w:rsidR="004A3AAA" w:rsidRPr="00B529EB">
        <w:rPr>
          <w:rFonts w:ascii="Arabic Transparent" w:hAnsi="Arabic Transparent" w:cs="Arabic Transparent" w:hint="cs"/>
          <w:sz w:val="28"/>
          <w:szCs w:val="28"/>
          <w:vertAlign w:val="superscript"/>
          <w:rtl/>
          <w:lang w:bidi="ar-JO"/>
        </w:rPr>
        <w:t>(</w:t>
      </w:r>
      <w:r w:rsidR="004A3AAA" w:rsidRPr="00B529EB">
        <w:rPr>
          <w:rStyle w:val="FootnoteReference"/>
          <w:rFonts w:ascii="Arabic Transparent" w:hAnsi="Arabic Transparent" w:cs="Arabic Transparent" w:hint="cs"/>
          <w:sz w:val="28"/>
          <w:szCs w:val="28"/>
          <w:rtl/>
          <w:lang w:bidi="ar-JO"/>
        </w:rPr>
        <w:footnoteReference w:id="4"/>
      </w:r>
      <w:r w:rsidR="004A3AAA" w:rsidRPr="00B529EB">
        <w:rPr>
          <w:rFonts w:ascii="Arabic Transparent" w:hAnsi="Arabic Transparent" w:cs="Arabic Transparent" w:hint="cs"/>
          <w:sz w:val="28"/>
          <w:szCs w:val="28"/>
          <w:vertAlign w:val="superscript"/>
          <w:rtl/>
          <w:lang w:bidi="ar-JO"/>
        </w:rPr>
        <w:t>)</w:t>
      </w:r>
      <w:r w:rsidR="00971943">
        <w:rPr>
          <w:rFonts w:ascii="Arabic Transparent" w:hAnsi="Arabic Transparent" w:cs="Arabic Transparent" w:hint="cs"/>
          <w:sz w:val="28"/>
          <w:szCs w:val="28"/>
          <w:rtl/>
          <w:lang w:bidi="ar-JO"/>
        </w:rPr>
        <w:t>،</w:t>
      </w:r>
      <w:r w:rsidR="004A3AAA" w:rsidRPr="00B529EB">
        <w:rPr>
          <w:rFonts w:ascii="Arabic Transparent" w:hAnsi="Arabic Transparent" w:cs="Arabic Transparent" w:hint="cs"/>
          <w:sz w:val="28"/>
          <w:szCs w:val="28"/>
          <w:rtl/>
          <w:lang w:bidi="ar-JO"/>
        </w:rPr>
        <w:t xml:space="preserve"> </w:t>
      </w:r>
      <w:r w:rsidR="00930205">
        <w:rPr>
          <w:rFonts w:ascii="Arabic Transparent" w:hAnsi="Arabic Transparent" w:cs="Arabic Transparent" w:hint="cs"/>
          <w:sz w:val="28"/>
          <w:szCs w:val="28"/>
          <w:rtl/>
          <w:lang w:bidi="ar-JO"/>
        </w:rPr>
        <w:t xml:space="preserve">كما في جاء في قوله تعالى: </w:t>
      </w:r>
      <w:r w:rsidR="0017181B" w:rsidRPr="0017181B">
        <w:rPr>
          <w:rFonts w:ascii="KFGQPC HAFS Uthmanic Script" w:hAnsi="Times New Roman" w:cs="KFGQPC HAFS Uthmanic Script" w:hint="cs"/>
          <w:color w:val="000000"/>
          <w:sz w:val="28"/>
          <w:szCs w:val="28"/>
          <w:rtl/>
        </w:rPr>
        <w:t>ﵟ وَقُلۡ جَآءَ ٱلۡحَقُّ وَزَهَقَ ٱلۡبَٰطِلُۚ إِنَّ ٱلۡبَٰطِلَ كَانَ زَهُوقٗا ٨١ﵞ</w:t>
      </w:r>
      <w:r w:rsidR="0017181B" w:rsidRPr="0017181B">
        <w:rPr>
          <w:rFonts w:ascii="KFGQPC HAFS Uthmanic Script" w:hAnsi="Times New Roman" w:cs="KFGQPC HAFS Uthmanic Script"/>
          <w:color w:val="000000"/>
          <w:sz w:val="28"/>
          <w:szCs w:val="28"/>
          <w:rtl/>
        </w:rPr>
        <w:t xml:space="preserve"> </w:t>
      </w:r>
      <w:r w:rsidR="0017181B" w:rsidRPr="0017181B">
        <w:rPr>
          <w:rFonts w:ascii="KFGQPC HAFS Uthmanic Script" w:hAnsi="Times New Roman" w:cs="KFGQPC HAFS Uthmanic Script" w:hint="cs"/>
          <w:color w:val="000000"/>
          <w:sz w:val="28"/>
          <w:szCs w:val="28"/>
          <w:rtl/>
        </w:rPr>
        <w:t>ﵝالإِسۡرَاء</w:t>
      </w:r>
      <w:r w:rsidR="005D7B91">
        <w:rPr>
          <w:rFonts w:ascii="KFGQPC HAFS Uthmanic Script" w:hAnsi="Times New Roman" w:cs="KFGQPC HAFS Uthmanic Script"/>
          <w:color w:val="000000"/>
          <w:sz w:val="28"/>
          <w:szCs w:val="28"/>
          <w:rtl/>
        </w:rPr>
        <w:t xml:space="preserve">: </w:t>
      </w:r>
      <w:r w:rsidR="0017181B" w:rsidRPr="0017181B">
        <w:rPr>
          <w:rFonts w:ascii="KFGQPC HAFS Uthmanic Script" w:hAnsi="Times New Roman" w:cs="KFGQPC HAFS Uthmanic Script" w:hint="cs"/>
          <w:color w:val="000000"/>
          <w:sz w:val="28"/>
          <w:szCs w:val="28"/>
          <w:rtl/>
        </w:rPr>
        <w:t>ﵑﵘﵜ</w:t>
      </w:r>
      <w:r w:rsidR="0017181B">
        <w:rPr>
          <w:rFonts w:ascii="Arabic Transparent" w:hAnsi="Arabic Transparent" w:cs="Arabic Transparent" w:hint="cs"/>
          <w:sz w:val="28"/>
          <w:szCs w:val="28"/>
          <w:rtl/>
          <w:lang w:bidi="ar-JO"/>
        </w:rPr>
        <w:t xml:space="preserve"> بمعنى جاء الصدق،</w:t>
      </w:r>
      <w:r w:rsidR="002E2393" w:rsidRPr="00B529EB">
        <w:rPr>
          <w:rFonts w:ascii="Arabic Transparent" w:hAnsi="Arabic Transparent" w:cs="Arabic Transparent" w:hint="cs"/>
          <w:sz w:val="28"/>
          <w:szCs w:val="28"/>
          <w:rtl/>
          <w:lang w:bidi="ar-JO"/>
        </w:rPr>
        <w:t xml:space="preserve"> </w:t>
      </w:r>
      <w:r w:rsidR="00144046" w:rsidRPr="00B529EB">
        <w:rPr>
          <w:rFonts w:ascii="Arabic Transparent" w:hAnsi="Arabic Transparent" w:cs="Arabic Transparent" w:hint="cs"/>
          <w:sz w:val="28"/>
          <w:szCs w:val="28"/>
          <w:rtl/>
          <w:lang w:bidi="ar-JO"/>
        </w:rPr>
        <w:t>وتَحَقَّقَ عنده الخبر، أي</w:t>
      </w:r>
      <w:r w:rsidR="00F37C3F">
        <w:rPr>
          <w:rFonts w:ascii="Arabic Transparent" w:hAnsi="Arabic Transparent" w:cs="Arabic Transparent" w:hint="cs"/>
          <w:sz w:val="28"/>
          <w:szCs w:val="28"/>
          <w:rtl/>
          <w:lang w:bidi="ar-JO"/>
        </w:rPr>
        <w:t>:</w:t>
      </w:r>
      <w:r w:rsidR="00144046" w:rsidRPr="00B529EB">
        <w:rPr>
          <w:rFonts w:ascii="Arabic Transparent" w:hAnsi="Arabic Transparent" w:cs="Arabic Transparent" w:hint="cs"/>
          <w:sz w:val="28"/>
          <w:szCs w:val="28"/>
          <w:rtl/>
          <w:lang w:bidi="ar-JO"/>
        </w:rPr>
        <w:t xml:space="preserve"> </w:t>
      </w:r>
      <w:r w:rsidR="007C21DD">
        <w:rPr>
          <w:rFonts w:ascii="Arabic Transparent" w:hAnsi="Arabic Transparent" w:cs="Arabic Transparent" w:hint="cs"/>
          <w:sz w:val="28"/>
          <w:szCs w:val="28"/>
          <w:rtl/>
          <w:lang w:bidi="ar-JO"/>
        </w:rPr>
        <w:t>"</w:t>
      </w:r>
      <w:r w:rsidR="00144046" w:rsidRPr="00B529EB">
        <w:rPr>
          <w:rFonts w:ascii="Arabic Transparent" w:hAnsi="Arabic Transparent" w:cs="Arabic Transparent" w:hint="cs"/>
          <w:sz w:val="28"/>
          <w:szCs w:val="28"/>
          <w:rtl/>
          <w:lang w:bidi="ar-JO"/>
        </w:rPr>
        <w:t>صحَّ</w:t>
      </w:r>
      <w:r w:rsidR="0017181B">
        <w:rPr>
          <w:rFonts w:ascii="Arabic Transparent" w:hAnsi="Arabic Transparent" w:cs="Arabic Transparent" w:hint="cs"/>
          <w:sz w:val="28"/>
          <w:szCs w:val="28"/>
          <w:rtl/>
          <w:lang w:bidi="ar-JO"/>
        </w:rPr>
        <w:t xml:space="preserve"> وصُدِّق</w:t>
      </w:r>
      <w:r w:rsidR="00144046" w:rsidRPr="00B529EB">
        <w:rPr>
          <w:rFonts w:ascii="Arabic Transparent" w:hAnsi="Arabic Transparent" w:cs="Arabic Transparent" w:hint="cs"/>
          <w:sz w:val="28"/>
          <w:szCs w:val="28"/>
          <w:rtl/>
          <w:lang w:bidi="ar-JO"/>
        </w:rPr>
        <w:t>. وحَقّقَت قولَه وظنَّه تَحقيقاً، أي</w:t>
      </w:r>
      <w:r w:rsidR="00F37C3F">
        <w:rPr>
          <w:rFonts w:ascii="Arabic Transparent" w:hAnsi="Arabic Transparent" w:cs="Arabic Transparent" w:hint="cs"/>
          <w:sz w:val="28"/>
          <w:szCs w:val="28"/>
          <w:rtl/>
          <w:lang w:bidi="ar-JO"/>
        </w:rPr>
        <w:t>:</w:t>
      </w:r>
      <w:r w:rsidR="00144046" w:rsidRPr="00B529EB">
        <w:rPr>
          <w:rFonts w:ascii="Arabic Transparent" w:hAnsi="Arabic Transparent" w:cs="Arabic Transparent" w:hint="cs"/>
          <w:sz w:val="28"/>
          <w:szCs w:val="28"/>
          <w:rtl/>
          <w:lang w:bidi="ar-JO"/>
        </w:rPr>
        <w:t xml:space="preserve"> صدَّقت</w:t>
      </w:r>
      <w:r w:rsidR="0017181B">
        <w:rPr>
          <w:rFonts w:ascii="Arabic Transparent" w:hAnsi="Arabic Transparent" w:cs="Arabic Transparent" w:hint="cs"/>
          <w:sz w:val="28"/>
          <w:szCs w:val="28"/>
          <w:rtl/>
          <w:lang w:bidi="ar-JO"/>
        </w:rPr>
        <w:t>ه</w:t>
      </w:r>
      <w:r w:rsidR="007C21DD">
        <w:rPr>
          <w:rFonts w:ascii="Arabic Transparent" w:hAnsi="Arabic Transparent" w:cs="Arabic Transparent" w:hint="cs"/>
          <w:sz w:val="28"/>
          <w:szCs w:val="28"/>
          <w:rtl/>
          <w:lang w:bidi="ar-JO"/>
        </w:rPr>
        <w:t>"</w:t>
      </w:r>
      <w:r w:rsidR="00144046" w:rsidRPr="00B529EB">
        <w:rPr>
          <w:rFonts w:ascii="Arabic Transparent" w:hAnsi="Arabic Transparent" w:cs="Arabic Transparent" w:hint="cs"/>
          <w:sz w:val="28"/>
          <w:szCs w:val="28"/>
          <w:vertAlign w:val="superscript"/>
          <w:rtl/>
          <w:lang w:bidi="ar-JO"/>
        </w:rPr>
        <w:t>(</w:t>
      </w:r>
      <w:r w:rsidR="00144046" w:rsidRPr="00B529EB">
        <w:rPr>
          <w:rStyle w:val="FootnoteReference"/>
          <w:rFonts w:ascii="Arabic Transparent" w:hAnsi="Arabic Transparent" w:cs="Arabic Transparent" w:hint="cs"/>
          <w:sz w:val="28"/>
          <w:szCs w:val="28"/>
          <w:rtl/>
          <w:lang w:bidi="ar-JO"/>
        </w:rPr>
        <w:footnoteReference w:id="5"/>
      </w:r>
      <w:r w:rsidR="00144046" w:rsidRPr="00B529EB">
        <w:rPr>
          <w:rFonts w:ascii="Arabic Transparent" w:hAnsi="Arabic Transparent" w:cs="Arabic Transparent" w:hint="cs"/>
          <w:sz w:val="28"/>
          <w:szCs w:val="28"/>
          <w:vertAlign w:val="superscript"/>
          <w:rtl/>
          <w:lang w:bidi="ar-JO"/>
        </w:rPr>
        <w:t>)</w:t>
      </w:r>
      <w:r w:rsidR="007C21DD">
        <w:rPr>
          <w:rFonts w:ascii="Arabic Transparent" w:hAnsi="Arabic Transparent" w:cs="Arabic Transparent" w:hint="cs"/>
          <w:sz w:val="28"/>
          <w:szCs w:val="28"/>
          <w:rtl/>
          <w:lang w:bidi="ar-JO"/>
        </w:rPr>
        <w:t>.</w:t>
      </w:r>
    </w:p>
    <w:p w14:paraId="1A0599BB" w14:textId="77777777" w:rsidR="00E05FC4" w:rsidRDefault="00E05FC4">
      <w:pPr>
        <w:bidi w:val="0"/>
        <w:spacing w:after="0" w:line="240" w:lineRule="auto"/>
        <w:rPr>
          <w:rFonts w:ascii="Arabic Transparent" w:hAnsi="Arabic Transparent" w:cs="Arabic Transparent"/>
          <w:sz w:val="28"/>
          <w:szCs w:val="28"/>
          <w:rtl/>
          <w:lang w:bidi="ar-JO"/>
        </w:rPr>
      </w:pPr>
      <w:r>
        <w:rPr>
          <w:rFonts w:ascii="Arabic Transparent" w:hAnsi="Arabic Transparent" w:cs="Arabic Transparent"/>
          <w:sz w:val="28"/>
          <w:szCs w:val="28"/>
          <w:rtl/>
          <w:lang w:bidi="ar-JO"/>
        </w:rPr>
        <w:br w:type="page"/>
      </w:r>
    </w:p>
    <w:p w14:paraId="219CC376" w14:textId="77777777" w:rsidR="00B74950" w:rsidRDefault="00B74950" w:rsidP="009F1455">
      <w:pPr>
        <w:spacing w:after="0"/>
        <w:jc w:val="both"/>
        <w:rPr>
          <w:rFonts w:ascii="Arabic Transparent" w:hAnsi="Arabic Transparent" w:cs="Arabic Transparent"/>
          <w:sz w:val="28"/>
          <w:szCs w:val="28"/>
          <w:rtl/>
          <w:lang w:bidi="ar-JO"/>
        </w:rPr>
      </w:pPr>
    </w:p>
    <w:p w14:paraId="7C475F33" w14:textId="50717350" w:rsidR="00A158FE" w:rsidRPr="00B529EB" w:rsidRDefault="005D7B91" w:rsidP="00B74950">
      <w:pPr>
        <w:spacing w:after="0" w:line="360" w:lineRule="auto"/>
        <w:jc w:val="both"/>
        <w:rPr>
          <w:rFonts w:ascii="Arabic Transparent" w:hAnsi="Arabic Transparent" w:cs="Arabic Transparent"/>
          <w:sz w:val="28"/>
          <w:szCs w:val="28"/>
          <w:rtl/>
          <w:lang w:bidi="ar-JO"/>
        </w:rPr>
      </w:pPr>
      <w:r>
        <w:rPr>
          <w:rFonts w:ascii="Arabic Transparent" w:hAnsi="Arabic Transparent" w:cs="Arabic Transparent" w:hint="cs"/>
          <w:sz w:val="28"/>
          <w:szCs w:val="28"/>
          <w:rtl/>
          <w:lang w:bidi="ar-JO"/>
        </w:rPr>
        <w:t xml:space="preserve">     </w:t>
      </w:r>
      <w:r w:rsidR="000768A4">
        <w:rPr>
          <w:rFonts w:ascii="Arabic Transparent" w:hAnsi="Arabic Transparent" w:cs="Arabic Transparent" w:hint="cs"/>
          <w:sz w:val="28"/>
          <w:szCs w:val="28"/>
          <w:rtl/>
          <w:lang w:bidi="ar-JO"/>
        </w:rPr>
        <w:t xml:space="preserve">بعد هذا العرض </w:t>
      </w:r>
      <w:r w:rsidR="00A158FE" w:rsidRPr="00B529EB">
        <w:rPr>
          <w:rFonts w:ascii="Arabic Transparent" w:hAnsi="Arabic Transparent" w:cs="Arabic Transparent" w:hint="cs"/>
          <w:sz w:val="28"/>
          <w:szCs w:val="28"/>
          <w:rtl/>
          <w:lang w:bidi="ar-JO"/>
        </w:rPr>
        <w:t>يمكن أن يكون المعنى الأكثر انسجامًا ل</w:t>
      </w:r>
      <w:r w:rsidR="000768A4">
        <w:rPr>
          <w:rFonts w:ascii="Arabic Transparent" w:hAnsi="Arabic Transparent" w:cs="Arabic Transparent" w:hint="cs"/>
          <w:sz w:val="28"/>
          <w:szCs w:val="28"/>
          <w:rtl/>
          <w:lang w:bidi="ar-JO"/>
        </w:rPr>
        <w:t xml:space="preserve">لمعنى الاصطلاحي، </w:t>
      </w:r>
      <w:r w:rsidR="00A158FE" w:rsidRPr="00B529EB">
        <w:rPr>
          <w:rFonts w:ascii="Arabic Transparent" w:hAnsi="Arabic Transparent" w:cs="Arabic Transparent" w:hint="cs"/>
          <w:sz w:val="28"/>
          <w:szCs w:val="28"/>
          <w:rtl/>
          <w:lang w:bidi="ar-JO"/>
        </w:rPr>
        <w:t>وال</w:t>
      </w:r>
      <w:r w:rsidR="000768A4">
        <w:rPr>
          <w:rFonts w:ascii="Arabic Transparent" w:hAnsi="Arabic Transparent" w:cs="Arabic Transparent" w:hint="cs"/>
          <w:sz w:val="28"/>
          <w:szCs w:val="28"/>
          <w:rtl/>
          <w:lang w:bidi="ar-JO"/>
        </w:rPr>
        <w:t>ذي</w:t>
      </w:r>
      <w:r w:rsidR="00A158FE" w:rsidRPr="00B529EB">
        <w:rPr>
          <w:rFonts w:ascii="Arabic Transparent" w:hAnsi="Arabic Transparent" w:cs="Arabic Transparent" w:hint="cs"/>
          <w:sz w:val="28"/>
          <w:szCs w:val="28"/>
          <w:rtl/>
          <w:lang w:bidi="ar-JO"/>
        </w:rPr>
        <w:t xml:space="preserve"> </w:t>
      </w:r>
      <w:r w:rsidR="000768A4">
        <w:rPr>
          <w:rFonts w:ascii="Arabic Transparent" w:hAnsi="Arabic Transparent" w:cs="Arabic Transparent" w:hint="cs"/>
          <w:sz w:val="28"/>
          <w:szCs w:val="28"/>
          <w:rtl/>
          <w:lang w:bidi="ar-JO"/>
        </w:rPr>
        <w:t>ي</w:t>
      </w:r>
      <w:r w:rsidR="00A158FE" w:rsidRPr="00B529EB">
        <w:rPr>
          <w:rFonts w:ascii="Arabic Transparent" w:hAnsi="Arabic Transparent" w:cs="Arabic Transparent" w:hint="cs"/>
          <w:sz w:val="28"/>
          <w:szCs w:val="28"/>
          <w:rtl/>
          <w:lang w:bidi="ar-JO"/>
        </w:rPr>
        <w:t>تسق مع مفردات الدراسة</w:t>
      </w:r>
      <w:r w:rsidR="000768A4">
        <w:rPr>
          <w:rFonts w:ascii="Arabic Transparent" w:hAnsi="Arabic Transparent" w:cs="Arabic Transparent" w:hint="cs"/>
          <w:sz w:val="28"/>
          <w:szCs w:val="28"/>
          <w:rtl/>
          <w:lang w:bidi="ar-JO"/>
        </w:rPr>
        <w:t xml:space="preserve"> هو: المعنى الأول الإثبات، وأثبته </w:t>
      </w:r>
      <w:r w:rsidR="00A158FE" w:rsidRPr="00B529EB">
        <w:rPr>
          <w:rFonts w:ascii="Arabic Transparent" w:hAnsi="Arabic Transparent" w:cs="Arabic Transparent" w:hint="cs"/>
          <w:sz w:val="28"/>
          <w:szCs w:val="28"/>
          <w:rtl/>
          <w:lang w:bidi="ar-JO"/>
        </w:rPr>
        <w:t>في موضعه المناسب</w:t>
      </w:r>
      <w:r w:rsidR="000768A4">
        <w:rPr>
          <w:rFonts w:ascii="Arabic Transparent" w:hAnsi="Arabic Transparent" w:cs="Arabic Transparent" w:hint="cs"/>
          <w:sz w:val="28"/>
          <w:szCs w:val="28"/>
          <w:rtl/>
          <w:lang w:bidi="ar-JO"/>
        </w:rPr>
        <w:t>،</w:t>
      </w:r>
      <w:r w:rsidR="00A158FE" w:rsidRPr="00B529EB">
        <w:rPr>
          <w:rFonts w:ascii="Arabic Transparent" w:hAnsi="Arabic Transparent" w:cs="Arabic Transparent" w:hint="cs"/>
          <w:sz w:val="28"/>
          <w:szCs w:val="28"/>
          <w:rtl/>
          <w:lang w:bidi="ar-JO"/>
        </w:rPr>
        <w:t xml:space="preserve"> ومكانه الصحيح</w:t>
      </w:r>
      <w:r w:rsidR="00202FEB" w:rsidRPr="00B529EB">
        <w:rPr>
          <w:rFonts w:ascii="Arabic Transparent" w:hAnsi="Arabic Transparent" w:cs="Arabic Transparent" w:hint="cs"/>
          <w:sz w:val="28"/>
          <w:szCs w:val="28"/>
          <w:rtl/>
          <w:lang w:bidi="ar-JO"/>
        </w:rPr>
        <w:t xml:space="preserve"> والمبالغة في إثبات حقيقة الشيء بالوقوف عليه</w:t>
      </w:r>
      <w:r w:rsidR="00202FEB" w:rsidRPr="00B529EB">
        <w:rPr>
          <w:rFonts w:ascii="Arabic Transparent" w:hAnsi="Arabic Transparent" w:cs="Arabic Transparent" w:hint="cs"/>
          <w:sz w:val="28"/>
          <w:szCs w:val="28"/>
          <w:vertAlign w:val="superscript"/>
          <w:rtl/>
          <w:lang w:bidi="ar-JO"/>
        </w:rPr>
        <w:t>(</w:t>
      </w:r>
      <w:r w:rsidR="00202FEB" w:rsidRPr="00B529EB">
        <w:rPr>
          <w:rStyle w:val="FootnoteReference"/>
          <w:rFonts w:ascii="Arabic Transparent" w:hAnsi="Arabic Transparent" w:cs="Arabic Transparent" w:hint="cs"/>
          <w:sz w:val="28"/>
          <w:szCs w:val="28"/>
          <w:rtl/>
          <w:lang w:bidi="ar-JO"/>
        </w:rPr>
        <w:footnoteReference w:id="6"/>
      </w:r>
      <w:r w:rsidR="00202FEB" w:rsidRPr="00B529EB">
        <w:rPr>
          <w:rFonts w:ascii="Arabic Transparent" w:hAnsi="Arabic Transparent" w:cs="Arabic Transparent" w:hint="cs"/>
          <w:sz w:val="28"/>
          <w:szCs w:val="28"/>
          <w:vertAlign w:val="superscript"/>
          <w:rtl/>
          <w:lang w:bidi="ar-JO"/>
        </w:rPr>
        <w:t>)</w:t>
      </w:r>
      <w:r w:rsidR="00A158FE" w:rsidRPr="00B529EB">
        <w:rPr>
          <w:rFonts w:ascii="Arabic Transparent" w:hAnsi="Arabic Transparent" w:cs="Arabic Transparent" w:hint="cs"/>
          <w:sz w:val="28"/>
          <w:szCs w:val="28"/>
          <w:rtl/>
          <w:lang w:bidi="ar-JO"/>
        </w:rPr>
        <w:t>.</w:t>
      </w:r>
    </w:p>
    <w:p w14:paraId="50E9B9CE" w14:textId="77777777" w:rsidR="00FB645B" w:rsidRDefault="00B87AAA" w:rsidP="000768A4">
      <w:pPr>
        <w:spacing w:after="0" w:line="360" w:lineRule="auto"/>
        <w:jc w:val="both"/>
        <w:rPr>
          <w:rFonts w:ascii="Arabic Transparent" w:hAnsi="Arabic Transparent" w:cs="Arabic Transparent"/>
          <w:sz w:val="28"/>
          <w:szCs w:val="28"/>
          <w:rtl/>
          <w:lang w:bidi="ar-JO"/>
        </w:rPr>
      </w:pPr>
      <w:r w:rsidRPr="000768A4">
        <w:rPr>
          <w:rFonts w:ascii="Arabic Transparent" w:hAnsi="Arabic Transparent" w:cs="Arabic Transparent" w:hint="cs"/>
          <w:b/>
          <w:bCs/>
          <w:sz w:val="28"/>
          <w:szCs w:val="28"/>
          <w:rtl/>
          <w:lang w:bidi="ar-JO"/>
        </w:rPr>
        <w:t>ثانياً: التحقيق اصطلاحاً</w:t>
      </w:r>
      <w:r w:rsidR="006B6AB8" w:rsidRPr="000768A4">
        <w:rPr>
          <w:rFonts w:ascii="Arabic Transparent" w:hAnsi="Arabic Transparent" w:cs="Arabic Transparent" w:hint="cs"/>
          <w:b/>
          <w:bCs/>
          <w:sz w:val="28"/>
          <w:szCs w:val="28"/>
          <w:rtl/>
          <w:lang w:bidi="ar-JO"/>
        </w:rPr>
        <w:t>:</w:t>
      </w:r>
      <w:r w:rsidR="006B6AB8" w:rsidRPr="00B529EB">
        <w:rPr>
          <w:rFonts w:ascii="Arabic Transparent" w:hAnsi="Arabic Transparent" w:cs="Arabic Transparent" w:hint="cs"/>
          <w:sz w:val="28"/>
          <w:szCs w:val="28"/>
          <w:rtl/>
          <w:lang w:bidi="ar-JO"/>
        </w:rPr>
        <w:t xml:space="preserve"> </w:t>
      </w:r>
    </w:p>
    <w:p w14:paraId="591C2D6C" w14:textId="39BE2511" w:rsidR="00B87AAA" w:rsidRDefault="00A802AC" w:rsidP="00FB645B">
      <w:pPr>
        <w:spacing w:after="0" w:line="360" w:lineRule="auto"/>
        <w:ind w:firstLine="473"/>
        <w:jc w:val="both"/>
        <w:rPr>
          <w:rFonts w:ascii="Arabic Transparent" w:hAnsi="Arabic Transparent" w:cs="Arabic Transparent"/>
          <w:sz w:val="28"/>
          <w:szCs w:val="28"/>
          <w:rtl/>
          <w:lang w:bidi="ar-JO"/>
        </w:rPr>
      </w:pPr>
      <w:r>
        <w:rPr>
          <w:rFonts w:ascii="Arabic Transparent" w:hAnsi="Arabic Transparent" w:cs="Arabic Transparent" w:hint="cs"/>
          <w:sz w:val="28"/>
          <w:szCs w:val="28"/>
          <w:rtl/>
          <w:lang w:bidi="ar-JO"/>
        </w:rPr>
        <w:t>عر</w:t>
      </w:r>
      <w:r w:rsidR="009365AC">
        <w:rPr>
          <w:rFonts w:ascii="Arabic Transparent" w:hAnsi="Arabic Transparent" w:cs="Arabic Transparent" w:hint="cs"/>
          <w:sz w:val="28"/>
          <w:szCs w:val="28"/>
          <w:rtl/>
          <w:lang w:bidi="ar-JO"/>
        </w:rPr>
        <w:t>َّ</w:t>
      </w:r>
      <w:r>
        <w:rPr>
          <w:rFonts w:ascii="Arabic Transparent" w:hAnsi="Arabic Transparent" w:cs="Arabic Transparent" w:hint="cs"/>
          <w:sz w:val="28"/>
          <w:szCs w:val="28"/>
          <w:rtl/>
          <w:lang w:bidi="ar-JO"/>
        </w:rPr>
        <w:t xml:space="preserve">ف العلماء التحقيق اصطلاحاً </w:t>
      </w:r>
      <w:r w:rsidR="009365AC" w:rsidRPr="009365AC">
        <w:rPr>
          <w:rFonts w:ascii="Arabic Transparent" w:hAnsi="Arabic Transparent" w:cs="Arabic Transparent"/>
          <w:sz w:val="28"/>
          <w:szCs w:val="28"/>
          <w:rtl/>
          <w:lang w:bidi="ar-JO"/>
        </w:rPr>
        <w:t>ضمن سياق المعنى الأصولي</w:t>
      </w:r>
      <w:r w:rsidR="009365AC" w:rsidRPr="009365AC">
        <w:rPr>
          <w:rFonts w:ascii="Arabic Transparent" w:hAnsi="Arabic Transparent" w:cs="Arabic Transparent" w:hint="cs"/>
          <w:sz w:val="28"/>
          <w:szCs w:val="28"/>
          <w:rtl/>
          <w:lang w:bidi="ar-JO"/>
        </w:rPr>
        <w:t xml:space="preserve"> </w:t>
      </w:r>
      <w:r>
        <w:rPr>
          <w:rFonts w:ascii="Arabic Transparent" w:hAnsi="Arabic Transparent" w:cs="Arabic Transparent" w:hint="cs"/>
          <w:sz w:val="28"/>
          <w:szCs w:val="28"/>
          <w:rtl/>
          <w:lang w:bidi="ar-JO"/>
        </w:rPr>
        <w:t>بتعريفات</w:t>
      </w:r>
      <w:r w:rsidR="009365AC">
        <w:rPr>
          <w:rFonts w:ascii="Arabic Transparent" w:hAnsi="Arabic Transparent" w:cs="Arabic Transparent" w:hint="cs"/>
          <w:sz w:val="28"/>
          <w:szCs w:val="28"/>
          <w:rtl/>
          <w:lang w:bidi="ar-JO"/>
        </w:rPr>
        <w:t xml:space="preserve"> م</w:t>
      </w:r>
      <w:r w:rsidR="00F37C3F">
        <w:rPr>
          <w:rFonts w:ascii="Arabic Transparent" w:hAnsi="Arabic Transparent" w:cs="Arabic Transparent" w:hint="cs"/>
          <w:sz w:val="28"/>
          <w:szCs w:val="28"/>
          <w:rtl/>
          <w:lang w:bidi="ar-JO"/>
        </w:rPr>
        <w:t>حدودة</w:t>
      </w:r>
      <w:r>
        <w:rPr>
          <w:rFonts w:ascii="Arabic Transparent" w:hAnsi="Arabic Transparent" w:cs="Arabic Transparent" w:hint="cs"/>
          <w:sz w:val="28"/>
          <w:szCs w:val="28"/>
          <w:rtl/>
          <w:lang w:bidi="ar-JO"/>
        </w:rPr>
        <w:t xml:space="preserve"> </w:t>
      </w:r>
      <w:r w:rsidR="009365AC">
        <w:rPr>
          <w:rFonts w:ascii="Arabic Transparent" w:hAnsi="Arabic Transparent" w:cs="Arabic Transparent" w:hint="cs"/>
          <w:sz w:val="28"/>
          <w:szCs w:val="28"/>
          <w:rtl/>
          <w:lang w:bidi="ar-JO"/>
        </w:rPr>
        <w:t>و</w:t>
      </w:r>
      <w:r>
        <w:rPr>
          <w:rFonts w:ascii="Arabic Transparent" w:hAnsi="Arabic Transparent" w:cs="Arabic Transparent" w:hint="cs"/>
          <w:sz w:val="28"/>
          <w:szCs w:val="28"/>
          <w:rtl/>
          <w:lang w:bidi="ar-JO"/>
        </w:rPr>
        <w:t>متقاربة</w:t>
      </w:r>
      <w:r w:rsidR="009365AC">
        <w:rPr>
          <w:rFonts w:ascii="Arabic Transparent" w:hAnsi="Arabic Transparent" w:cs="Arabic Transparent" w:hint="cs"/>
          <w:sz w:val="28"/>
          <w:szCs w:val="28"/>
          <w:rtl/>
          <w:lang w:bidi="ar-JO"/>
        </w:rPr>
        <w:t xml:space="preserve"> فيما بينها،</w:t>
      </w:r>
      <w:r>
        <w:rPr>
          <w:rFonts w:ascii="Arabic Transparent" w:hAnsi="Arabic Transparent" w:cs="Arabic Transparent" w:hint="cs"/>
          <w:sz w:val="28"/>
          <w:szCs w:val="28"/>
          <w:rtl/>
          <w:lang w:bidi="ar-JO"/>
        </w:rPr>
        <w:t xml:space="preserve"> وهي </w:t>
      </w:r>
      <w:r w:rsidR="00602704" w:rsidRPr="00B529EB">
        <w:rPr>
          <w:rFonts w:ascii="Arabic Transparent" w:hAnsi="Arabic Transparent" w:cs="Arabic Transparent" w:hint="cs"/>
          <w:sz w:val="28"/>
          <w:szCs w:val="28"/>
          <w:rtl/>
          <w:lang w:bidi="ar-JO"/>
        </w:rPr>
        <w:t xml:space="preserve">كما </w:t>
      </w:r>
      <w:r w:rsidR="00BF1052">
        <w:rPr>
          <w:rFonts w:ascii="Arabic Transparent" w:hAnsi="Arabic Transparent" w:cs="Arabic Transparent" w:hint="cs"/>
          <w:sz w:val="28"/>
          <w:szCs w:val="28"/>
          <w:rtl/>
          <w:lang w:bidi="ar-JO"/>
        </w:rPr>
        <w:t>يأتي</w:t>
      </w:r>
      <w:r w:rsidR="006B6AB8" w:rsidRPr="00B529EB">
        <w:rPr>
          <w:rFonts w:ascii="Arabic Transparent" w:hAnsi="Arabic Transparent" w:cs="Arabic Transparent" w:hint="cs"/>
          <w:sz w:val="28"/>
          <w:szCs w:val="28"/>
          <w:rtl/>
          <w:lang w:bidi="ar-JO"/>
        </w:rPr>
        <w:t xml:space="preserve">: </w:t>
      </w:r>
    </w:p>
    <w:p w14:paraId="552088D1" w14:textId="3603CA6F" w:rsidR="00A802AC" w:rsidRDefault="00A802AC" w:rsidP="000768A4">
      <w:pPr>
        <w:spacing w:after="0" w:line="360" w:lineRule="auto"/>
        <w:jc w:val="both"/>
        <w:rPr>
          <w:rFonts w:ascii="Arabic Transparent" w:hAnsi="Arabic Transparent" w:cs="Arabic Transparent"/>
          <w:sz w:val="28"/>
          <w:szCs w:val="28"/>
          <w:rtl/>
          <w:lang w:bidi="ar-JO"/>
        </w:rPr>
      </w:pPr>
      <w:r>
        <w:rPr>
          <w:rFonts w:ascii="Arabic Transparent" w:hAnsi="Arabic Transparent" w:cs="Arabic Transparent" w:hint="cs"/>
          <w:sz w:val="28"/>
          <w:szCs w:val="28"/>
          <w:rtl/>
          <w:lang w:bidi="ar-JO"/>
        </w:rPr>
        <w:t>1- عرَّفه الحنفية، بأنَّه: "إثبات الشيء بدليله"</w:t>
      </w:r>
      <w:r w:rsidRPr="00B529EB">
        <w:rPr>
          <w:rFonts w:ascii="Arabic Transparent" w:hAnsi="Arabic Transparent" w:cs="Arabic Transparent" w:hint="cs"/>
          <w:sz w:val="28"/>
          <w:szCs w:val="28"/>
          <w:vertAlign w:val="superscript"/>
          <w:rtl/>
          <w:lang w:bidi="ar-JO"/>
        </w:rPr>
        <w:t>(</w:t>
      </w:r>
      <w:r w:rsidRPr="00B529EB">
        <w:rPr>
          <w:rStyle w:val="FootnoteReference"/>
          <w:rFonts w:ascii="Arabic Transparent" w:hAnsi="Arabic Transparent" w:cs="Arabic Transparent" w:hint="cs"/>
          <w:sz w:val="28"/>
          <w:szCs w:val="28"/>
          <w:rtl/>
          <w:lang w:bidi="ar-JO"/>
        </w:rPr>
        <w:footnoteReference w:id="7"/>
      </w:r>
      <w:r w:rsidRPr="00B529EB">
        <w:rPr>
          <w:rFonts w:ascii="Arabic Transparent" w:hAnsi="Arabic Transparent" w:cs="Arabic Transparent" w:hint="cs"/>
          <w:sz w:val="28"/>
          <w:szCs w:val="28"/>
          <w:vertAlign w:val="superscript"/>
          <w:rtl/>
          <w:lang w:bidi="ar-JO"/>
        </w:rPr>
        <w:t>)</w:t>
      </w:r>
      <w:r w:rsidR="00922845">
        <w:rPr>
          <w:rFonts w:ascii="Arabic Transparent" w:hAnsi="Arabic Transparent" w:cs="Arabic Transparent" w:hint="cs"/>
          <w:sz w:val="28"/>
          <w:szCs w:val="28"/>
          <w:rtl/>
          <w:lang w:bidi="ar-JO"/>
        </w:rPr>
        <w:t xml:space="preserve"> وقيل:</w:t>
      </w:r>
      <w:r w:rsidR="00151AED">
        <w:rPr>
          <w:rFonts w:ascii="Arabic Transparent" w:hAnsi="Arabic Transparent" w:cs="Arabic Transparent" w:hint="cs"/>
          <w:sz w:val="28"/>
          <w:szCs w:val="28"/>
          <w:rtl/>
          <w:lang w:bidi="ar-JO"/>
        </w:rPr>
        <w:t xml:space="preserve"> </w:t>
      </w:r>
      <w:r w:rsidR="00151AED">
        <w:rPr>
          <w:rFonts w:ascii="Arabic Transparent" w:hAnsi="Arabic Transparent" w:cs="Arabic Transparent"/>
          <w:sz w:val="28"/>
          <w:szCs w:val="28"/>
          <w:rtl/>
          <w:lang w:bidi="ar-JO"/>
        </w:rPr>
        <w:t>"</w:t>
      </w:r>
      <w:r w:rsidR="00922845">
        <w:rPr>
          <w:rFonts w:ascii="Arabic Transparent" w:hAnsi="Arabic Transparent" w:cs="Arabic Transparent" w:hint="cs"/>
          <w:rtl/>
        </w:rPr>
        <w:t>إ</w:t>
      </w:r>
      <w:r w:rsidR="00922845" w:rsidRPr="00B529EB">
        <w:rPr>
          <w:rFonts w:ascii="Arabic Transparent" w:hAnsi="Arabic Transparent" w:cs="Arabic Transparent" w:hint="cs"/>
          <w:sz w:val="28"/>
          <w:szCs w:val="28"/>
          <w:rtl/>
          <w:lang w:bidi="ar-JO"/>
        </w:rPr>
        <w:t>ثبات دليل المسألة مطلقا، أو بدليلها"</w:t>
      </w:r>
      <w:r w:rsidR="00922845" w:rsidRPr="00B529EB">
        <w:rPr>
          <w:rFonts w:ascii="Arabic Transparent" w:hAnsi="Arabic Transparent" w:cs="Arabic Transparent" w:hint="cs"/>
          <w:sz w:val="28"/>
          <w:szCs w:val="28"/>
          <w:vertAlign w:val="superscript"/>
          <w:rtl/>
          <w:lang w:bidi="ar-JO"/>
        </w:rPr>
        <w:t>(</w:t>
      </w:r>
      <w:r w:rsidR="00922845" w:rsidRPr="00B529EB">
        <w:rPr>
          <w:rStyle w:val="FootnoteReference"/>
          <w:rFonts w:ascii="Arabic Transparent" w:hAnsi="Arabic Transparent" w:cs="Arabic Transparent" w:hint="cs"/>
          <w:sz w:val="28"/>
          <w:szCs w:val="28"/>
          <w:rtl/>
          <w:lang w:bidi="ar-JO"/>
        </w:rPr>
        <w:footnoteReference w:id="8"/>
      </w:r>
      <w:r w:rsidR="00922845" w:rsidRPr="00B529EB">
        <w:rPr>
          <w:rFonts w:ascii="Arabic Transparent" w:hAnsi="Arabic Transparent" w:cs="Arabic Transparent" w:hint="cs"/>
          <w:sz w:val="28"/>
          <w:szCs w:val="28"/>
          <w:vertAlign w:val="superscript"/>
          <w:rtl/>
          <w:lang w:bidi="ar-JO"/>
        </w:rPr>
        <w:t>)</w:t>
      </w:r>
      <w:r w:rsidR="006A788D">
        <w:rPr>
          <w:rFonts w:ascii="Arabic Transparent" w:hAnsi="Arabic Transparent" w:cs="Arabic Transparent" w:hint="cs"/>
          <w:sz w:val="28"/>
          <w:szCs w:val="28"/>
          <w:rtl/>
          <w:lang w:bidi="ar-JO"/>
        </w:rPr>
        <w:t>.</w:t>
      </w:r>
    </w:p>
    <w:p w14:paraId="691779C2" w14:textId="1988F3F5" w:rsidR="00A802AC" w:rsidRDefault="00A802AC" w:rsidP="000768A4">
      <w:pPr>
        <w:spacing w:after="0" w:line="360" w:lineRule="auto"/>
        <w:jc w:val="both"/>
        <w:rPr>
          <w:rFonts w:ascii="Arabic Transparent" w:hAnsi="Arabic Transparent" w:cs="Arabic Transparent"/>
          <w:sz w:val="28"/>
          <w:szCs w:val="28"/>
          <w:rtl/>
          <w:lang w:bidi="ar-JO"/>
        </w:rPr>
      </w:pPr>
      <w:r>
        <w:rPr>
          <w:rFonts w:ascii="Arabic Transparent" w:hAnsi="Arabic Transparent" w:cs="Arabic Transparent" w:hint="cs"/>
          <w:sz w:val="28"/>
          <w:szCs w:val="28"/>
          <w:rtl/>
          <w:lang w:bidi="ar-JO"/>
        </w:rPr>
        <w:t>2- وعرَّفه المالكية، بأنَّه:</w:t>
      </w:r>
      <w:r w:rsidRPr="00A802AC">
        <w:rPr>
          <w:rFonts w:ascii="Arabic Transparent" w:hAnsi="Arabic Transparent" w:cs="Arabic Transparent" w:hint="cs"/>
          <w:sz w:val="28"/>
          <w:szCs w:val="28"/>
          <w:rtl/>
          <w:lang w:bidi="ar-JO"/>
        </w:rPr>
        <w:t xml:space="preserve"> </w:t>
      </w:r>
      <w:r w:rsidRPr="00B529EB">
        <w:rPr>
          <w:rFonts w:ascii="Arabic Transparent" w:hAnsi="Arabic Transparent" w:cs="Arabic Transparent" w:hint="cs"/>
          <w:sz w:val="28"/>
          <w:szCs w:val="28"/>
          <w:rtl/>
          <w:lang w:bidi="ar-JO"/>
        </w:rPr>
        <w:t>"إثبات الأحكام بأدلتها"</w:t>
      </w:r>
      <w:r w:rsidRPr="00B529EB">
        <w:rPr>
          <w:rFonts w:ascii="Arabic Transparent" w:hAnsi="Arabic Transparent" w:cs="Arabic Transparent" w:hint="cs"/>
          <w:sz w:val="28"/>
          <w:szCs w:val="28"/>
          <w:vertAlign w:val="superscript"/>
          <w:rtl/>
          <w:lang w:bidi="ar-JO"/>
        </w:rPr>
        <w:t>(</w:t>
      </w:r>
      <w:r w:rsidRPr="00B529EB">
        <w:rPr>
          <w:rStyle w:val="FootnoteReference"/>
          <w:rFonts w:ascii="Arabic Transparent" w:hAnsi="Arabic Transparent" w:cs="Arabic Transparent" w:hint="cs"/>
          <w:sz w:val="28"/>
          <w:szCs w:val="28"/>
          <w:rtl/>
          <w:lang w:bidi="ar-JO"/>
        </w:rPr>
        <w:footnoteReference w:id="9"/>
      </w:r>
      <w:r w:rsidRPr="00B529EB">
        <w:rPr>
          <w:rFonts w:ascii="Arabic Transparent" w:hAnsi="Arabic Transparent" w:cs="Arabic Transparent" w:hint="cs"/>
          <w:sz w:val="28"/>
          <w:szCs w:val="28"/>
          <w:vertAlign w:val="superscript"/>
          <w:rtl/>
          <w:lang w:bidi="ar-JO"/>
        </w:rPr>
        <w:t>)</w:t>
      </w:r>
      <w:r w:rsidR="00922845">
        <w:rPr>
          <w:rFonts w:ascii="Arabic Transparent" w:hAnsi="Arabic Transparent" w:cs="Arabic Transparent" w:hint="cs"/>
          <w:sz w:val="28"/>
          <w:szCs w:val="28"/>
          <w:rtl/>
          <w:lang w:bidi="ar-JO"/>
        </w:rPr>
        <w:t xml:space="preserve"> وعرّف أيضاً:</w:t>
      </w:r>
      <w:r w:rsidR="00151AED">
        <w:rPr>
          <w:rFonts w:ascii="Arabic Transparent" w:hAnsi="Arabic Transparent" w:cs="Arabic Transparent" w:hint="cs"/>
          <w:sz w:val="28"/>
          <w:szCs w:val="28"/>
          <w:rtl/>
          <w:lang w:bidi="ar-JO"/>
        </w:rPr>
        <w:t xml:space="preserve"> </w:t>
      </w:r>
      <w:r w:rsidR="00151AED">
        <w:rPr>
          <w:rFonts w:ascii="Arabic Transparent" w:hAnsi="Arabic Transparent" w:cs="Arabic Transparent"/>
          <w:sz w:val="28"/>
          <w:szCs w:val="28"/>
          <w:rtl/>
          <w:lang w:bidi="ar-JO"/>
        </w:rPr>
        <w:t>"</w:t>
      </w:r>
      <w:r w:rsidR="00922845" w:rsidRPr="00B529EB">
        <w:rPr>
          <w:rFonts w:ascii="Arabic Transparent" w:hAnsi="Arabic Transparent" w:cs="Arabic Transparent" w:hint="cs"/>
          <w:sz w:val="28"/>
          <w:szCs w:val="28"/>
          <w:rtl/>
          <w:lang w:bidi="ar-JO"/>
        </w:rPr>
        <w:t>الإتيان بالمسألة على الوجه الحق بأن تكون مطابقة للواقع، وإن لم يذكر لها دليل"</w:t>
      </w:r>
      <w:r w:rsidR="00922845" w:rsidRPr="00B529EB">
        <w:rPr>
          <w:rFonts w:ascii="Arabic Transparent" w:hAnsi="Arabic Transparent" w:cs="Arabic Transparent" w:hint="cs"/>
          <w:sz w:val="28"/>
          <w:szCs w:val="28"/>
          <w:vertAlign w:val="superscript"/>
          <w:rtl/>
          <w:lang w:bidi="ar-JO"/>
        </w:rPr>
        <w:t>(</w:t>
      </w:r>
      <w:r w:rsidR="00922845" w:rsidRPr="00B529EB">
        <w:rPr>
          <w:rStyle w:val="FootnoteReference"/>
          <w:rFonts w:ascii="Arabic Transparent" w:hAnsi="Arabic Transparent" w:cs="Arabic Transparent" w:hint="cs"/>
          <w:sz w:val="28"/>
          <w:szCs w:val="28"/>
          <w:rtl/>
          <w:lang w:bidi="ar-JO"/>
        </w:rPr>
        <w:footnoteReference w:id="10"/>
      </w:r>
      <w:r w:rsidR="00922845" w:rsidRPr="00B529EB">
        <w:rPr>
          <w:rFonts w:ascii="Arabic Transparent" w:hAnsi="Arabic Transparent" w:cs="Arabic Transparent" w:hint="cs"/>
          <w:sz w:val="28"/>
          <w:szCs w:val="28"/>
          <w:vertAlign w:val="superscript"/>
          <w:rtl/>
          <w:lang w:bidi="ar-JO"/>
        </w:rPr>
        <w:t>)</w:t>
      </w:r>
      <w:r w:rsidR="006A788D">
        <w:rPr>
          <w:rFonts w:ascii="Arabic Transparent" w:hAnsi="Arabic Transparent" w:cs="Arabic Transparent" w:hint="cs"/>
          <w:sz w:val="28"/>
          <w:szCs w:val="28"/>
          <w:rtl/>
          <w:lang w:bidi="ar-JO"/>
        </w:rPr>
        <w:t>.</w:t>
      </w:r>
    </w:p>
    <w:p w14:paraId="0EA0C590" w14:textId="3C1F730A" w:rsidR="00922845" w:rsidRDefault="00922845" w:rsidP="00B820CB">
      <w:pPr>
        <w:spacing w:after="0" w:line="360" w:lineRule="auto"/>
        <w:jc w:val="both"/>
        <w:rPr>
          <w:rFonts w:ascii="Arabic Transparent" w:hAnsi="Arabic Transparent" w:cs="Arabic Transparent"/>
          <w:sz w:val="28"/>
          <w:szCs w:val="28"/>
          <w:rtl/>
          <w:lang w:bidi="ar-JO"/>
        </w:rPr>
      </w:pPr>
      <w:r>
        <w:rPr>
          <w:rFonts w:ascii="Arabic Transparent" w:hAnsi="Arabic Transparent" w:cs="Arabic Transparent" w:hint="cs"/>
          <w:sz w:val="28"/>
          <w:szCs w:val="28"/>
          <w:rtl/>
          <w:lang w:bidi="ar-JO"/>
        </w:rPr>
        <w:t>3- وعرَّفه الشافعية، بأنَّه:</w:t>
      </w:r>
      <w:r w:rsidR="00151AED">
        <w:rPr>
          <w:rFonts w:ascii="Arabic Transparent" w:hAnsi="Arabic Transparent" w:cs="Arabic Transparent" w:hint="cs"/>
          <w:sz w:val="28"/>
          <w:szCs w:val="28"/>
          <w:rtl/>
          <w:lang w:bidi="ar-JO"/>
        </w:rPr>
        <w:t xml:space="preserve"> </w:t>
      </w:r>
      <w:r w:rsidR="00151AED">
        <w:rPr>
          <w:rFonts w:ascii="Arabic Transparent" w:hAnsi="Arabic Transparent" w:cs="Arabic Transparent"/>
          <w:sz w:val="28"/>
          <w:szCs w:val="28"/>
          <w:rtl/>
          <w:lang w:bidi="ar-JO"/>
        </w:rPr>
        <w:t>"</w:t>
      </w:r>
      <w:r w:rsidRPr="00B529EB">
        <w:rPr>
          <w:rFonts w:ascii="Arabic Transparent" w:hAnsi="Arabic Transparent" w:cs="Arabic Transparent" w:hint="cs"/>
          <w:sz w:val="28"/>
          <w:szCs w:val="28"/>
          <w:rtl/>
          <w:lang w:bidi="ar-JO"/>
        </w:rPr>
        <w:t>إثبات المسألة بدليلها أو علتها، مع رد قوادحهما"</w:t>
      </w:r>
      <w:r w:rsidRPr="00B529EB">
        <w:rPr>
          <w:rFonts w:ascii="Arabic Transparent" w:hAnsi="Arabic Transparent" w:cs="Arabic Transparent" w:hint="cs"/>
          <w:sz w:val="28"/>
          <w:szCs w:val="28"/>
          <w:vertAlign w:val="superscript"/>
          <w:rtl/>
          <w:lang w:bidi="ar-JO"/>
        </w:rPr>
        <w:t>(</w:t>
      </w:r>
      <w:r w:rsidRPr="00B529EB">
        <w:rPr>
          <w:rStyle w:val="FootnoteReference"/>
          <w:rFonts w:ascii="Arabic Transparent" w:hAnsi="Arabic Transparent" w:cs="Arabic Transparent" w:hint="cs"/>
          <w:sz w:val="28"/>
          <w:szCs w:val="28"/>
          <w:rtl/>
          <w:lang w:bidi="ar-JO"/>
        </w:rPr>
        <w:footnoteReference w:id="11"/>
      </w:r>
      <w:r w:rsidRPr="00B529EB">
        <w:rPr>
          <w:rFonts w:ascii="Arabic Transparent" w:hAnsi="Arabic Transparent" w:cs="Arabic Transparent" w:hint="cs"/>
          <w:sz w:val="28"/>
          <w:szCs w:val="28"/>
          <w:vertAlign w:val="superscript"/>
          <w:rtl/>
          <w:lang w:bidi="ar-JO"/>
        </w:rPr>
        <w:t>)</w:t>
      </w:r>
      <w:r w:rsidR="006A788D">
        <w:rPr>
          <w:rFonts w:ascii="Arabic Transparent" w:hAnsi="Arabic Transparent" w:cs="Arabic Transparent" w:hint="cs"/>
          <w:sz w:val="28"/>
          <w:szCs w:val="28"/>
          <w:rtl/>
          <w:lang w:bidi="ar-JO"/>
        </w:rPr>
        <w:t>.</w:t>
      </w:r>
    </w:p>
    <w:p w14:paraId="7C746F9D" w14:textId="1D8D1E87" w:rsidR="00B74950" w:rsidRDefault="00B820CB" w:rsidP="00C8140B">
      <w:pPr>
        <w:spacing w:after="0" w:line="360" w:lineRule="auto"/>
        <w:jc w:val="both"/>
        <w:rPr>
          <w:rFonts w:ascii="Arabic Transparent" w:hAnsi="Arabic Transparent" w:cs="Arabic Transparent"/>
          <w:sz w:val="28"/>
          <w:szCs w:val="28"/>
          <w:rtl/>
          <w:lang w:bidi="ar-JO"/>
        </w:rPr>
      </w:pPr>
      <w:r>
        <w:rPr>
          <w:rFonts w:ascii="Arabic Transparent" w:hAnsi="Arabic Transparent" w:cs="Arabic Transparent" w:hint="cs"/>
          <w:sz w:val="28"/>
          <w:szCs w:val="28"/>
          <w:rtl/>
          <w:lang w:bidi="ar-JO"/>
        </w:rPr>
        <w:t>4</w:t>
      </w:r>
      <w:r w:rsidR="00BE1366" w:rsidRPr="00B529EB">
        <w:rPr>
          <w:rFonts w:ascii="Arabic Transparent" w:hAnsi="Arabic Transparent" w:cs="Arabic Transparent" w:hint="cs"/>
          <w:sz w:val="28"/>
          <w:szCs w:val="28"/>
          <w:rtl/>
          <w:lang w:bidi="ar-JO"/>
        </w:rPr>
        <w:t xml:space="preserve">- </w:t>
      </w:r>
      <w:r w:rsidR="009365AC">
        <w:rPr>
          <w:rFonts w:ascii="Arabic Transparent" w:hAnsi="Arabic Transparent" w:cs="Arabic Transparent" w:hint="cs"/>
          <w:sz w:val="28"/>
          <w:szCs w:val="28"/>
          <w:rtl/>
          <w:lang w:bidi="ar-JO"/>
        </w:rPr>
        <w:t>وعرفه بعض المعاصرين</w:t>
      </w:r>
      <w:r>
        <w:rPr>
          <w:rFonts w:ascii="Arabic Transparent" w:hAnsi="Arabic Transparent" w:cs="Arabic Transparent" w:hint="cs"/>
          <w:sz w:val="28"/>
          <w:szCs w:val="28"/>
          <w:rtl/>
          <w:lang w:bidi="ar-JO"/>
        </w:rPr>
        <w:t>،</w:t>
      </w:r>
      <w:r w:rsidR="009365AC">
        <w:rPr>
          <w:rFonts w:ascii="Arabic Transparent" w:hAnsi="Arabic Transparent" w:cs="Arabic Transparent" w:hint="cs"/>
          <w:sz w:val="28"/>
          <w:szCs w:val="28"/>
          <w:rtl/>
          <w:lang w:bidi="ar-JO"/>
        </w:rPr>
        <w:t xml:space="preserve"> </w:t>
      </w:r>
      <w:r w:rsidR="00AA3A43" w:rsidRPr="00B529EB">
        <w:rPr>
          <w:rFonts w:ascii="Arabic Transparent" w:hAnsi="Arabic Transparent" w:cs="Arabic Transparent" w:hint="cs"/>
          <w:sz w:val="28"/>
          <w:szCs w:val="28"/>
          <w:rtl/>
          <w:lang w:bidi="ar-JO"/>
        </w:rPr>
        <w:t>بأنّه:</w:t>
      </w:r>
      <w:r w:rsidR="00151AED">
        <w:rPr>
          <w:rFonts w:ascii="Arabic Transparent" w:hAnsi="Arabic Transparent" w:cs="Arabic Transparent" w:hint="cs"/>
          <w:sz w:val="28"/>
          <w:szCs w:val="28"/>
          <w:rtl/>
          <w:lang w:bidi="ar-JO"/>
        </w:rPr>
        <w:t xml:space="preserve"> </w:t>
      </w:r>
      <w:r w:rsidR="00151AED">
        <w:rPr>
          <w:rFonts w:ascii="Arabic Transparent" w:hAnsi="Arabic Transparent" w:cs="Arabic Transparent"/>
          <w:sz w:val="28"/>
          <w:szCs w:val="28"/>
          <w:rtl/>
          <w:lang w:bidi="ar-JO"/>
        </w:rPr>
        <w:t>"</w:t>
      </w:r>
      <w:r w:rsidR="00AA3A43" w:rsidRPr="00B529EB">
        <w:rPr>
          <w:rFonts w:ascii="Arabic Transparent" w:hAnsi="Arabic Transparent" w:cs="Arabic Transparent" w:hint="cs"/>
          <w:sz w:val="28"/>
          <w:szCs w:val="28"/>
          <w:rtl/>
          <w:lang w:bidi="ar-JO"/>
        </w:rPr>
        <w:t>إثبات الشيء بمطابقته للواقع من حيث هو بحسب الإمكان بدليل"</w:t>
      </w:r>
      <w:r w:rsidR="00AA3A43" w:rsidRPr="00B529EB">
        <w:rPr>
          <w:rFonts w:ascii="Arabic Transparent" w:hAnsi="Arabic Transparent" w:cs="Arabic Transparent" w:hint="cs"/>
          <w:sz w:val="28"/>
          <w:szCs w:val="28"/>
          <w:vertAlign w:val="superscript"/>
          <w:rtl/>
          <w:lang w:bidi="ar-JO"/>
        </w:rPr>
        <w:t>(</w:t>
      </w:r>
      <w:r w:rsidR="00AA3A43" w:rsidRPr="00B529EB">
        <w:rPr>
          <w:rStyle w:val="FootnoteReference"/>
          <w:rFonts w:ascii="Arabic Transparent" w:hAnsi="Arabic Transparent" w:cs="Arabic Transparent" w:hint="cs"/>
          <w:sz w:val="28"/>
          <w:szCs w:val="28"/>
          <w:rtl/>
          <w:lang w:bidi="ar-JO"/>
        </w:rPr>
        <w:footnoteReference w:id="12"/>
      </w:r>
      <w:r w:rsidR="00AA3A43" w:rsidRPr="00B529EB">
        <w:rPr>
          <w:rFonts w:ascii="Arabic Transparent" w:hAnsi="Arabic Transparent" w:cs="Arabic Transparent" w:hint="cs"/>
          <w:sz w:val="28"/>
          <w:szCs w:val="28"/>
          <w:vertAlign w:val="superscript"/>
          <w:rtl/>
          <w:lang w:bidi="ar-JO"/>
        </w:rPr>
        <w:t>)</w:t>
      </w:r>
      <w:r w:rsidR="006A788D">
        <w:rPr>
          <w:rFonts w:ascii="Arabic Transparent" w:hAnsi="Arabic Transparent" w:cs="Arabic Transparent" w:hint="cs"/>
          <w:sz w:val="28"/>
          <w:szCs w:val="28"/>
          <w:rtl/>
          <w:lang w:bidi="ar-JO"/>
        </w:rPr>
        <w:t>.</w:t>
      </w:r>
    </w:p>
    <w:p w14:paraId="35EC6E97" w14:textId="6D9A4548" w:rsidR="00321962" w:rsidRPr="00B529EB" w:rsidRDefault="00C8140B" w:rsidP="0080486A">
      <w:pPr>
        <w:spacing w:after="0" w:line="360" w:lineRule="auto"/>
        <w:jc w:val="both"/>
        <w:rPr>
          <w:rFonts w:ascii="Arabic Transparent" w:hAnsi="Arabic Transparent" w:cs="Arabic Transparent"/>
          <w:sz w:val="28"/>
          <w:szCs w:val="28"/>
          <w:rtl/>
          <w:lang w:bidi="ar-JO"/>
        </w:rPr>
      </w:pPr>
      <w:r>
        <w:rPr>
          <w:rFonts w:ascii="Arabic Transparent" w:hAnsi="Arabic Transparent" w:cs="Arabic Transparent" w:hint="cs"/>
          <w:sz w:val="28"/>
          <w:szCs w:val="28"/>
          <w:rtl/>
          <w:lang w:bidi="ar-JO"/>
        </w:rPr>
        <w:t xml:space="preserve">     </w:t>
      </w:r>
      <w:r w:rsidR="00A66791" w:rsidRPr="00B529EB">
        <w:rPr>
          <w:rFonts w:ascii="Arabic Transparent" w:hAnsi="Arabic Transparent" w:cs="Arabic Transparent" w:hint="cs"/>
          <w:sz w:val="28"/>
          <w:szCs w:val="28"/>
          <w:rtl/>
          <w:lang w:bidi="ar-JO"/>
        </w:rPr>
        <w:t xml:space="preserve">ويرد على التعريفات السابقة المناقشة الآتية: </w:t>
      </w:r>
    </w:p>
    <w:p w14:paraId="2A05CBEA" w14:textId="47A6E89B" w:rsidR="00E05FC4" w:rsidRDefault="005D7B91" w:rsidP="00E05FC4">
      <w:pPr>
        <w:spacing w:after="0" w:line="360" w:lineRule="auto"/>
        <w:jc w:val="both"/>
        <w:rPr>
          <w:rFonts w:ascii="Arabic Transparent" w:hAnsi="Arabic Transparent" w:cs="Arabic Transparent"/>
          <w:sz w:val="28"/>
          <w:szCs w:val="28"/>
          <w:rtl/>
          <w:lang w:bidi="ar-JO"/>
        </w:rPr>
      </w:pPr>
      <w:r>
        <w:rPr>
          <w:rFonts w:ascii="Arabic Transparent" w:hAnsi="Arabic Transparent" w:cs="Arabic Transparent" w:hint="cs"/>
          <w:sz w:val="28"/>
          <w:szCs w:val="28"/>
          <w:rtl/>
          <w:lang w:bidi="ar-JO"/>
        </w:rPr>
        <w:t xml:space="preserve">     </w:t>
      </w:r>
      <w:r w:rsidR="006549D9" w:rsidRPr="00B529EB">
        <w:rPr>
          <w:rFonts w:ascii="Arabic Transparent" w:hAnsi="Arabic Transparent" w:cs="Arabic Transparent" w:hint="cs"/>
          <w:sz w:val="28"/>
          <w:szCs w:val="28"/>
          <w:rtl/>
          <w:lang w:bidi="ar-JO"/>
        </w:rPr>
        <w:t>أن جلّ هذه التعريفات بدأت التعريف بالإثبات سواء بالأشياء</w:t>
      </w:r>
      <w:r w:rsidR="00B820CB">
        <w:rPr>
          <w:rFonts w:ascii="Arabic Transparent" w:hAnsi="Arabic Transparent" w:cs="Arabic Transparent" w:hint="cs"/>
          <w:sz w:val="28"/>
          <w:szCs w:val="28"/>
          <w:rtl/>
          <w:lang w:bidi="ar-JO"/>
        </w:rPr>
        <w:t>،</w:t>
      </w:r>
      <w:r w:rsidR="006549D9" w:rsidRPr="00B529EB">
        <w:rPr>
          <w:rFonts w:ascii="Arabic Transparent" w:hAnsi="Arabic Transparent" w:cs="Arabic Transparent" w:hint="cs"/>
          <w:sz w:val="28"/>
          <w:szCs w:val="28"/>
          <w:rtl/>
          <w:lang w:bidi="ar-JO"/>
        </w:rPr>
        <w:t xml:space="preserve"> أو بالأحكام</w:t>
      </w:r>
      <w:r w:rsidR="00B820CB">
        <w:rPr>
          <w:rFonts w:ascii="Arabic Transparent" w:hAnsi="Arabic Transparent" w:cs="Arabic Transparent" w:hint="cs"/>
          <w:sz w:val="28"/>
          <w:szCs w:val="28"/>
          <w:rtl/>
          <w:lang w:bidi="ar-JO"/>
        </w:rPr>
        <w:t>،</w:t>
      </w:r>
      <w:r w:rsidR="006549D9" w:rsidRPr="00B529EB">
        <w:rPr>
          <w:rFonts w:ascii="Arabic Transparent" w:hAnsi="Arabic Transparent" w:cs="Arabic Transparent" w:hint="cs"/>
          <w:sz w:val="28"/>
          <w:szCs w:val="28"/>
          <w:rtl/>
          <w:lang w:bidi="ar-JO"/>
        </w:rPr>
        <w:t xml:space="preserve"> أو بالمسائل</w:t>
      </w:r>
      <w:r w:rsidR="00B820CB">
        <w:rPr>
          <w:rFonts w:ascii="Arabic Transparent" w:hAnsi="Arabic Transparent" w:cs="Arabic Transparent" w:hint="cs"/>
          <w:sz w:val="28"/>
          <w:szCs w:val="28"/>
          <w:rtl/>
          <w:lang w:bidi="ar-JO"/>
        </w:rPr>
        <w:t>،</w:t>
      </w:r>
      <w:r w:rsidR="006549D9" w:rsidRPr="00B529EB">
        <w:rPr>
          <w:rFonts w:ascii="Arabic Transparent" w:hAnsi="Arabic Transparent" w:cs="Arabic Transparent" w:hint="cs"/>
          <w:sz w:val="28"/>
          <w:szCs w:val="28"/>
          <w:rtl/>
          <w:lang w:bidi="ar-JO"/>
        </w:rPr>
        <w:t xml:space="preserve"> أو بالأدلة، وبعضها خصّ التحقيق أن يكون مبنياً على دليل</w:t>
      </w:r>
      <w:r w:rsidR="00B820CB">
        <w:rPr>
          <w:rFonts w:ascii="Arabic Transparent" w:hAnsi="Arabic Transparent" w:cs="Arabic Transparent" w:hint="cs"/>
          <w:sz w:val="28"/>
          <w:szCs w:val="28"/>
          <w:rtl/>
          <w:lang w:bidi="ar-JO"/>
        </w:rPr>
        <w:t>،</w:t>
      </w:r>
      <w:r w:rsidR="006549D9" w:rsidRPr="00B529EB">
        <w:rPr>
          <w:rFonts w:ascii="Arabic Transparent" w:hAnsi="Arabic Transparent" w:cs="Arabic Transparent" w:hint="cs"/>
          <w:sz w:val="28"/>
          <w:szCs w:val="28"/>
          <w:rtl/>
          <w:lang w:bidi="ar-JO"/>
        </w:rPr>
        <w:t xml:space="preserve"> وبعضها لم يشترط ذلك بل جعله مطلقاً، وهناك بعض القيود التي وردت ولم ترد في تعريفات أخرى</w:t>
      </w:r>
      <w:r w:rsidR="00B820CB">
        <w:rPr>
          <w:rFonts w:ascii="Arabic Transparent" w:hAnsi="Arabic Transparent" w:cs="Arabic Transparent" w:hint="cs"/>
          <w:sz w:val="28"/>
          <w:szCs w:val="28"/>
          <w:rtl/>
          <w:lang w:bidi="ar-JO"/>
        </w:rPr>
        <w:t>،</w:t>
      </w:r>
      <w:r w:rsidR="006549D9" w:rsidRPr="00B529EB">
        <w:rPr>
          <w:rFonts w:ascii="Arabic Transparent" w:hAnsi="Arabic Transparent" w:cs="Arabic Transparent" w:hint="cs"/>
          <w:sz w:val="28"/>
          <w:szCs w:val="28"/>
          <w:rtl/>
          <w:lang w:bidi="ar-JO"/>
        </w:rPr>
        <w:t xml:space="preserve"> </w:t>
      </w:r>
      <w:r w:rsidR="00E05FC4">
        <w:rPr>
          <w:rFonts w:ascii="Arabic Transparent" w:hAnsi="Arabic Transparent" w:cs="Arabic Transparent"/>
          <w:sz w:val="28"/>
          <w:szCs w:val="28"/>
          <w:rtl/>
          <w:lang w:bidi="ar-JO"/>
        </w:rPr>
        <w:br w:type="page"/>
      </w:r>
    </w:p>
    <w:p w14:paraId="4A5B5CEA" w14:textId="3E42F6E0" w:rsidR="00E4462B" w:rsidRPr="00B529EB" w:rsidRDefault="006549D9" w:rsidP="0080486A">
      <w:pPr>
        <w:spacing w:after="0" w:line="360" w:lineRule="auto"/>
        <w:jc w:val="both"/>
        <w:rPr>
          <w:rFonts w:ascii="Arabic Transparent" w:hAnsi="Arabic Transparent" w:cs="Arabic Transparent"/>
          <w:sz w:val="28"/>
          <w:szCs w:val="28"/>
          <w:rtl/>
          <w:lang w:bidi="ar-JO"/>
        </w:rPr>
      </w:pPr>
      <w:r w:rsidRPr="00B529EB">
        <w:rPr>
          <w:rFonts w:ascii="Arabic Transparent" w:hAnsi="Arabic Transparent" w:cs="Arabic Transparent" w:hint="cs"/>
          <w:sz w:val="28"/>
          <w:szCs w:val="28"/>
          <w:rtl/>
          <w:lang w:bidi="ar-JO"/>
        </w:rPr>
        <w:t xml:space="preserve">مثل </w:t>
      </w:r>
      <w:r w:rsidR="00B820CB">
        <w:rPr>
          <w:rFonts w:ascii="Arabic Transparent" w:hAnsi="Arabic Transparent" w:cs="Arabic Transparent" w:hint="cs"/>
          <w:sz w:val="28"/>
          <w:szCs w:val="28"/>
          <w:rtl/>
          <w:lang w:bidi="ar-JO"/>
        </w:rPr>
        <w:t xml:space="preserve">تعريف المالكية الثاني، </w:t>
      </w:r>
      <w:r w:rsidRPr="00B529EB">
        <w:rPr>
          <w:rFonts w:ascii="Arabic Transparent" w:hAnsi="Arabic Transparent" w:cs="Arabic Transparent" w:hint="cs"/>
          <w:sz w:val="28"/>
          <w:szCs w:val="28"/>
          <w:rtl/>
          <w:lang w:bidi="ar-JO"/>
        </w:rPr>
        <w:t>لم يُشترط في التحقيق أن تُذكر المسألة مع دليلها، بل يك</w:t>
      </w:r>
      <w:r w:rsidR="00B820CB">
        <w:rPr>
          <w:rFonts w:ascii="Arabic Transparent" w:hAnsi="Arabic Transparent" w:cs="Arabic Transparent" w:hint="cs"/>
          <w:sz w:val="28"/>
          <w:szCs w:val="28"/>
          <w:rtl/>
          <w:lang w:bidi="ar-JO"/>
        </w:rPr>
        <w:t>في</w:t>
      </w:r>
      <w:r w:rsidRPr="00B529EB">
        <w:rPr>
          <w:rFonts w:ascii="Arabic Transparent" w:hAnsi="Arabic Transparent" w:cs="Arabic Transparent" w:hint="cs"/>
          <w:sz w:val="28"/>
          <w:szCs w:val="28"/>
          <w:rtl/>
          <w:lang w:bidi="ar-JO"/>
        </w:rPr>
        <w:t xml:space="preserve"> أن يؤتى بالمسألة مطابقة للواقع، فالعبرة بالمطابقة لا مجرد ذكر الدليل</w:t>
      </w:r>
      <w:r w:rsidR="00AA3A43" w:rsidRPr="00B529EB">
        <w:rPr>
          <w:rFonts w:ascii="Arabic Transparent" w:hAnsi="Arabic Transparent" w:cs="Arabic Transparent" w:hint="cs"/>
          <w:sz w:val="28"/>
          <w:szCs w:val="28"/>
          <w:rtl/>
          <w:lang w:bidi="ar-JO"/>
        </w:rPr>
        <w:t xml:space="preserve">، ويلاحظ على </w:t>
      </w:r>
      <w:r w:rsidR="00B820CB">
        <w:rPr>
          <w:rFonts w:ascii="Arabic Transparent" w:hAnsi="Arabic Transparent" w:cs="Arabic Transparent" w:hint="cs"/>
          <w:sz w:val="28"/>
          <w:szCs w:val="28"/>
          <w:rtl/>
          <w:lang w:bidi="ar-JO"/>
        </w:rPr>
        <w:t>تعريف المعاصرين،</w:t>
      </w:r>
      <w:r w:rsidR="00AA3A43" w:rsidRPr="00B529EB">
        <w:rPr>
          <w:rFonts w:ascii="Arabic Transparent" w:hAnsi="Arabic Transparent" w:cs="Arabic Transparent" w:hint="cs"/>
          <w:sz w:val="28"/>
          <w:szCs w:val="28"/>
          <w:rtl/>
          <w:lang w:bidi="ar-JO"/>
        </w:rPr>
        <w:t xml:space="preserve"> أن</w:t>
      </w:r>
      <w:r w:rsidR="00B820CB">
        <w:rPr>
          <w:rFonts w:ascii="Arabic Transparent" w:hAnsi="Arabic Transparent" w:cs="Arabic Transparent" w:hint="cs"/>
          <w:sz w:val="28"/>
          <w:szCs w:val="28"/>
          <w:rtl/>
          <w:lang w:bidi="ar-JO"/>
        </w:rPr>
        <w:t>َّه</w:t>
      </w:r>
      <w:r w:rsidR="00AA3A43" w:rsidRPr="00B529EB">
        <w:rPr>
          <w:rFonts w:ascii="Arabic Transparent" w:hAnsi="Arabic Transparent" w:cs="Arabic Transparent" w:hint="cs"/>
          <w:sz w:val="28"/>
          <w:szCs w:val="28"/>
          <w:rtl/>
          <w:lang w:bidi="ar-JO"/>
        </w:rPr>
        <w:t xml:space="preserve"> يحتوي على بعض الغموض عندما قال "</w:t>
      </w:r>
      <w:r w:rsidR="00AA3A43" w:rsidRPr="000531CE">
        <w:rPr>
          <w:rFonts w:ascii="Arabic Transparent" w:hAnsi="Arabic Transparent" w:cs="Arabic Transparent" w:hint="cs"/>
          <w:b/>
          <w:bCs/>
          <w:sz w:val="28"/>
          <w:szCs w:val="28"/>
          <w:rtl/>
          <w:lang w:bidi="ar-JO"/>
        </w:rPr>
        <w:t>من حيث هو</w:t>
      </w:r>
      <w:r w:rsidR="00AA3A43" w:rsidRPr="00B529EB">
        <w:rPr>
          <w:rFonts w:ascii="Arabic Transparent" w:hAnsi="Arabic Transparent" w:cs="Arabic Transparent" w:hint="cs"/>
          <w:sz w:val="28"/>
          <w:szCs w:val="28"/>
          <w:rtl/>
          <w:lang w:bidi="ar-JO"/>
        </w:rPr>
        <w:t>"</w:t>
      </w:r>
      <w:r w:rsidR="00B820CB">
        <w:rPr>
          <w:rFonts w:ascii="Arabic Transparent" w:hAnsi="Arabic Transparent" w:cs="Arabic Transparent" w:hint="cs"/>
          <w:sz w:val="28"/>
          <w:szCs w:val="28"/>
          <w:rtl/>
          <w:lang w:bidi="ar-JO"/>
        </w:rPr>
        <w:t>،</w:t>
      </w:r>
      <w:r w:rsidR="00AA3A43" w:rsidRPr="00B529EB">
        <w:rPr>
          <w:rFonts w:ascii="Arabic Transparent" w:hAnsi="Arabic Transparent" w:cs="Arabic Transparent" w:hint="cs"/>
          <w:sz w:val="28"/>
          <w:szCs w:val="28"/>
          <w:rtl/>
          <w:lang w:bidi="ar-JO"/>
        </w:rPr>
        <w:t xml:space="preserve"> ويمكن أن ي</w:t>
      </w:r>
      <w:r w:rsidR="00B820CB">
        <w:rPr>
          <w:rFonts w:ascii="Arabic Transparent" w:hAnsi="Arabic Transparent" w:cs="Arabic Transparent" w:hint="cs"/>
          <w:sz w:val="28"/>
          <w:szCs w:val="28"/>
          <w:rtl/>
          <w:lang w:bidi="ar-JO"/>
        </w:rPr>
        <w:t>ُ</w:t>
      </w:r>
      <w:r w:rsidR="00AA3A43" w:rsidRPr="00B529EB">
        <w:rPr>
          <w:rFonts w:ascii="Arabic Transparent" w:hAnsi="Arabic Transparent" w:cs="Arabic Transparent" w:hint="cs"/>
          <w:sz w:val="28"/>
          <w:szCs w:val="28"/>
          <w:rtl/>
          <w:lang w:bidi="ar-JO"/>
        </w:rPr>
        <w:t>جل</w:t>
      </w:r>
      <w:r w:rsidR="00B820CB">
        <w:rPr>
          <w:rFonts w:ascii="Arabic Transparent" w:hAnsi="Arabic Transparent" w:cs="Arabic Transparent" w:hint="cs"/>
          <w:sz w:val="28"/>
          <w:szCs w:val="28"/>
          <w:rtl/>
          <w:lang w:bidi="ar-JO"/>
        </w:rPr>
        <w:t>ى</w:t>
      </w:r>
      <w:r w:rsidR="00AA3A43" w:rsidRPr="00B529EB">
        <w:rPr>
          <w:rFonts w:ascii="Arabic Transparent" w:hAnsi="Arabic Transparent" w:cs="Arabic Transparent" w:hint="cs"/>
          <w:sz w:val="28"/>
          <w:szCs w:val="28"/>
          <w:rtl/>
          <w:lang w:bidi="ar-JO"/>
        </w:rPr>
        <w:t xml:space="preserve"> بعبارة أوضح</w:t>
      </w:r>
      <w:r w:rsidR="00333540" w:rsidRPr="00B529EB">
        <w:rPr>
          <w:rFonts w:ascii="Arabic Transparent" w:hAnsi="Arabic Transparent" w:cs="Arabic Transparent" w:hint="cs"/>
          <w:sz w:val="28"/>
          <w:szCs w:val="28"/>
          <w:rtl/>
          <w:lang w:bidi="ar-JO"/>
        </w:rPr>
        <w:t xml:space="preserve"> من</w:t>
      </w:r>
      <w:r w:rsidR="00B820CB">
        <w:rPr>
          <w:rFonts w:ascii="Arabic Transparent" w:hAnsi="Arabic Transparent" w:cs="Arabic Transparent" w:hint="cs"/>
          <w:sz w:val="28"/>
          <w:szCs w:val="28"/>
          <w:rtl/>
          <w:lang w:bidi="ar-JO"/>
        </w:rPr>
        <w:t xml:space="preserve"> خلال</w:t>
      </w:r>
      <w:r w:rsidR="00333540" w:rsidRPr="00B529EB">
        <w:rPr>
          <w:rFonts w:ascii="Arabic Transparent" w:hAnsi="Arabic Transparent" w:cs="Arabic Transparent" w:hint="cs"/>
          <w:sz w:val="28"/>
          <w:szCs w:val="28"/>
          <w:rtl/>
          <w:lang w:bidi="ar-JO"/>
        </w:rPr>
        <w:t xml:space="preserve"> الإشارة إلى كونه</w:t>
      </w:r>
      <w:r w:rsidR="00B820CB">
        <w:rPr>
          <w:rFonts w:ascii="Arabic Transparent" w:hAnsi="Arabic Transparent" w:cs="Arabic Transparent" w:hint="cs"/>
          <w:sz w:val="28"/>
          <w:szCs w:val="28"/>
          <w:rtl/>
          <w:lang w:bidi="ar-JO"/>
        </w:rPr>
        <w:t xml:space="preserve"> </w:t>
      </w:r>
      <w:r w:rsidR="00333540" w:rsidRPr="00B529EB">
        <w:rPr>
          <w:rFonts w:ascii="Arabic Transparent" w:hAnsi="Arabic Transparent" w:cs="Arabic Transparent" w:hint="cs"/>
          <w:sz w:val="28"/>
          <w:szCs w:val="28"/>
          <w:rtl/>
          <w:lang w:bidi="ar-JO"/>
        </w:rPr>
        <w:t>إثبات المسألة بدليل يُرجّح مطابقتها للواقع بحسب القدرة والاستطاعة.</w:t>
      </w:r>
    </w:p>
    <w:p w14:paraId="2E08507B" w14:textId="1FFB9473" w:rsidR="00A66791" w:rsidRPr="00B529EB" w:rsidRDefault="005D7B91" w:rsidP="00333540">
      <w:pPr>
        <w:spacing w:after="0" w:line="360" w:lineRule="auto"/>
        <w:jc w:val="both"/>
        <w:rPr>
          <w:rFonts w:ascii="Arabic Transparent" w:hAnsi="Arabic Transparent" w:cs="Arabic Transparent"/>
          <w:sz w:val="28"/>
          <w:szCs w:val="28"/>
          <w:rtl/>
          <w:lang w:bidi="ar-JO"/>
        </w:rPr>
      </w:pPr>
      <w:r>
        <w:rPr>
          <w:rFonts w:ascii="Arabic Transparent" w:hAnsi="Arabic Transparent" w:cs="Arabic Transparent" w:hint="cs"/>
          <w:sz w:val="28"/>
          <w:szCs w:val="28"/>
          <w:rtl/>
          <w:lang w:bidi="ar-JO"/>
        </w:rPr>
        <w:t xml:space="preserve">     </w:t>
      </w:r>
      <w:r w:rsidR="006549D9" w:rsidRPr="00B529EB">
        <w:rPr>
          <w:rFonts w:ascii="Arabic Transparent" w:hAnsi="Arabic Transparent" w:cs="Arabic Transparent" w:hint="cs"/>
          <w:sz w:val="28"/>
          <w:szCs w:val="28"/>
          <w:rtl/>
          <w:lang w:bidi="ar-JO"/>
        </w:rPr>
        <w:t>و</w:t>
      </w:r>
      <w:r w:rsidR="00B820CB">
        <w:rPr>
          <w:rFonts w:ascii="Arabic Transparent" w:hAnsi="Arabic Transparent" w:cs="Arabic Transparent" w:hint="cs"/>
          <w:sz w:val="28"/>
          <w:szCs w:val="28"/>
          <w:rtl/>
          <w:lang w:bidi="ar-JO"/>
        </w:rPr>
        <w:t>بعد العرض والمناقشة لتعريف التحقيق اصطلاحاً، توصّل الباحث إلى تعريف</w:t>
      </w:r>
      <w:r w:rsidR="0015169C">
        <w:rPr>
          <w:rFonts w:ascii="Arabic Transparent" w:hAnsi="Arabic Transparent" w:cs="Arabic Transparent" w:hint="cs"/>
          <w:sz w:val="28"/>
          <w:szCs w:val="28"/>
          <w:rtl/>
          <w:lang w:bidi="ar-JO"/>
        </w:rPr>
        <w:t xml:space="preserve"> مناسب</w:t>
      </w:r>
      <w:r w:rsidR="006549D9" w:rsidRPr="00B529EB">
        <w:rPr>
          <w:rFonts w:ascii="Arabic Transparent" w:hAnsi="Arabic Transparent" w:cs="Arabic Transparent" w:hint="cs"/>
          <w:sz w:val="28"/>
          <w:szCs w:val="28"/>
          <w:rtl/>
          <w:lang w:bidi="ar-JO"/>
        </w:rPr>
        <w:t xml:space="preserve"> لموضوع</w:t>
      </w:r>
      <w:r w:rsidR="00B820CB">
        <w:rPr>
          <w:rFonts w:ascii="Arabic Transparent" w:hAnsi="Arabic Transparent" w:cs="Arabic Transparent" w:hint="cs"/>
          <w:sz w:val="28"/>
          <w:szCs w:val="28"/>
          <w:rtl/>
          <w:lang w:bidi="ar-JO"/>
        </w:rPr>
        <w:t xml:space="preserve"> الدراسة</w:t>
      </w:r>
      <w:r w:rsidR="007A5DA3">
        <w:rPr>
          <w:rFonts w:ascii="Arabic Transparent" w:hAnsi="Arabic Transparent" w:cs="Arabic Transparent" w:hint="cs"/>
          <w:sz w:val="28"/>
          <w:szCs w:val="28"/>
          <w:rtl/>
          <w:lang w:bidi="ar-JO"/>
        </w:rPr>
        <w:t>،</w:t>
      </w:r>
      <w:r w:rsidR="00B820CB">
        <w:rPr>
          <w:rFonts w:ascii="Arabic Transparent" w:hAnsi="Arabic Transparent" w:cs="Arabic Transparent" w:hint="cs"/>
          <w:sz w:val="28"/>
          <w:szCs w:val="28"/>
          <w:rtl/>
          <w:lang w:bidi="ar-JO"/>
        </w:rPr>
        <w:t xml:space="preserve"> وهو</w:t>
      </w:r>
      <w:r w:rsidR="00BE1366" w:rsidRPr="00B529EB">
        <w:rPr>
          <w:rFonts w:ascii="Arabic Transparent" w:hAnsi="Arabic Transparent" w:cs="Arabic Transparent" w:hint="cs"/>
          <w:sz w:val="28"/>
          <w:szCs w:val="28"/>
          <w:rtl/>
          <w:lang w:bidi="ar-JO"/>
        </w:rPr>
        <w:t xml:space="preserve">: </w:t>
      </w:r>
      <w:r w:rsidR="00333540" w:rsidRPr="00B529EB">
        <w:rPr>
          <w:rFonts w:ascii="Arabic Transparent" w:hAnsi="Arabic Transparent" w:cs="Arabic Transparent" w:hint="cs"/>
          <w:sz w:val="28"/>
          <w:szCs w:val="28"/>
          <w:rtl/>
          <w:lang w:bidi="ar-JO"/>
        </w:rPr>
        <w:t>إثبات الشيء بدليل يُظهر مطابقته للواقع بحسب الإمكان.</w:t>
      </w:r>
    </w:p>
    <w:p w14:paraId="10043F80" w14:textId="7AADD30D" w:rsidR="00333540" w:rsidRPr="00B529EB" w:rsidRDefault="002978DA" w:rsidP="00333540">
      <w:pPr>
        <w:spacing w:after="0" w:line="360" w:lineRule="auto"/>
        <w:jc w:val="both"/>
        <w:rPr>
          <w:rFonts w:ascii="Arabic Transparent" w:hAnsi="Arabic Transparent" w:cs="Arabic Transparent"/>
          <w:sz w:val="28"/>
          <w:szCs w:val="28"/>
          <w:rtl/>
          <w:lang w:bidi="ar-JO"/>
        </w:rPr>
      </w:pPr>
      <w:r>
        <w:rPr>
          <w:rFonts w:ascii="Arabic Transparent" w:hAnsi="Arabic Transparent" w:cs="Arabic Transparent" w:hint="cs"/>
          <w:sz w:val="28"/>
          <w:szCs w:val="28"/>
          <w:rtl/>
          <w:lang w:bidi="ar-JO"/>
        </w:rPr>
        <w:t xml:space="preserve">     ويمكن </w:t>
      </w:r>
      <w:r w:rsidR="00333540" w:rsidRPr="00B529EB">
        <w:rPr>
          <w:rFonts w:ascii="Arabic Transparent" w:hAnsi="Arabic Transparent" w:cs="Arabic Transparent" w:hint="cs"/>
          <w:sz w:val="28"/>
          <w:szCs w:val="28"/>
          <w:rtl/>
          <w:lang w:bidi="ar-JO"/>
        </w:rPr>
        <w:t>شرح عناصر التعريف المختار</w:t>
      </w:r>
      <w:r>
        <w:rPr>
          <w:rFonts w:ascii="Arabic Transparent" w:hAnsi="Arabic Transparent" w:cs="Arabic Transparent" w:hint="cs"/>
          <w:sz w:val="28"/>
          <w:szCs w:val="28"/>
          <w:rtl/>
          <w:lang w:bidi="ar-JO"/>
        </w:rPr>
        <w:t>، بما يأتي</w:t>
      </w:r>
      <w:r w:rsidR="00333540" w:rsidRPr="00B529EB">
        <w:rPr>
          <w:rFonts w:ascii="Arabic Transparent" w:hAnsi="Arabic Transparent" w:cs="Arabic Transparent" w:hint="cs"/>
          <w:sz w:val="28"/>
          <w:szCs w:val="28"/>
          <w:rtl/>
          <w:lang w:bidi="ar-JO"/>
        </w:rPr>
        <w:t xml:space="preserve">: </w:t>
      </w:r>
    </w:p>
    <w:p w14:paraId="0E04C98D" w14:textId="7E8CB5A2" w:rsidR="00333540" w:rsidRPr="00B529EB" w:rsidRDefault="00333540" w:rsidP="00333540">
      <w:pPr>
        <w:spacing w:after="0" w:line="360" w:lineRule="auto"/>
        <w:jc w:val="both"/>
        <w:rPr>
          <w:rFonts w:ascii="Arabic Transparent" w:hAnsi="Arabic Transparent" w:cs="Arabic Transparent"/>
          <w:sz w:val="28"/>
          <w:szCs w:val="28"/>
          <w:rtl/>
          <w:lang w:bidi="ar-JO"/>
        </w:rPr>
      </w:pPr>
      <w:r w:rsidRPr="00B529EB">
        <w:rPr>
          <w:rFonts w:ascii="Arabic Transparent" w:hAnsi="Arabic Transparent" w:cs="Arabic Transparent" w:hint="cs"/>
          <w:sz w:val="28"/>
          <w:szCs w:val="28"/>
          <w:rtl/>
          <w:lang w:bidi="ar-JO"/>
        </w:rPr>
        <w:t>"</w:t>
      </w:r>
      <w:r w:rsidRPr="000531CE">
        <w:rPr>
          <w:rFonts w:ascii="Arabic Transparent" w:hAnsi="Arabic Transparent" w:cs="Arabic Transparent" w:hint="cs"/>
          <w:b/>
          <w:bCs/>
          <w:sz w:val="28"/>
          <w:szCs w:val="28"/>
          <w:rtl/>
          <w:lang w:bidi="ar-JO"/>
        </w:rPr>
        <w:t>إثبات الشيء</w:t>
      </w:r>
      <w:r w:rsidRPr="00B529EB">
        <w:rPr>
          <w:rFonts w:ascii="Arabic Transparent" w:hAnsi="Arabic Transparent" w:cs="Arabic Transparent" w:hint="cs"/>
          <w:sz w:val="28"/>
          <w:szCs w:val="28"/>
          <w:rtl/>
          <w:lang w:bidi="ar-JO"/>
        </w:rPr>
        <w:t>" الإثبات من الثبوت</w:t>
      </w:r>
      <w:r w:rsidR="007A5DA3">
        <w:rPr>
          <w:rFonts w:ascii="Arabic Transparent" w:hAnsi="Arabic Transparent" w:cs="Arabic Transparent" w:hint="cs"/>
          <w:sz w:val="28"/>
          <w:szCs w:val="28"/>
          <w:rtl/>
          <w:lang w:bidi="ar-JO"/>
        </w:rPr>
        <w:t>،</w:t>
      </w:r>
      <w:r w:rsidRPr="00B529EB">
        <w:rPr>
          <w:rFonts w:ascii="Arabic Transparent" w:hAnsi="Arabic Transparent" w:cs="Arabic Transparent" w:hint="cs"/>
          <w:sz w:val="28"/>
          <w:szCs w:val="28"/>
          <w:rtl/>
          <w:lang w:bidi="ar-JO"/>
        </w:rPr>
        <w:t xml:space="preserve"> وفيه معنى دوام الشيء على حالة مستقرة لا تغيّر فيها</w:t>
      </w:r>
      <w:r w:rsidRPr="00B529EB">
        <w:rPr>
          <w:rFonts w:ascii="Arabic Transparent" w:hAnsi="Arabic Transparent" w:cs="Arabic Transparent" w:hint="cs"/>
          <w:sz w:val="28"/>
          <w:szCs w:val="28"/>
          <w:vertAlign w:val="superscript"/>
          <w:rtl/>
          <w:lang w:bidi="ar-JO"/>
        </w:rPr>
        <w:t>(</w:t>
      </w:r>
      <w:r w:rsidRPr="00B529EB">
        <w:rPr>
          <w:rStyle w:val="FootnoteReference"/>
          <w:rFonts w:ascii="Arabic Transparent" w:hAnsi="Arabic Transparent" w:cs="Arabic Transparent" w:hint="cs"/>
          <w:sz w:val="28"/>
          <w:szCs w:val="28"/>
          <w:rtl/>
          <w:lang w:bidi="ar-JO"/>
        </w:rPr>
        <w:footnoteReference w:id="13"/>
      </w:r>
      <w:r w:rsidR="005944F3" w:rsidRPr="00B529EB">
        <w:rPr>
          <w:rFonts w:ascii="Arabic Transparent" w:hAnsi="Arabic Transparent" w:cs="Arabic Transparent" w:hint="cs"/>
          <w:sz w:val="28"/>
          <w:szCs w:val="28"/>
          <w:vertAlign w:val="superscript"/>
          <w:rtl/>
          <w:lang w:bidi="ar-JO"/>
        </w:rPr>
        <w:t>)</w:t>
      </w:r>
      <w:r w:rsidR="005944F3" w:rsidRPr="00B529EB">
        <w:rPr>
          <w:rFonts w:ascii="Arabic Transparent" w:hAnsi="Arabic Transparent" w:cs="Arabic Transparent" w:hint="cs"/>
          <w:sz w:val="28"/>
          <w:szCs w:val="28"/>
          <w:rtl/>
          <w:lang w:bidi="ar-JO"/>
        </w:rPr>
        <w:t>،</w:t>
      </w:r>
      <w:r w:rsidRPr="00B529EB">
        <w:rPr>
          <w:rFonts w:ascii="Arabic Transparent" w:hAnsi="Arabic Transparent" w:cs="Arabic Transparent" w:hint="cs"/>
          <w:sz w:val="28"/>
          <w:szCs w:val="28"/>
          <w:rtl/>
          <w:lang w:bidi="ar-JO"/>
        </w:rPr>
        <w:t xml:space="preserve"> </w:t>
      </w:r>
      <w:r w:rsidR="00F9595F" w:rsidRPr="00B529EB">
        <w:rPr>
          <w:rFonts w:ascii="Arabic Transparent" w:hAnsi="Arabic Transparent" w:cs="Arabic Transparent" w:hint="cs"/>
          <w:sz w:val="28"/>
          <w:szCs w:val="28"/>
          <w:rtl/>
          <w:lang w:bidi="ar-JO"/>
        </w:rPr>
        <w:t xml:space="preserve">والشيء هو </w:t>
      </w:r>
      <w:r w:rsidR="00552489">
        <w:rPr>
          <w:rFonts w:ascii="Arabic Transparent" w:hAnsi="Arabic Transparent" w:cs="Arabic Transparent" w:hint="cs"/>
          <w:sz w:val="28"/>
          <w:szCs w:val="28"/>
          <w:rtl/>
          <w:lang w:bidi="ar-JO"/>
        </w:rPr>
        <w:t>"</w:t>
      </w:r>
      <w:r w:rsidR="00F9595F" w:rsidRPr="00B529EB">
        <w:rPr>
          <w:rFonts w:ascii="Arabic Transparent" w:hAnsi="Arabic Transparent" w:cs="Arabic Transparent" w:hint="cs"/>
          <w:sz w:val="28"/>
          <w:szCs w:val="28"/>
          <w:rtl/>
          <w:lang w:bidi="ar-JO"/>
        </w:rPr>
        <w:t xml:space="preserve">كل موجود ثابت متقرر في الخارج، </w:t>
      </w:r>
      <w:r w:rsidR="0057584B" w:rsidRPr="00B529EB">
        <w:rPr>
          <w:rFonts w:ascii="Arabic Transparent" w:hAnsi="Arabic Transparent" w:cs="Arabic Transparent" w:hint="cs"/>
          <w:sz w:val="28"/>
          <w:szCs w:val="28"/>
          <w:rtl/>
          <w:lang w:bidi="ar-JO"/>
        </w:rPr>
        <w:t>ولم يقال المسألة طلباً للعموم</w:t>
      </w:r>
      <w:r w:rsidR="007A5DA3">
        <w:rPr>
          <w:rFonts w:ascii="Arabic Transparent" w:hAnsi="Arabic Transparent" w:cs="Arabic Transparent" w:hint="cs"/>
          <w:sz w:val="28"/>
          <w:szCs w:val="28"/>
          <w:rtl/>
          <w:lang w:bidi="ar-JO"/>
        </w:rPr>
        <w:t>،</w:t>
      </w:r>
      <w:r w:rsidR="0057584B" w:rsidRPr="00B529EB">
        <w:rPr>
          <w:rFonts w:ascii="Arabic Transparent" w:hAnsi="Arabic Transparent" w:cs="Arabic Transparent" w:hint="cs"/>
          <w:sz w:val="28"/>
          <w:szCs w:val="28"/>
          <w:rtl/>
          <w:lang w:bidi="ar-JO"/>
        </w:rPr>
        <w:t xml:space="preserve"> فإن</w:t>
      </w:r>
      <w:r w:rsidR="007A5DA3">
        <w:rPr>
          <w:rFonts w:ascii="Arabic Transparent" w:hAnsi="Arabic Transparent" w:cs="Arabic Transparent" w:hint="cs"/>
          <w:sz w:val="28"/>
          <w:szCs w:val="28"/>
          <w:rtl/>
          <w:lang w:bidi="ar-JO"/>
        </w:rPr>
        <w:t>َّ</w:t>
      </w:r>
      <w:r w:rsidR="0057584B" w:rsidRPr="00B529EB">
        <w:rPr>
          <w:rFonts w:ascii="Arabic Transparent" w:hAnsi="Arabic Transparent" w:cs="Arabic Transparent" w:hint="cs"/>
          <w:sz w:val="28"/>
          <w:szCs w:val="28"/>
          <w:rtl/>
          <w:lang w:bidi="ar-JO"/>
        </w:rPr>
        <w:t xml:space="preserve"> الشيء يحتمل كل موجود ويخرج بهذا القيد كل معدوم</w:t>
      </w:r>
      <w:r w:rsidR="00552489">
        <w:rPr>
          <w:rFonts w:ascii="Arabic Transparent" w:hAnsi="Arabic Transparent" w:cs="Arabic Transparent" w:hint="cs"/>
          <w:sz w:val="28"/>
          <w:szCs w:val="28"/>
          <w:rtl/>
          <w:lang w:bidi="ar-JO"/>
        </w:rPr>
        <w:t>"</w:t>
      </w:r>
      <w:r w:rsidR="0057584B" w:rsidRPr="00B529EB">
        <w:rPr>
          <w:rFonts w:ascii="Arabic Transparent" w:hAnsi="Arabic Transparent" w:cs="Arabic Transparent" w:hint="cs"/>
          <w:sz w:val="28"/>
          <w:szCs w:val="28"/>
          <w:vertAlign w:val="superscript"/>
          <w:rtl/>
          <w:lang w:bidi="ar-JO"/>
        </w:rPr>
        <w:t>(</w:t>
      </w:r>
      <w:r w:rsidR="0057584B" w:rsidRPr="00B529EB">
        <w:rPr>
          <w:rStyle w:val="FootnoteReference"/>
          <w:rFonts w:ascii="Arabic Transparent" w:hAnsi="Arabic Transparent" w:cs="Arabic Transparent" w:hint="cs"/>
          <w:sz w:val="28"/>
          <w:szCs w:val="28"/>
          <w:rtl/>
          <w:lang w:bidi="ar-JO"/>
        </w:rPr>
        <w:footnoteReference w:id="14"/>
      </w:r>
      <w:r w:rsidR="0057584B" w:rsidRPr="00B529EB">
        <w:rPr>
          <w:rFonts w:ascii="Arabic Transparent" w:hAnsi="Arabic Transparent" w:cs="Arabic Transparent" w:hint="cs"/>
          <w:sz w:val="28"/>
          <w:szCs w:val="28"/>
          <w:vertAlign w:val="superscript"/>
          <w:rtl/>
          <w:lang w:bidi="ar-JO"/>
        </w:rPr>
        <w:t>)</w:t>
      </w:r>
      <w:r w:rsidR="0057584B" w:rsidRPr="00B529EB">
        <w:rPr>
          <w:rFonts w:ascii="Arabic Transparent" w:hAnsi="Arabic Transparent" w:cs="Arabic Transparent" w:hint="cs"/>
          <w:sz w:val="28"/>
          <w:szCs w:val="28"/>
          <w:rtl/>
          <w:lang w:bidi="ar-JO"/>
        </w:rPr>
        <w:t>.</w:t>
      </w:r>
    </w:p>
    <w:p w14:paraId="4D2CF4DB" w14:textId="598F77BC" w:rsidR="00B74950" w:rsidRDefault="0057584B" w:rsidP="004E27B5">
      <w:pPr>
        <w:spacing w:after="0" w:line="360" w:lineRule="auto"/>
        <w:jc w:val="both"/>
        <w:rPr>
          <w:rFonts w:ascii="Arabic Transparent" w:hAnsi="Arabic Transparent" w:cs="Arabic Transparent"/>
          <w:sz w:val="28"/>
          <w:szCs w:val="28"/>
          <w:rtl/>
          <w:lang w:bidi="ar-JO"/>
        </w:rPr>
      </w:pPr>
      <w:r w:rsidRPr="00B529EB">
        <w:rPr>
          <w:rFonts w:ascii="Arabic Transparent" w:hAnsi="Arabic Transparent" w:cs="Arabic Transparent" w:hint="cs"/>
          <w:sz w:val="28"/>
          <w:szCs w:val="28"/>
          <w:rtl/>
          <w:lang w:bidi="ar-JO"/>
        </w:rPr>
        <w:t>"</w:t>
      </w:r>
      <w:r w:rsidRPr="000531CE">
        <w:rPr>
          <w:rFonts w:ascii="Arabic Transparent" w:hAnsi="Arabic Transparent" w:cs="Arabic Transparent" w:hint="cs"/>
          <w:b/>
          <w:bCs/>
          <w:sz w:val="28"/>
          <w:szCs w:val="28"/>
          <w:rtl/>
          <w:lang w:bidi="ar-JO"/>
        </w:rPr>
        <w:t>بدليل</w:t>
      </w:r>
      <w:r w:rsidRPr="00B529EB">
        <w:rPr>
          <w:rFonts w:ascii="Arabic Transparent" w:hAnsi="Arabic Transparent" w:cs="Arabic Transparent" w:hint="cs"/>
          <w:sz w:val="28"/>
          <w:szCs w:val="28"/>
          <w:rtl/>
          <w:lang w:bidi="ar-JO"/>
        </w:rPr>
        <w:t xml:space="preserve">": </w:t>
      </w:r>
      <w:r w:rsidR="00DF2979">
        <w:rPr>
          <w:rFonts w:ascii="Arabic Transparent" w:hAnsi="Arabic Transparent" w:cs="Arabic Transparent" w:hint="cs"/>
          <w:sz w:val="28"/>
          <w:szCs w:val="28"/>
          <w:rtl/>
          <w:lang w:bidi="ar-JO"/>
        </w:rPr>
        <w:t>حيث إنَّ</w:t>
      </w:r>
      <w:r w:rsidRPr="00B529EB">
        <w:rPr>
          <w:rFonts w:ascii="Arabic Transparent" w:hAnsi="Arabic Transparent" w:cs="Arabic Transparent" w:hint="cs"/>
          <w:sz w:val="28"/>
          <w:szCs w:val="28"/>
          <w:rtl/>
          <w:lang w:bidi="ar-JO"/>
        </w:rPr>
        <w:t xml:space="preserve"> المعتبر في التحقيق</w:t>
      </w:r>
      <w:r w:rsidR="007A5DA3">
        <w:rPr>
          <w:rFonts w:ascii="Arabic Transparent" w:hAnsi="Arabic Transparent" w:cs="Arabic Transparent" w:hint="cs"/>
          <w:sz w:val="28"/>
          <w:szCs w:val="28"/>
          <w:rtl/>
          <w:lang w:bidi="ar-JO"/>
        </w:rPr>
        <w:t>،</w:t>
      </w:r>
      <w:r w:rsidRPr="00B529EB">
        <w:rPr>
          <w:rFonts w:ascii="Arabic Transparent" w:hAnsi="Arabic Transparent" w:cs="Arabic Transparent" w:hint="cs"/>
          <w:sz w:val="28"/>
          <w:szCs w:val="28"/>
          <w:rtl/>
          <w:lang w:bidi="ar-JO"/>
        </w:rPr>
        <w:t xml:space="preserve"> هو ثبوت الشيء ومطابقته للواقع من خلال الدليل</w:t>
      </w:r>
      <w:r w:rsidR="007A5DA3">
        <w:rPr>
          <w:rFonts w:ascii="Arabic Transparent" w:hAnsi="Arabic Transparent" w:cs="Arabic Transparent" w:hint="cs"/>
          <w:sz w:val="28"/>
          <w:szCs w:val="28"/>
          <w:rtl/>
          <w:lang w:bidi="ar-JO"/>
        </w:rPr>
        <w:t>،</w:t>
      </w:r>
      <w:r w:rsidRPr="00B529EB">
        <w:rPr>
          <w:rFonts w:ascii="Arabic Transparent" w:hAnsi="Arabic Transparent" w:cs="Arabic Transparent" w:hint="cs"/>
          <w:sz w:val="28"/>
          <w:szCs w:val="28"/>
          <w:rtl/>
          <w:lang w:bidi="ar-JO"/>
        </w:rPr>
        <w:t xml:space="preserve"> والبرهان الثابت</w:t>
      </w:r>
      <w:r w:rsidR="007A5DA3">
        <w:rPr>
          <w:rFonts w:ascii="Arabic Transparent" w:hAnsi="Arabic Transparent" w:cs="Arabic Transparent" w:hint="cs"/>
          <w:sz w:val="28"/>
          <w:szCs w:val="28"/>
          <w:rtl/>
          <w:lang w:bidi="ar-JO"/>
        </w:rPr>
        <w:t>،</w:t>
      </w:r>
      <w:r w:rsidRPr="00B529EB">
        <w:rPr>
          <w:rFonts w:ascii="Arabic Transparent" w:hAnsi="Arabic Transparent" w:cs="Arabic Transparent" w:hint="cs"/>
          <w:sz w:val="28"/>
          <w:szCs w:val="28"/>
          <w:rtl/>
          <w:lang w:bidi="ar-JO"/>
        </w:rPr>
        <w:t xml:space="preserve"> وليس المقصود ذكر </w:t>
      </w:r>
      <w:r w:rsidR="005944F3" w:rsidRPr="00B529EB">
        <w:rPr>
          <w:rFonts w:ascii="Arabic Transparent" w:hAnsi="Arabic Transparent" w:cs="Arabic Transparent" w:hint="cs"/>
          <w:sz w:val="28"/>
          <w:szCs w:val="28"/>
          <w:rtl/>
          <w:lang w:bidi="ar-JO"/>
        </w:rPr>
        <w:t>الدليل</w:t>
      </w:r>
      <w:r w:rsidR="005944F3" w:rsidRPr="00B529EB">
        <w:rPr>
          <w:rFonts w:ascii="Arabic Transparent" w:hAnsi="Arabic Transparent" w:cs="Arabic Transparent" w:hint="eastAsia"/>
          <w:sz w:val="28"/>
          <w:szCs w:val="28"/>
          <w:rtl/>
          <w:lang w:bidi="ar-JO"/>
        </w:rPr>
        <w:t>،</w:t>
      </w:r>
      <w:r w:rsidRPr="00B529EB">
        <w:rPr>
          <w:rFonts w:ascii="Arabic Transparent" w:hAnsi="Arabic Transparent" w:cs="Arabic Transparent" w:hint="cs"/>
          <w:sz w:val="28"/>
          <w:szCs w:val="28"/>
          <w:rtl/>
          <w:lang w:bidi="ar-JO"/>
        </w:rPr>
        <w:t xml:space="preserve"> بل ثبوته كما قال ابن عابدين</w:t>
      </w:r>
      <w:r w:rsidR="005944F3" w:rsidRPr="00B529EB">
        <w:rPr>
          <w:rFonts w:ascii="Arabic Transparent" w:hAnsi="Arabic Transparent" w:cs="Arabic Transparent" w:hint="cs"/>
          <w:sz w:val="28"/>
          <w:szCs w:val="28"/>
          <w:rtl/>
          <w:lang w:bidi="ar-JO"/>
        </w:rPr>
        <w:t>:</w:t>
      </w:r>
      <w:r w:rsidRPr="00B529EB">
        <w:rPr>
          <w:rFonts w:ascii="Arabic Transparent" w:hAnsi="Arabic Transparent" w:cs="Arabic Transparent" w:hint="cs"/>
          <w:sz w:val="28"/>
          <w:szCs w:val="28"/>
          <w:rtl/>
          <w:lang w:bidi="ar-JO"/>
        </w:rPr>
        <w:t xml:space="preserve"> "لا يلزم من إثبات الشيء بدليله أن يكتب دليل معه"</w:t>
      </w:r>
      <w:r w:rsidRPr="00B529EB">
        <w:rPr>
          <w:rFonts w:ascii="Arabic Transparent" w:hAnsi="Arabic Transparent" w:cs="Arabic Transparent" w:hint="cs"/>
          <w:sz w:val="28"/>
          <w:szCs w:val="28"/>
          <w:vertAlign w:val="superscript"/>
          <w:rtl/>
          <w:lang w:bidi="ar-JO"/>
        </w:rPr>
        <w:t>(</w:t>
      </w:r>
      <w:r w:rsidRPr="00B529EB">
        <w:rPr>
          <w:rStyle w:val="FootnoteReference"/>
          <w:rFonts w:ascii="Arabic Transparent" w:hAnsi="Arabic Transparent" w:cs="Arabic Transparent" w:hint="cs"/>
          <w:sz w:val="28"/>
          <w:szCs w:val="28"/>
          <w:rtl/>
          <w:lang w:bidi="ar-JO"/>
        </w:rPr>
        <w:footnoteReference w:id="15"/>
      </w:r>
      <w:r w:rsidRPr="00B529EB">
        <w:rPr>
          <w:rFonts w:ascii="Arabic Transparent" w:hAnsi="Arabic Transparent" w:cs="Arabic Transparent" w:hint="cs"/>
          <w:sz w:val="28"/>
          <w:szCs w:val="28"/>
          <w:vertAlign w:val="superscript"/>
          <w:rtl/>
          <w:lang w:bidi="ar-JO"/>
        </w:rPr>
        <w:t>)</w:t>
      </w:r>
      <w:r w:rsidR="000408A5" w:rsidRPr="00B529EB">
        <w:rPr>
          <w:rFonts w:ascii="Arabic Transparent" w:hAnsi="Arabic Transparent" w:cs="Arabic Transparent" w:hint="cs"/>
          <w:sz w:val="28"/>
          <w:szCs w:val="28"/>
          <w:rtl/>
          <w:lang w:bidi="ar-JO"/>
        </w:rPr>
        <w:t>.</w:t>
      </w:r>
      <w:r w:rsidR="00B74950">
        <w:rPr>
          <w:rFonts w:ascii="Arabic Transparent" w:hAnsi="Arabic Transparent" w:cs="Arabic Transparent" w:hint="cs"/>
          <w:sz w:val="28"/>
          <w:szCs w:val="28"/>
          <w:rtl/>
          <w:lang w:bidi="ar-JO"/>
        </w:rPr>
        <w:t xml:space="preserve"> </w:t>
      </w:r>
    </w:p>
    <w:p w14:paraId="7C4D027D" w14:textId="79BD907F" w:rsidR="000408A5" w:rsidRPr="00B529EB" w:rsidRDefault="000408A5" w:rsidP="00333540">
      <w:pPr>
        <w:spacing w:after="0" w:line="360" w:lineRule="auto"/>
        <w:jc w:val="both"/>
        <w:rPr>
          <w:rFonts w:ascii="Arabic Transparent" w:hAnsi="Arabic Transparent" w:cs="Arabic Transparent"/>
          <w:sz w:val="28"/>
          <w:szCs w:val="28"/>
          <w:rtl/>
          <w:lang w:bidi="ar-JO"/>
        </w:rPr>
      </w:pPr>
      <w:r w:rsidRPr="00B529EB">
        <w:rPr>
          <w:rFonts w:ascii="Arabic Transparent" w:hAnsi="Arabic Transparent" w:cs="Arabic Transparent" w:hint="cs"/>
          <w:sz w:val="28"/>
          <w:szCs w:val="28"/>
          <w:rtl/>
          <w:lang w:bidi="ar-JO"/>
        </w:rPr>
        <w:t>"</w:t>
      </w:r>
      <w:r w:rsidRPr="000531CE">
        <w:rPr>
          <w:rFonts w:ascii="Arabic Transparent" w:hAnsi="Arabic Transparent" w:cs="Arabic Transparent" w:hint="cs"/>
          <w:b/>
          <w:bCs/>
          <w:sz w:val="28"/>
          <w:szCs w:val="28"/>
          <w:rtl/>
          <w:lang w:bidi="ar-JO"/>
        </w:rPr>
        <w:t>يظهر مطابقته للواقع</w:t>
      </w:r>
      <w:r w:rsidRPr="00B529EB">
        <w:rPr>
          <w:rFonts w:ascii="Arabic Transparent" w:hAnsi="Arabic Transparent" w:cs="Arabic Transparent" w:hint="cs"/>
          <w:sz w:val="28"/>
          <w:szCs w:val="28"/>
          <w:rtl/>
          <w:lang w:bidi="ar-JO"/>
        </w:rPr>
        <w:t xml:space="preserve">" </w:t>
      </w:r>
      <w:r w:rsidR="004636B3" w:rsidRPr="00B529EB">
        <w:rPr>
          <w:rFonts w:ascii="Arabic Transparent" w:hAnsi="Arabic Transparent" w:cs="Arabic Transparent" w:hint="cs"/>
          <w:sz w:val="28"/>
          <w:szCs w:val="28"/>
          <w:rtl/>
          <w:lang w:bidi="ar-JO"/>
        </w:rPr>
        <w:t>وهي الغاية من التحقيق</w:t>
      </w:r>
      <w:r w:rsidR="007A5DA3">
        <w:rPr>
          <w:rFonts w:ascii="Arabic Transparent" w:hAnsi="Arabic Transparent" w:cs="Arabic Transparent" w:hint="cs"/>
          <w:sz w:val="28"/>
          <w:szCs w:val="28"/>
          <w:rtl/>
          <w:lang w:bidi="ar-JO"/>
        </w:rPr>
        <w:t>؛</w:t>
      </w:r>
      <w:r w:rsidR="004636B3" w:rsidRPr="00B529EB">
        <w:rPr>
          <w:rFonts w:ascii="Arabic Transparent" w:hAnsi="Arabic Transparent" w:cs="Arabic Transparent" w:hint="cs"/>
          <w:sz w:val="28"/>
          <w:szCs w:val="28"/>
          <w:rtl/>
          <w:lang w:bidi="ar-JO"/>
        </w:rPr>
        <w:t xml:space="preserve"> الوصول إلى مطابقة الشيء من حيث الواقع</w:t>
      </w:r>
      <w:r w:rsidR="007A5DA3">
        <w:rPr>
          <w:rFonts w:ascii="Arabic Transparent" w:hAnsi="Arabic Transparent" w:cs="Arabic Transparent" w:hint="cs"/>
          <w:sz w:val="28"/>
          <w:szCs w:val="28"/>
          <w:rtl/>
          <w:lang w:bidi="ar-JO"/>
        </w:rPr>
        <w:t>،</w:t>
      </w:r>
      <w:r w:rsidR="004636B3" w:rsidRPr="00B529EB">
        <w:rPr>
          <w:rFonts w:ascii="Arabic Transparent" w:hAnsi="Arabic Transparent" w:cs="Arabic Transparent" w:hint="cs"/>
          <w:sz w:val="28"/>
          <w:szCs w:val="28"/>
          <w:rtl/>
          <w:lang w:bidi="ar-JO"/>
        </w:rPr>
        <w:t xml:space="preserve"> وإثباته على وجه الحق</w:t>
      </w:r>
      <w:r w:rsidR="004636B3" w:rsidRPr="00B529EB">
        <w:rPr>
          <w:rFonts w:ascii="Arabic Transparent" w:hAnsi="Arabic Transparent" w:cs="Arabic Transparent" w:hint="cs"/>
          <w:sz w:val="28"/>
          <w:szCs w:val="28"/>
          <w:vertAlign w:val="superscript"/>
          <w:rtl/>
          <w:lang w:bidi="ar-JO"/>
        </w:rPr>
        <w:t>(</w:t>
      </w:r>
      <w:r w:rsidR="004636B3" w:rsidRPr="00B529EB">
        <w:rPr>
          <w:rStyle w:val="FootnoteReference"/>
          <w:rFonts w:ascii="Arabic Transparent" w:hAnsi="Arabic Transparent" w:cs="Arabic Transparent" w:hint="cs"/>
          <w:sz w:val="28"/>
          <w:szCs w:val="28"/>
          <w:rtl/>
          <w:lang w:bidi="ar-JO"/>
        </w:rPr>
        <w:footnoteReference w:id="16"/>
      </w:r>
      <w:r w:rsidR="005944F3" w:rsidRPr="00B529EB">
        <w:rPr>
          <w:rFonts w:ascii="Arabic Transparent" w:hAnsi="Arabic Transparent" w:cs="Arabic Transparent" w:hint="cs"/>
          <w:sz w:val="28"/>
          <w:szCs w:val="28"/>
          <w:vertAlign w:val="superscript"/>
          <w:rtl/>
          <w:lang w:bidi="ar-JO"/>
        </w:rPr>
        <w:t>)،</w:t>
      </w:r>
      <w:r w:rsidR="004636B3" w:rsidRPr="00B529EB">
        <w:rPr>
          <w:rFonts w:ascii="Arabic Transparent" w:hAnsi="Arabic Transparent" w:cs="Arabic Transparent" w:hint="cs"/>
          <w:sz w:val="28"/>
          <w:szCs w:val="28"/>
          <w:rtl/>
          <w:lang w:bidi="ar-JO"/>
        </w:rPr>
        <w:t xml:space="preserve"> والمراد بالواقع</w:t>
      </w:r>
      <w:r w:rsidR="007A5DA3">
        <w:rPr>
          <w:rFonts w:ascii="Arabic Transparent" w:hAnsi="Arabic Transparent" w:cs="Arabic Transparent" w:hint="cs"/>
          <w:sz w:val="28"/>
          <w:szCs w:val="28"/>
          <w:rtl/>
          <w:lang w:bidi="ar-JO"/>
        </w:rPr>
        <w:t>،</w:t>
      </w:r>
      <w:r w:rsidR="004636B3" w:rsidRPr="00B529EB">
        <w:rPr>
          <w:rFonts w:ascii="Arabic Transparent" w:hAnsi="Arabic Transparent" w:cs="Arabic Transparent" w:hint="cs"/>
          <w:sz w:val="28"/>
          <w:szCs w:val="28"/>
          <w:rtl/>
          <w:lang w:bidi="ar-JO"/>
        </w:rPr>
        <w:t xml:space="preserve"> الأمر في نفسه وفي حد ذاته</w:t>
      </w:r>
      <w:r w:rsidR="007A5DA3">
        <w:rPr>
          <w:rFonts w:ascii="Arabic Transparent" w:hAnsi="Arabic Transparent" w:cs="Arabic Transparent" w:hint="cs"/>
          <w:sz w:val="28"/>
          <w:szCs w:val="28"/>
          <w:rtl/>
          <w:lang w:bidi="ar-JO"/>
        </w:rPr>
        <w:t>،</w:t>
      </w:r>
      <w:r w:rsidR="004636B3" w:rsidRPr="00B529EB">
        <w:rPr>
          <w:rFonts w:ascii="Arabic Transparent" w:hAnsi="Arabic Transparent" w:cs="Arabic Transparent" w:hint="cs"/>
          <w:sz w:val="28"/>
          <w:szCs w:val="28"/>
          <w:rtl/>
          <w:lang w:bidi="ar-JO"/>
        </w:rPr>
        <w:t xml:space="preserve"> مع قطع النظر عن حكم الحاكم</w:t>
      </w:r>
      <w:r w:rsidR="007A5DA3">
        <w:rPr>
          <w:rFonts w:ascii="Arabic Transparent" w:hAnsi="Arabic Transparent" w:cs="Arabic Transparent" w:hint="cs"/>
          <w:sz w:val="28"/>
          <w:szCs w:val="28"/>
          <w:rtl/>
          <w:lang w:bidi="ar-JO"/>
        </w:rPr>
        <w:t>،</w:t>
      </w:r>
      <w:r w:rsidR="004636B3" w:rsidRPr="00B529EB">
        <w:rPr>
          <w:rFonts w:ascii="Arabic Transparent" w:hAnsi="Arabic Transparent" w:cs="Arabic Transparent" w:hint="cs"/>
          <w:sz w:val="28"/>
          <w:szCs w:val="28"/>
          <w:rtl/>
          <w:lang w:bidi="ar-JO"/>
        </w:rPr>
        <w:t xml:space="preserve"> وإدراك المدرك</w:t>
      </w:r>
      <w:r w:rsidR="007A5DA3">
        <w:rPr>
          <w:rFonts w:ascii="Arabic Transparent" w:hAnsi="Arabic Transparent" w:cs="Arabic Transparent" w:hint="cs"/>
          <w:sz w:val="28"/>
          <w:szCs w:val="28"/>
          <w:rtl/>
          <w:lang w:bidi="ar-JO"/>
        </w:rPr>
        <w:t>،</w:t>
      </w:r>
      <w:r w:rsidR="004636B3" w:rsidRPr="00B529EB">
        <w:rPr>
          <w:rFonts w:ascii="Arabic Transparent" w:hAnsi="Arabic Transparent" w:cs="Arabic Transparent" w:hint="cs"/>
          <w:sz w:val="28"/>
          <w:szCs w:val="28"/>
          <w:rtl/>
          <w:lang w:bidi="ar-JO"/>
        </w:rPr>
        <w:t xml:space="preserve"> وإخبار </w:t>
      </w:r>
      <w:r w:rsidR="00A46287">
        <w:rPr>
          <w:rFonts w:ascii="Arabic Transparent" w:hAnsi="Arabic Transparent" w:cs="Arabic Transparent" w:hint="cs"/>
          <w:sz w:val="28"/>
          <w:szCs w:val="28"/>
          <w:rtl/>
          <w:lang w:bidi="ar-JO"/>
        </w:rPr>
        <w:t>المُعلِم</w:t>
      </w:r>
      <w:r w:rsidR="004636B3" w:rsidRPr="00B529EB">
        <w:rPr>
          <w:rFonts w:ascii="Arabic Transparent" w:hAnsi="Arabic Transparent" w:cs="Arabic Transparent" w:hint="cs"/>
          <w:sz w:val="28"/>
          <w:szCs w:val="28"/>
          <w:vertAlign w:val="superscript"/>
          <w:rtl/>
          <w:lang w:bidi="ar-JO"/>
        </w:rPr>
        <w:t>(</w:t>
      </w:r>
      <w:r w:rsidR="004636B3" w:rsidRPr="00B529EB">
        <w:rPr>
          <w:rStyle w:val="FootnoteReference"/>
          <w:rFonts w:ascii="Arabic Transparent" w:hAnsi="Arabic Transparent" w:cs="Arabic Transparent" w:hint="cs"/>
          <w:sz w:val="28"/>
          <w:szCs w:val="28"/>
          <w:rtl/>
          <w:lang w:bidi="ar-JO"/>
        </w:rPr>
        <w:footnoteReference w:id="17"/>
      </w:r>
      <w:r w:rsidR="004636B3" w:rsidRPr="00B529EB">
        <w:rPr>
          <w:rFonts w:ascii="Arabic Transparent" w:hAnsi="Arabic Transparent" w:cs="Arabic Transparent" w:hint="cs"/>
          <w:sz w:val="28"/>
          <w:szCs w:val="28"/>
          <w:vertAlign w:val="superscript"/>
          <w:rtl/>
          <w:lang w:bidi="ar-JO"/>
        </w:rPr>
        <w:t>)</w:t>
      </w:r>
      <w:r w:rsidR="004636B3" w:rsidRPr="00B529EB">
        <w:rPr>
          <w:rFonts w:ascii="Arabic Transparent" w:hAnsi="Arabic Transparent" w:cs="Arabic Transparent" w:hint="cs"/>
          <w:sz w:val="28"/>
          <w:szCs w:val="28"/>
          <w:rtl/>
          <w:lang w:bidi="ar-JO"/>
        </w:rPr>
        <w:t>.</w:t>
      </w:r>
    </w:p>
    <w:p w14:paraId="06A58159" w14:textId="77777777" w:rsidR="005112EE" w:rsidRDefault="000408A5" w:rsidP="003D2884">
      <w:pPr>
        <w:spacing w:after="0" w:line="360" w:lineRule="auto"/>
        <w:jc w:val="both"/>
        <w:rPr>
          <w:rFonts w:ascii="Arabic Transparent" w:hAnsi="Arabic Transparent" w:cs="Arabic Transparent"/>
          <w:sz w:val="28"/>
          <w:szCs w:val="28"/>
          <w:rtl/>
          <w:lang w:bidi="ar-JO"/>
        </w:rPr>
      </w:pPr>
      <w:r w:rsidRPr="00B529EB">
        <w:rPr>
          <w:rFonts w:ascii="Arabic Transparent" w:hAnsi="Arabic Transparent" w:cs="Arabic Transparent" w:hint="cs"/>
          <w:sz w:val="28"/>
          <w:szCs w:val="28"/>
          <w:rtl/>
          <w:lang w:bidi="ar-JO"/>
        </w:rPr>
        <w:t>"</w:t>
      </w:r>
      <w:r w:rsidRPr="000531CE">
        <w:rPr>
          <w:rFonts w:ascii="Arabic Transparent" w:hAnsi="Arabic Transparent" w:cs="Arabic Transparent" w:hint="cs"/>
          <w:b/>
          <w:bCs/>
          <w:sz w:val="28"/>
          <w:szCs w:val="28"/>
          <w:rtl/>
          <w:lang w:bidi="ar-JO"/>
        </w:rPr>
        <w:t>بحسب الإمكان</w:t>
      </w:r>
      <w:r w:rsidRPr="00B529EB">
        <w:rPr>
          <w:rFonts w:ascii="Arabic Transparent" w:hAnsi="Arabic Transparent" w:cs="Arabic Transparent" w:hint="cs"/>
          <w:sz w:val="28"/>
          <w:szCs w:val="28"/>
          <w:rtl/>
          <w:lang w:bidi="ar-JO"/>
        </w:rPr>
        <w:t>"</w:t>
      </w:r>
      <w:r w:rsidR="00D532AF" w:rsidRPr="00B529EB">
        <w:rPr>
          <w:rFonts w:ascii="Arabic Transparent" w:hAnsi="Arabic Transparent" w:cs="Arabic Transparent" w:hint="cs"/>
          <w:sz w:val="28"/>
          <w:szCs w:val="28"/>
          <w:rtl/>
          <w:lang w:bidi="ar-JO"/>
        </w:rPr>
        <w:t xml:space="preserve"> يكون الكشف </w:t>
      </w:r>
      <w:r w:rsidR="007A5DA3">
        <w:rPr>
          <w:rFonts w:ascii="Arabic Transparent" w:hAnsi="Arabic Transparent" w:cs="Arabic Transparent" w:hint="cs"/>
          <w:sz w:val="28"/>
          <w:szCs w:val="28"/>
          <w:rtl/>
          <w:lang w:bidi="ar-JO"/>
        </w:rPr>
        <w:t>ب</w:t>
      </w:r>
      <w:r w:rsidR="00D532AF" w:rsidRPr="00B529EB">
        <w:rPr>
          <w:rFonts w:ascii="Arabic Transparent" w:hAnsi="Arabic Transparent" w:cs="Arabic Transparent" w:hint="cs"/>
          <w:sz w:val="28"/>
          <w:szCs w:val="28"/>
          <w:rtl/>
          <w:lang w:bidi="ar-JO"/>
        </w:rPr>
        <w:t>مطابقة الشيء للواقع</w:t>
      </w:r>
      <w:r w:rsidR="007A5DA3">
        <w:rPr>
          <w:rFonts w:ascii="Arabic Transparent" w:hAnsi="Arabic Transparent" w:cs="Arabic Transparent" w:hint="cs"/>
          <w:sz w:val="28"/>
          <w:szCs w:val="28"/>
          <w:rtl/>
          <w:lang w:bidi="ar-JO"/>
        </w:rPr>
        <w:t>،</w:t>
      </w:r>
      <w:r w:rsidR="00D532AF" w:rsidRPr="00B529EB">
        <w:rPr>
          <w:rFonts w:ascii="Arabic Transparent" w:hAnsi="Arabic Transparent" w:cs="Arabic Transparent" w:hint="cs"/>
          <w:sz w:val="28"/>
          <w:szCs w:val="28"/>
          <w:rtl/>
          <w:lang w:bidi="ar-JO"/>
        </w:rPr>
        <w:t xml:space="preserve"> </w:t>
      </w:r>
      <w:r w:rsidR="007A5DA3">
        <w:rPr>
          <w:rFonts w:ascii="Arabic Transparent" w:hAnsi="Arabic Transparent" w:cs="Arabic Transparent" w:hint="cs"/>
          <w:sz w:val="28"/>
          <w:szCs w:val="28"/>
          <w:rtl/>
          <w:lang w:bidi="ar-JO"/>
        </w:rPr>
        <w:t>ب</w:t>
      </w:r>
      <w:r w:rsidR="00D532AF" w:rsidRPr="00B529EB">
        <w:rPr>
          <w:rFonts w:ascii="Arabic Transparent" w:hAnsi="Arabic Transparent" w:cs="Arabic Transparent" w:hint="cs"/>
          <w:sz w:val="28"/>
          <w:szCs w:val="28"/>
          <w:rtl/>
          <w:lang w:bidi="ar-JO"/>
        </w:rPr>
        <w:t>حسب الوسع</w:t>
      </w:r>
      <w:r w:rsidR="007A5DA3">
        <w:rPr>
          <w:rFonts w:ascii="Arabic Transparent" w:hAnsi="Arabic Transparent" w:cs="Arabic Transparent" w:hint="cs"/>
          <w:sz w:val="28"/>
          <w:szCs w:val="28"/>
          <w:rtl/>
          <w:lang w:bidi="ar-JO"/>
        </w:rPr>
        <w:t>،</w:t>
      </w:r>
      <w:r w:rsidR="00D532AF" w:rsidRPr="00B529EB">
        <w:rPr>
          <w:rFonts w:ascii="Arabic Transparent" w:hAnsi="Arabic Transparent" w:cs="Arabic Transparent" w:hint="cs"/>
          <w:sz w:val="28"/>
          <w:szCs w:val="28"/>
          <w:rtl/>
          <w:lang w:bidi="ar-JO"/>
        </w:rPr>
        <w:t xml:space="preserve"> والطاقة</w:t>
      </w:r>
      <w:r w:rsidR="007A5DA3">
        <w:rPr>
          <w:rFonts w:ascii="Arabic Transparent" w:hAnsi="Arabic Transparent" w:cs="Arabic Transparent" w:hint="cs"/>
          <w:sz w:val="28"/>
          <w:szCs w:val="28"/>
          <w:rtl/>
          <w:lang w:bidi="ar-JO"/>
        </w:rPr>
        <w:t>،</w:t>
      </w:r>
      <w:r w:rsidR="00D532AF" w:rsidRPr="00B529EB">
        <w:rPr>
          <w:rFonts w:ascii="Arabic Transparent" w:hAnsi="Arabic Transparent" w:cs="Arabic Transparent" w:hint="cs"/>
          <w:sz w:val="28"/>
          <w:szCs w:val="28"/>
          <w:rtl/>
          <w:lang w:bidi="ar-JO"/>
        </w:rPr>
        <w:t xml:space="preserve"> والقدرة</w:t>
      </w:r>
      <w:r w:rsidR="007A5DA3">
        <w:rPr>
          <w:rFonts w:ascii="Arabic Transparent" w:hAnsi="Arabic Transparent" w:cs="Arabic Transparent" w:hint="cs"/>
          <w:sz w:val="28"/>
          <w:szCs w:val="28"/>
          <w:rtl/>
          <w:lang w:bidi="ar-JO"/>
        </w:rPr>
        <w:t>،</w:t>
      </w:r>
      <w:r w:rsidR="00D532AF" w:rsidRPr="00B529EB">
        <w:rPr>
          <w:rFonts w:ascii="Arabic Transparent" w:hAnsi="Arabic Transparent" w:cs="Arabic Transparent" w:hint="cs"/>
          <w:sz w:val="28"/>
          <w:szCs w:val="28"/>
          <w:rtl/>
          <w:lang w:bidi="ar-JO"/>
        </w:rPr>
        <w:t xml:space="preserve"> والاستطاعة، وبحسب ما يظهر للمحقق من أدلة وبراهين، والقاعدة تنص على أن</w:t>
      </w:r>
      <w:r w:rsidR="007A5DA3">
        <w:rPr>
          <w:rFonts w:ascii="Arabic Transparent" w:hAnsi="Arabic Transparent" w:cs="Arabic Transparent" w:hint="cs"/>
          <w:sz w:val="28"/>
          <w:szCs w:val="28"/>
          <w:rtl/>
          <w:lang w:bidi="ar-JO"/>
        </w:rPr>
        <w:t>:</w:t>
      </w:r>
      <w:r w:rsidR="00D532AF" w:rsidRPr="00B529EB">
        <w:rPr>
          <w:rFonts w:ascii="Arabic Transparent" w:hAnsi="Arabic Transparent" w:cs="Arabic Transparent" w:hint="cs"/>
          <w:sz w:val="28"/>
          <w:szCs w:val="28"/>
          <w:rtl/>
          <w:lang w:bidi="ar-JO"/>
        </w:rPr>
        <w:t xml:space="preserve"> "شرط المطلوب: الإمكان"</w:t>
      </w:r>
      <w:r w:rsidR="00D532AF" w:rsidRPr="00B529EB">
        <w:rPr>
          <w:rFonts w:ascii="Arabic Transparent" w:hAnsi="Arabic Transparent" w:cs="Arabic Transparent" w:hint="cs"/>
          <w:sz w:val="28"/>
          <w:szCs w:val="28"/>
          <w:vertAlign w:val="superscript"/>
          <w:rtl/>
          <w:lang w:bidi="ar-JO"/>
        </w:rPr>
        <w:t>(</w:t>
      </w:r>
      <w:r w:rsidR="00D532AF" w:rsidRPr="00B529EB">
        <w:rPr>
          <w:rStyle w:val="FootnoteReference"/>
          <w:rFonts w:ascii="Arabic Transparent" w:hAnsi="Arabic Transparent" w:cs="Arabic Transparent" w:hint="cs"/>
          <w:sz w:val="28"/>
          <w:szCs w:val="28"/>
          <w:rtl/>
          <w:lang w:bidi="ar-JO"/>
        </w:rPr>
        <w:footnoteReference w:id="18"/>
      </w:r>
      <w:r w:rsidR="00D532AF" w:rsidRPr="00B529EB">
        <w:rPr>
          <w:rFonts w:ascii="Arabic Transparent" w:hAnsi="Arabic Transparent" w:cs="Arabic Transparent" w:hint="cs"/>
          <w:sz w:val="28"/>
          <w:szCs w:val="28"/>
          <w:vertAlign w:val="superscript"/>
          <w:rtl/>
          <w:lang w:bidi="ar-JO"/>
        </w:rPr>
        <w:t>)</w:t>
      </w:r>
      <w:r w:rsidR="003D2884" w:rsidRPr="00B529EB">
        <w:rPr>
          <w:rFonts w:ascii="Arabic Transparent" w:hAnsi="Arabic Transparent" w:cs="Arabic Transparent" w:hint="cs"/>
          <w:sz w:val="28"/>
          <w:szCs w:val="28"/>
          <w:rtl/>
          <w:lang w:bidi="ar-JO"/>
        </w:rPr>
        <w:t xml:space="preserve"> ولهذا تبقى العملية اجتهادية</w:t>
      </w:r>
      <w:r w:rsidR="007A5DA3">
        <w:rPr>
          <w:rFonts w:ascii="Arabic Transparent" w:hAnsi="Arabic Transparent" w:cs="Arabic Transparent" w:hint="cs"/>
          <w:sz w:val="28"/>
          <w:szCs w:val="28"/>
          <w:rtl/>
          <w:lang w:bidi="ar-JO"/>
        </w:rPr>
        <w:t>،</w:t>
      </w:r>
    </w:p>
    <w:p w14:paraId="75D07FC5" w14:textId="77777777" w:rsidR="005112EE" w:rsidRDefault="005112EE">
      <w:pPr>
        <w:bidi w:val="0"/>
        <w:spacing w:after="0" w:line="240" w:lineRule="auto"/>
        <w:rPr>
          <w:rFonts w:ascii="Arabic Transparent" w:hAnsi="Arabic Transparent" w:cs="Arabic Transparent"/>
          <w:sz w:val="28"/>
          <w:szCs w:val="28"/>
          <w:rtl/>
          <w:lang w:bidi="ar-JO"/>
        </w:rPr>
      </w:pPr>
      <w:r>
        <w:rPr>
          <w:rFonts w:ascii="Arabic Transparent" w:hAnsi="Arabic Transparent" w:cs="Arabic Transparent"/>
          <w:sz w:val="28"/>
          <w:szCs w:val="28"/>
          <w:rtl/>
          <w:lang w:bidi="ar-JO"/>
        </w:rPr>
        <w:br w:type="page"/>
      </w:r>
    </w:p>
    <w:p w14:paraId="316580DA" w14:textId="165FD73A" w:rsidR="003D2884" w:rsidRPr="00B529EB" w:rsidRDefault="003D2884" w:rsidP="003D2884">
      <w:pPr>
        <w:spacing w:after="0" w:line="360" w:lineRule="auto"/>
        <w:jc w:val="both"/>
        <w:rPr>
          <w:rFonts w:ascii="Arabic Transparent" w:hAnsi="Arabic Transparent" w:cs="Arabic Transparent"/>
          <w:sz w:val="28"/>
          <w:szCs w:val="28"/>
          <w:rtl/>
          <w:lang w:bidi="ar-JO"/>
        </w:rPr>
      </w:pPr>
      <w:r w:rsidRPr="00B529EB">
        <w:rPr>
          <w:rFonts w:ascii="Arabic Transparent" w:hAnsi="Arabic Transparent" w:cs="Arabic Transparent" w:hint="cs"/>
          <w:sz w:val="28"/>
          <w:szCs w:val="28"/>
          <w:rtl/>
          <w:lang w:bidi="ar-JO"/>
        </w:rPr>
        <w:t xml:space="preserve"> وقد يقع المحقق في الخطأ عند الكشف عن شيء ما، لا لعدم ثبوت الأمر في </w:t>
      </w:r>
      <w:r w:rsidR="005944F3" w:rsidRPr="00B529EB">
        <w:rPr>
          <w:rFonts w:ascii="Arabic Transparent" w:hAnsi="Arabic Transparent" w:cs="Arabic Transparent" w:hint="cs"/>
          <w:sz w:val="28"/>
          <w:szCs w:val="28"/>
          <w:rtl/>
          <w:lang w:bidi="ar-JO"/>
        </w:rPr>
        <w:t>نفسه</w:t>
      </w:r>
      <w:r w:rsidR="005944F3" w:rsidRPr="00B529EB">
        <w:rPr>
          <w:rFonts w:ascii="Arabic Transparent" w:hAnsi="Arabic Transparent" w:cs="Arabic Transparent" w:hint="eastAsia"/>
          <w:sz w:val="28"/>
          <w:szCs w:val="28"/>
          <w:rtl/>
          <w:lang w:bidi="ar-JO"/>
        </w:rPr>
        <w:t>،</w:t>
      </w:r>
      <w:r w:rsidRPr="00B529EB">
        <w:rPr>
          <w:rFonts w:ascii="Arabic Transparent" w:hAnsi="Arabic Transparent" w:cs="Arabic Transparent" w:hint="cs"/>
          <w:sz w:val="28"/>
          <w:szCs w:val="28"/>
          <w:rtl/>
          <w:lang w:bidi="ar-JO"/>
        </w:rPr>
        <w:t xml:space="preserve"> بل لأسباب أخرى تعود للتقصير في البحث</w:t>
      </w:r>
      <w:r w:rsidR="007A5DA3">
        <w:rPr>
          <w:rFonts w:ascii="Arabic Transparent" w:hAnsi="Arabic Transparent" w:cs="Arabic Transparent" w:hint="cs"/>
          <w:sz w:val="28"/>
          <w:szCs w:val="28"/>
          <w:rtl/>
          <w:lang w:bidi="ar-JO"/>
        </w:rPr>
        <w:t>،</w:t>
      </w:r>
      <w:r w:rsidRPr="00B529EB">
        <w:rPr>
          <w:rFonts w:ascii="Arabic Transparent" w:hAnsi="Arabic Transparent" w:cs="Arabic Transparent" w:hint="cs"/>
          <w:sz w:val="28"/>
          <w:szCs w:val="28"/>
          <w:rtl/>
          <w:lang w:bidi="ar-JO"/>
        </w:rPr>
        <w:t xml:space="preserve"> أو الخطأ في فهم الدليل</w:t>
      </w:r>
      <w:r w:rsidR="007A5DA3">
        <w:rPr>
          <w:rFonts w:ascii="Arabic Transparent" w:hAnsi="Arabic Transparent" w:cs="Arabic Transparent" w:hint="cs"/>
          <w:sz w:val="28"/>
          <w:szCs w:val="28"/>
          <w:rtl/>
          <w:lang w:bidi="ar-JO"/>
        </w:rPr>
        <w:t>،</w:t>
      </w:r>
      <w:r w:rsidRPr="00B529EB">
        <w:rPr>
          <w:rFonts w:ascii="Arabic Transparent" w:hAnsi="Arabic Transparent" w:cs="Arabic Transparent" w:hint="cs"/>
          <w:sz w:val="28"/>
          <w:szCs w:val="28"/>
          <w:rtl/>
          <w:lang w:bidi="ar-JO"/>
        </w:rPr>
        <w:t xml:space="preserve"> أو مدلوله</w:t>
      </w:r>
      <w:r w:rsidR="007A5DA3">
        <w:rPr>
          <w:rFonts w:ascii="Arabic Transparent" w:hAnsi="Arabic Transparent" w:cs="Arabic Transparent" w:hint="cs"/>
          <w:sz w:val="28"/>
          <w:szCs w:val="28"/>
          <w:rtl/>
          <w:lang w:bidi="ar-JO"/>
        </w:rPr>
        <w:t>،</w:t>
      </w:r>
      <w:r w:rsidRPr="00B529EB">
        <w:rPr>
          <w:rFonts w:ascii="Arabic Transparent" w:hAnsi="Arabic Transparent" w:cs="Arabic Transparent" w:hint="cs"/>
          <w:sz w:val="28"/>
          <w:szCs w:val="28"/>
          <w:rtl/>
          <w:lang w:bidi="ar-JO"/>
        </w:rPr>
        <w:t xml:space="preserve"> أو لقادح خفي من قوادح العلة لم يظهر له</w:t>
      </w:r>
      <w:r w:rsidR="007A5DA3">
        <w:rPr>
          <w:rFonts w:ascii="Arabic Transparent" w:hAnsi="Arabic Transparent" w:cs="Arabic Transparent" w:hint="cs"/>
          <w:sz w:val="28"/>
          <w:szCs w:val="28"/>
          <w:rtl/>
          <w:lang w:bidi="ar-JO"/>
        </w:rPr>
        <w:t>،</w:t>
      </w:r>
      <w:r w:rsidRPr="00B529EB">
        <w:rPr>
          <w:rFonts w:ascii="Arabic Transparent" w:hAnsi="Arabic Transparent" w:cs="Arabic Transparent" w:hint="cs"/>
          <w:sz w:val="28"/>
          <w:szCs w:val="28"/>
          <w:rtl/>
          <w:lang w:bidi="ar-JO"/>
        </w:rPr>
        <w:t xml:space="preserve"> </w:t>
      </w:r>
      <w:r w:rsidR="007A5DA3">
        <w:rPr>
          <w:rFonts w:ascii="Arabic Transparent" w:hAnsi="Arabic Transparent" w:cs="Arabic Transparent" w:hint="cs"/>
          <w:sz w:val="28"/>
          <w:szCs w:val="28"/>
          <w:rtl/>
          <w:lang w:bidi="ar-JO"/>
        </w:rPr>
        <w:t>أ</w:t>
      </w:r>
      <w:r w:rsidRPr="00B529EB">
        <w:rPr>
          <w:rFonts w:ascii="Arabic Transparent" w:hAnsi="Arabic Transparent" w:cs="Arabic Transparent" w:hint="cs"/>
          <w:sz w:val="28"/>
          <w:szCs w:val="28"/>
          <w:rtl/>
          <w:lang w:bidi="ar-JO"/>
        </w:rPr>
        <w:t>و لغير ذلك من الأسباب.</w:t>
      </w:r>
      <w:r w:rsidR="00990482">
        <w:rPr>
          <w:rFonts w:ascii="Arabic Transparent" w:hAnsi="Arabic Transparent" w:cs="Arabic Transparent" w:hint="cs"/>
          <w:sz w:val="28"/>
          <w:szCs w:val="28"/>
          <w:rtl/>
          <w:lang w:bidi="ar-JO"/>
        </w:rPr>
        <w:t xml:space="preserve"> </w:t>
      </w:r>
    </w:p>
    <w:p w14:paraId="1E0D0663" w14:textId="155232F4" w:rsidR="007D4067" w:rsidRPr="007A5DA3" w:rsidRDefault="007D4067" w:rsidP="00D129CA">
      <w:pPr>
        <w:spacing w:after="0" w:line="360" w:lineRule="auto"/>
        <w:jc w:val="both"/>
        <w:rPr>
          <w:rFonts w:ascii="Arabic Transparent" w:hAnsi="Arabic Transparent" w:cs="Arabic Transparent"/>
          <w:b/>
          <w:bCs/>
          <w:sz w:val="28"/>
          <w:szCs w:val="28"/>
          <w:rtl/>
          <w:lang w:bidi="ar-JO"/>
        </w:rPr>
      </w:pPr>
      <w:r w:rsidRPr="007A5DA3">
        <w:rPr>
          <w:rFonts w:ascii="Arabic Transparent" w:hAnsi="Arabic Transparent" w:cs="Arabic Transparent" w:hint="cs"/>
          <w:b/>
          <w:bCs/>
          <w:sz w:val="28"/>
          <w:szCs w:val="28"/>
          <w:rtl/>
          <w:lang w:bidi="ar-JO"/>
        </w:rPr>
        <w:t>الفرع الثا</w:t>
      </w:r>
      <w:r w:rsidR="007A5DA3">
        <w:rPr>
          <w:rFonts w:ascii="Arabic Transparent" w:hAnsi="Arabic Transparent" w:cs="Arabic Transparent" w:hint="cs"/>
          <w:b/>
          <w:bCs/>
          <w:sz w:val="28"/>
          <w:szCs w:val="28"/>
          <w:rtl/>
          <w:lang w:bidi="ar-JO"/>
        </w:rPr>
        <w:t>ني</w:t>
      </w:r>
      <w:r w:rsidRPr="007A5DA3">
        <w:rPr>
          <w:rFonts w:ascii="Arabic Transparent" w:hAnsi="Arabic Transparent" w:cs="Arabic Transparent" w:hint="cs"/>
          <w:b/>
          <w:bCs/>
          <w:sz w:val="28"/>
          <w:szCs w:val="28"/>
          <w:rtl/>
          <w:lang w:bidi="ar-JO"/>
        </w:rPr>
        <w:t>:</w:t>
      </w:r>
      <w:r w:rsidR="003E592D" w:rsidRPr="007A5DA3">
        <w:rPr>
          <w:rFonts w:ascii="Arabic Transparent" w:hAnsi="Arabic Transparent" w:cs="Arabic Transparent" w:hint="cs"/>
          <w:b/>
          <w:bCs/>
          <w:sz w:val="28"/>
          <w:szCs w:val="28"/>
          <w:rtl/>
          <w:lang w:bidi="ar-JO"/>
        </w:rPr>
        <w:t xml:space="preserve"> تعريف المناط لغةً واصطلاحاً</w:t>
      </w:r>
      <w:r w:rsidR="00986F7A">
        <w:rPr>
          <w:rFonts w:ascii="Arabic Transparent" w:hAnsi="Arabic Transparent" w:cs="Arabic Transparent" w:hint="cs"/>
          <w:b/>
          <w:bCs/>
          <w:sz w:val="28"/>
          <w:szCs w:val="28"/>
          <w:rtl/>
          <w:lang w:bidi="ar-JO"/>
        </w:rPr>
        <w:t xml:space="preserve"> </w:t>
      </w:r>
    </w:p>
    <w:p w14:paraId="29AEC388" w14:textId="77777777" w:rsidR="00FB645B" w:rsidRDefault="00C07B63" w:rsidP="00D129CA">
      <w:pPr>
        <w:spacing w:after="0" w:line="360" w:lineRule="auto"/>
        <w:jc w:val="both"/>
        <w:rPr>
          <w:rFonts w:ascii="Arabic Transparent" w:hAnsi="Arabic Transparent" w:cs="Arabic Transparent"/>
          <w:sz w:val="28"/>
          <w:szCs w:val="28"/>
          <w:rtl/>
          <w:lang w:bidi="ar-JO"/>
        </w:rPr>
      </w:pPr>
      <w:r w:rsidRPr="007A5DA3">
        <w:rPr>
          <w:rFonts w:ascii="Arabic Transparent" w:hAnsi="Arabic Transparent" w:cs="Arabic Transparent" w:hint="cs"/>
          <w:b/>
          <w:bCs/>
          <w:sz w:val="28"/>
          <w:szCs w:val="28"/>
          <w:rtl/>
          <w:lang w:bidi="ar-JO"/>
        </w:rPr>
        <w:t>أولاً: المناط لغةًً:</w:t>
      </w:r>
    </w:p>
    <w:p w14:paraId="2266E099" w14:textId="44F66513" w:rsidR="00902C78" w:rsidRDefault="00902C78" w:rsidP="00FB645B">
      <w:pPr>
        <w:spacing w:after="0" w:line="360" w:lineRule="auto"/>
        <w:ind w:firstLine="473"/>
        <w:jc w:val="both"/>
        <w:rPr>
          <w:rFonts w:ascii="Arabic Transparent" w:hAnsi="Arabic Transparent" w:cs="Arabic Transparent"/>
          <w:sz w:val="28"/>
          <w:szCs w:val="28"/>
          <w:rtl/>
          <w:lang w:bidi="ar-JO"/>
        </w:rPr>
      </w:pPr>
      <w:r>
        <w:rPr>
          <w:rFonts w:ascii="Arabic Transparent" w:hAnsi="Arabic Transparent" w:cs="Arabic Transparent" w:hint="cs"/>
          <w:sz w:val="28"/>
          <w:szCs w:val="28"/>
          <w:rtl/>
          <w:lang w:bidi="ar-JO"/>
        </w:rPr>
        <w:t xml:space="preserve">يطلق </w:t>
      </w:r>
      <w:r w:rsidR="0026473F">
        <w:rPr>
          <w:rFonts w:ascii="Arabic Transparent" w:hAnsi="Arabic Transparent" w:cs="Arabic Transparent" w:hint="cs"/>
          <w:sz w:val="28"/>
          <w:szCs w:val="28"/>
          <w:rtl/>
          <w:lang w:bidi="ar-JO"/>
        </w:rPr>
        <w:t xml:space="preserve">المناط </w:t>
      </w:r>
      <w:r>
        <w:rPr>
          <w:rFonts w:ascii="Arabic Transparent" w:hAnsi="Arabic Transparent" w:cs="Arabic Transparent" w:hint="cs"/>
          <w:sz w:val="28"/>
          <w:szCs w:val="28"/>
          <w:rtl/>
          <w:lang w:bidi="ar-JO"/>
        </w:rPr>
        <w:t xml:space="preserve">عند علماء اللغة على معنيين وهما: </w:t>
      </w:r>
    </w:p>
    <w:p w14:paraId="71592BAE" w14:textId="01D2FBA7" w:rsidR="00902C78" w:rsidRDefault="00902C78" w:rsidP="00D129CA">
      <w:pPr>
        <w:spacing w:after="0" w:line="360" w:lineRule="auto"/>
        <w:jc w:val="both"/>
        <w:rPr>
          <w:rFonts w:ascii="Arabic Transparent" w:hAnsi="Arabic Transparent" w:cs="Arabic Transparent"/>
          <w:sz w:val="28"/>
          <w:szCs w:val="28"/>
          <w:rtl/>
          <w:lang w:bidi="ar-JO"/>
        </w:rPr>
      </w:pPr>
      <w:r>
        <w:rPr>
          <w:rFonts w:ascii="Arabic Transparent" w:hAnsi="Arabic Transparent" w:cs="Arabic Transparent" w:hint="cs"/>
          <w:sz w:val="28"/>
          <w:szCs w:val="28"/>
          <w:rtl/>
          <w:lang w:bidi="ar-JO"/>
        </w:rPr>
        <w:t xml:space="preserve">1-التعلّق والإلصاق: </w:t>
      </w:r>
      <w:r w:rsidR="00C07B63" w:rsidRPr="00B529EB">
        <w:rPr>
          <w:rFonts w:ascii="Arabic Transparent" w:hAnsi="Arabic Transparent" w:cs="Arabic Transparent" w:hint="cs"/>
          <w:sz w:val="28"/>
          <w:szCs w:val="28"/>
          <w:rtl/>
          <w:lang w:bidi="ar-JO"/>
        </w:rPr>
        <w:t xml:space="preserve">هو </w:t>
      </w:r>
      <w:r w:rsidR="007C21DD">
        <w:rPr>
          <w:rFonts w:ascii="Arabic Transparent" w:hAnsi="Arabic Transparent" w:cs="Arabic Transparent" w:hint="cs"/>
          <w:sz w:val="28"/>
          <w:szCs w:val="28"/>
          <w:rtl/>
          <w:lang w:bidi="ar-JO"/>
        </w:rPr>
        <w:t>"</w:t>
      </w:r>
      <w:r w:rsidR="00C07B63" w:rsidRPr="00B529EB">
        <w:rPr>
          <w:rFonts w:ascii="Arabic Transparent" w:hAnsi="Arabic Transparent" w:cs="Arabic Transparent" w:hint="cs"/>
          <w:sz w:val="28"/>
          <w:szCs w:val="28"/>
          <w:rtl/>
          <w:lang w:bidi="ar-JO"/>
        </w:rPr>
        <w:t>مَوضع النوط، من ناط الشَّيء بالشَّيء إِذا ألصقه وعل</w:t>
      </w:r>
      <w:r w:rsidR="002A6F8A">
        <w:rPr>
          <w:rFonts w:ascii="Arabic Transparent" w:hAnsi="Arabic Transparent" w:cs="Arabic Transparent" w:hint="cs"/>
          <w:sz w:val="28"/>
          <w:szCs w:val="28"/>
          <w:rtl/>
          <w:lang w:bidi="ar-JO"/>
        </w:rPr>
        <w:t>َ</w:t>
      </w:r>
      <w:r w:rsidR="00C07B63" w:rsidRPr="00B529EB">
        <w:rPr>
          <w:rFonts w:ascii="Arabic Transparent" w:hAnsi="Arabic Transparent" w:cs="Arabic Transparent" w:hint="cs"/>
          <w:sz w:val="28"/>
          <w:szCs w:val="28"/>
          <w:rtl/>
          <w:lang w:bidi="ar-JO"/>
        </w:rPr>
        <w:t>قه</w:t>
      </w:r>
      <w:r w:rsidR="007C21DD">
        <w:rPr>
          <w:rFonts w:ascii="Arabic Transparent" w:hAnsi="Arabic Transparent" w:cs="Arabic Transparent" w:hint="cs"/>
          <w:sz w:val="28"/>
          <w:szCs w:val="28"/>
          <w:rtl/>
          <w:lang w:bidi="ar-JO"/>
        </w:rPr>
        <w:t>"</w:t>
      </w:r>
      <w:r w:rsidR="00C07B63" w:rsidRPr="00B529EB">
        <w:rPr>
          <w:rFonts w:ascii="Arabic Transparent" w:hAnsi="Arabic Transparent" w:cs="Arabic Transparent" w:hint="cs"/>
          <w:sz w:val="28"/>
          <w:szCs w:val="28"/>
          <w:vertAlign w:val="superscript"/>
          <w:rtl/>
          <w:lang w:bidi="ar-JO"/>
        </w:rPr>
        <w:t>(</w:t>
      </w:r>
      <w:r w:rsidR="00C07B63" w:rsidRPr="00B529EB">
        <w:rPr>
          <w:rStyle w:val="FootnoteReference"/>
          <w:rFonts w:ascii="Arabic Transparent" w:hAnsi="Arabic Transparent" w:cs="Arabic Transparent" w:hint="cs"/>
          <w:sz w:val="28"/>
          <w:szCs w:val="28"/>
          <w:rtl/>
          <w:lang w:bidi="ar-JO"/>
        </w:rPr>
        <w:footnoteReference w:id="19"/>
      </w:r>
      <w:r w:rsidR="00C07B63" w:rsidRPr="00B529EB">
        <w:rPr>
          <w:rFonts w:ascii="Arabic Transparent" w:hAnsi="Arabic Transparent" w:cs="Arabic Transparent" w:hint="cs"/>
          <w:sz w:val="28"/>
          <w:szCs w:val="28"/>
          <w:vertAlign w:val="superscript"/>
          <w:rtl/>
          <w:lang w:bidi="ar-JO"/>
        </w:rPr>
        <w:t>)</w:t>
      </w:r>
      <w:r>
        <w:rPr>
          <w:rFonts w:ascii="Arabic Transparent" w:hAnsi="Arabic Transparent" w:cs="Arabic Transparent" w:hint="cs"/>
          <w:sz w:val="28"/>
          <w:szCs w:val="28"/>
          <w:rtl/>
          <w:lang w:bidi="ar-JO"/>
        </w:rPr>
        <w:t xml:space="preserve">، </w:t>
      </w:r>
      <w:r w:rsidR="007C21DD">
        <w:rPr>
          <w:rFonts w:ascii="Arabic Transparent" w:hAnsi="Arabic Transparent" w:cs="Arabic Transparent" w:hint="cs"/>
          <w:sz w:val="28"/>
          <w:szCs w:val="28"/>
          <w:rtl/>
          <w:lang w:bidi="ar-JO"/>
        </w:rPr>
        <w:t>"</w:t>
      </w:r>
      <w:r>
        <w:rPr>
          <w:rFonts w:ascii="Arabic Transparent" w:hAnsi="Arabic Transparent" w:cs="Arabic Transparent" w:hint="cs"/>
          <w:sz w:val="28"/>
          <w:szCs w:val="28"/>
          <w:rtl/>
          <w:lang w:bidi="ar-JO"/>
        </w:rPr>
        <w:t>نُطت الشيء بالشيء: أي علَّقته به، ومنه سمي المناط لأنَّ الحكم يعلق به</w:t>
      </w:r>
      <w:r w:rsidR="007C21DD">
        <w:rPr>
          <w:rFonts w:ascii="Arabic Transparent" w:hAnsi="Arabic Transparent" w:cs="Arabic Transparent" w:hint="cs"/>
          <w:sz w:val="28"/>
          <w:szCs w:val="28"/>
          <w:rtl/>
          <w:lang w:bidi="ar-JO"/>
        </w:rPr>
        <w:t>"</w:t>
      </w:r>
      <w:r w:rsidR="00D06CF7">
        <w:rPr>
          <w:rFonts w:ascii="Arabic Transparent" w:hAnsi="Arabic Transparent" w:cs="Arabic Transparent" w:hint="cs"/>
          <w:sz w:val="28"/>
          <w:szCs w:val="28"/>
          <w:rtl/>
          <w:lang w:bidi="ar-JO"/>
        </w:rPr>
        <w:t>.</w:t>
      </w:r>
      <w:r w:rsidR="00D06CF7" w:rsidRPr="00D06CF7">
        <w:rPr>
          <w:rFonts w:ascii="Arabic Transparent" w:hAnsi="Arabic Transparent" w:cs="Arabic Transparent" w:hint="cs"/>
          <w:sz w:val="28"/>
          <w:szCs w:val="28"/>
          <w:vertAlign w:val="superscript"/>
          <w:rtl/>
          <w:lang w:bidi="ar-JO"/>
        </w:rPr>
        <w:t>(</w:t>
      </w:r>
      <w:r w:rsidR="00D06CF7" w:rsidRPr="00D06CF7">
        <w:rPr>
          <w:rStyle w:val="FootnoteReference"/>
          <w:rFonts w:ascii="Arabic Transparent" w:hAnsi="Arabic Transparent" w:cs="Arabic Transparent" w:hint="cs"/>
          <w:sz w:val="28"/>
          <w:szCs w:val="28"/>
          <w:rtl/>
          <w:lang w:bidi="ar-JO"/>
        </w:rPr>
        <w:footnoteReference w:id="20"/>
      </w:r>
      <w:r w:rsidR="00D06CF7" w:rsidRPr="00D06CF7">
        <w:rPr>
          <w:rFonts w:ascii="Arabic Transparent" w:hAnsi="Arabic Transparent" w:cs="Arabic Transparent" w:hint="cs"/>
          <w:sz w:val="28"/>
          <w:szCs w:val="28"/>
          <w:vertAlign w:val="superscript"/>
          <w:rtl/>
          <w:lang w:bidi="ar-JO"/>
        </w:rPr>
        <w:t>)</w:t>
      </w:r>
    </w:p>
    <w:p w14:paraId="7FE6C4CB" w14:textId="38A73E6F" w:rsidR="00B74950" w:rsidRDefault="00902C78" w:rsidP="00B74950">
      <w:pPr>
        <w:spacing w:after="0" w:line="360" w:lineRule="auto"/>
        <w:jc w:val="both"/>
        <w:rPr>
          <w:rFonts w:ascii="Arabic Transparent" w:hAnsi="Arabic Transparent" w:cs="Arabic Transparent"/>
          <w:sz w:val="28"/>
          <w:szCs w:val="28"/>
          <w:vertAlign w:val="superscript"/>
          <w:rtl/>
          <w:lang w:bidi="ar-JO"/>
        </w:rPr>
      </w:pPr>
      <w:r>
        <w:rPr>
          <w:rFonts w:ascii="Arabic Transparent" w:hAnsi="Arabic Transparent" w:cs="Arabic Transparent" w:hint="cs"/>
          <w:sz w:val="28"/>
          <w:szCs w:val="28"/>
          <w:rtl/>
          <w:lang w:bidi="ar-JO"/>
        </w:rPr>
        <w:t xml:space="preserve">2-المكان والموضع: </w:t>
      </w:r>
      <w:r w:rsidR="00C07B63" w:rsidRPr="00B529EB">
        <w:rPr>
          <w:rFonts w:ascii="Arabic Transparent" w:hAnsi="Arabic Transparent" w:cs="Arabic Transparent" w:hint="cs"/>
          <w:sz w:val="28"/>
          <w:szCs w:val="28"/>
          <w:rtl/>
          <w:lang w:bidi="ar-JO"/>
        </w:rPr>
        <w:t>وقيل</w:t>
      </w:r>
      <w:r w:rsidR="007C21DD">
        <w:rPr>
          <w:rFonts w:ascii="Arabic Transparent" w:hAnsi="Arabic Transparent" w:cs="Arabic Transparent" w:hint="cs"/>
          <w:sz w:val="28"/>
          <w:szCs w:val="28"/>
          <w:rtl/>
          <w:lang w:bidi="ar-JO"/>
        </w:rPr>
        <w:t>:</w:t>
      </w:r>
      <w:r w:rsidR="00C07B63" w:rsidRPr="00B529EB">
        <w:rPr>
          <w:rFonts w:ascii="Arabic Transparent" w:hAnsi="Arabic Transparent" w:cs="Arabic Transparent" w:hint="cs"/>
          <w:sz w:val="28"/>
          <w:szCs w:val="28"/>
          <w:rtl/>
          <w:lang w:bidi="ar-JO"/>
        </w:rPr>
        <w:t xml:space="preserve"> </w:t>
      </w:r>
      <w:r w:rsidR="007C21DD">
        <w:rPr>
          <w:rFonts w:ascii="Arabic Transparent" w:hAnsi="Arabic Transparent" w:cs="Arabic Transparent" w:hint="cs"/>
          <w:sz w:val="28"/>
          <w:szCs w:val="28"/>
          <w:rtl/>
          <w:lang w:bidi="ar-JO"/>
        </w:rPr>
        <w:t>"</w:t>
      </w:r>
      <w:r w:rsidR="00C07B63" w:rsidRPr="00B529EB">
        <w:rPr>
          <w:rFonts w:ascii="Arabic Transparent" w:hAnsi="Arabic Transparent" w:cs="Arabic Transparent" w:hint="cs"/>
          <w:sz w:val="28"/>
          <w:szCs w:val="28"/>
          <w:rtl/>
          <w:lang w:bidi="ar-JO"/>
        </w:rPr>
        <w:t>موضع التعلِيق وَيُقَال هو من مناط الثريا</w:t>
      </w:r>
      <w:r w:rsidR="00D129CA">
        <w:rPr>
          <w:rFonts w:ascii="Arabic Transparent" w:hAnsi="Arabic Transparent" w:cs="Arabic Transparent" w:hint="cs"/>
          <w:sz w:val="28"/>
          <w:szCs w:val="28"/>
          <w:rtl/>
          <w:lang w:bidi="ar-JO"/>
        </w:rPr>
        <w:t xml:space="preserve"> المكان</w:t>
      </w:r>
      <w:r w:rsidR="00C07B63" w:rsidRPr="00B529EB">
        <w:rPr>
          <w:rFonts w:ascii="Arabic Transparent" w:hAnsi="Arabic Transparent" w:cs="Arabic Transparent" w:hint="cs"/>
          <w:sz w:val="28"/>
          <w:szCs w:val="28"/>
          <w:rtl/>
          <w:lang w:bidi="ar-JO"/>
        </w:rPr>
        <w:t xml:space="preserve"> شديد البعد وفُلان منَاط الثريا شرِيف عالي </w:t>
      </w:r>
      <w:r w:rsidR="00D129CA">
        <w:rPr>
          <w:rFonts w:ascii="Arabic Transparent" w:hAnsi="Arabic Transparent" w:cs="Arabic Transparent" w:hint="cs"/>
          <w:sz w:val="28"/>
          <w:szCs w:val="28"/>
          <w:rtl/>
          <w:lang w:bidi="ar-JO"/>
        </w:rPr>
        <w:t>الموضع و</w:t>
      </w:r>
      <w:r w:rsidR="00C07B63" w:rsidRPr="00B529EB">
        <w:rPr>
          <w:rFonts w:ascii="Arabic Transparent" w:hAnsi="Arabic Transparent" w:cs="Arabic Transparent" w:hint="cs"/>
          <w:sz w:val="28"/>
          <w:szCs w:val="28"/>
          <w:rtl/>
          <w:lang w:bidi="ar-JO"/>
        </w:rPr>
        <w:t>المنزلَة</w:t>
      </w:r>
      <w:r w:rsidR="007C21DD">
        <w:rPr>
          <w:rFonts w:ascii="Arabic Transparent" w:hAnsi="Arabic Transparent" w:cs="Arabic Transparent" w:hint="cs"/>
          <w:sz w:val="28"/>
          <w:szCs w:val="28"/>
          <w:rtl/>
          <w:lang w:bidi="ar-JO"/>
        </w:rPr>
        <w:t>"</w:t>
      </w:r>
      <w:r w:rsidR="00C07B63" w:rsidRPr="00B529EB">
        <w:rPr>
          <w:rFonts w:ascii="Arabic Transparent" w:hAnsi="Arabic Transparent" w:cs="Arabic Transparent" w:hint="cs"/>
          <w:sz w:val="28"/>
          <w:szCs w:val="28"/>
          <w:vertAlign w:val="superscript"/>
          <w:rtl/>
          <w:lang w:bidi="ar-JO"/>
        </w:rPr>
        <w:t>(</w:t>
      </w:r>
      <w:r w:rsidR="00C07B63" w:rsidRPr="00B529EB">
        <w:rPr>
          <w:rStyle w:val="FootnoteReference"/>
          <w:rFonts w:ascii="Arabic Transparent" w:hAnsi="Arabic Transparent" w:cs="Arabic Transparent" w:hint="cs"/>
          <w:sz w:val="28"/>
          <w:szCs w:val="28"/>
          <w:rtl/>
          <w:lang w:bidi="ar-JO"/>
        </w:rPr>
        <w:footnoteReference w:id="21"/>
      </w:r>
      <w:r w:rsidR="00C07B63" w:rsidRPr="00B529EB">
        <w:rPr>
          <w:rFonts w:ascii="Arabic Transparent" w:hAnsi="Arabic Transparent" w:cs="Arabic Transparent" w:hint="cs"/>
          <w:sz w:val="28"/>
          <w:szCs w:val="28"/>
          <w:vertAlign w:val="superscript"/>
          <w:rtl/>
          <w:lang w:bidi="ar-JO"/>
        </w:rPr>
        <w:t>)</w:t>
      </w:r>
      <w:r w:rsidR="007C21DD">
        <w:rPr>
          <w:rFonts w:ascii="Arabic Transparent" w:hAnsi="Arabic Transparent" w:cs="Arabic Transparent" w:hint="cs"/>
          <w:sz w:val="28"/>
          <w:szCs w:val="28"/>
          <w:rtl/>
          <w:lang w:bidi="ar-JO"/>
        </w:rPr>
        <w:t>.</w:t>
      </w:r>
    </w:p>
    <w:p w14:paraId="416BAC15" w14:textId="3C19E234" w:rsidR="0026473F" w:rsidRDefault="00BD632E" w:rsidP="00B74950">
      <w:pPr>
        <w:spacing w:after="0" w:line="360" w:lineRule="auto"/>
        <w:ind w:firstLine="473"/>
        <w:jc w:val="both"/>
        <w:rPr>
          <w:rFonts w:ascii="Arabic Transparent" w:hAnsi="Arabic Transparent" w:cs="Arabic Transparent"/>
          <w:sz w:val="28"/>
          <w:szCs w:val="28"/>
          <w:rtl/>
          <w:lang w:bidi="ar-JO"/>
        </w:rPr>
      </w:pPr>
      <w:r w:rsidRPr="00B529EB">
        <w:rPr>
          <w:rFonts w:ascii="Arabic Transparent" w:hAnsi="Arabic Transparent" w:cs="Arabic Transparent" w:hint="cs"/>
          <w:sz w:val="28"/>
          <w:szCs w:val="28"/>
          <w:rtl/>
          <w:lang w:bidi="ar-JO"/>
        </w:rPr>
        <w:t>والمعنى الذي يتناسب مع موضوع هذه ا</w:t>
      </w:r>
      <w:r w:rsidR="00902C78">
        <w:rPr>
          <w:rFonts w:ascii="Arabic Transparent" w:hAnsi="Arabic Transparent" w:cs="Arabic Transparent" w:hint="cs"/>
          <w:sz w:val="28"/>
          <w:szCs w:val="28"/>
          <w:rtl/>
          <w:lang w:bidi="ar-JO"/>
        </w:rPr>
        <w:t>لدراسة</w:t>
      </w:r>
      <w:r w:rsidR="00A00E64" w:rsidRPr="00B529EB">
        <w:rPr>
          <w:rFonts w:ascii="Arabic Transparent" w:hAnsi="Arabic Transparent" w:cs="Arabic Transparent" w:hint="cs"/>
          <w:sz w:val="28"/>
          <w:szCs w:val="28"/>
          <w:rtl/>
          <w:lang w:bidi="ar-JO"/>
        </w:rPr>
        <w:t xml:space="preserve"> لغةً</w:t>
      </w:r>
      <w:r w:rsidRPr="00B529EB">
        <w:rPr>
          <w:rFonts w:ascii="Arabic Transparent" w:hAnsi="Arabic Transparent" w:cs="Arabic Transparent" w:hint="cs"/>
          <w:sz w:val="28"/>
          <w:szCs w:val="28"/>
          <w:rtl/>
          <w:lang w:bidi="ar-JO"/>
        </w:rPr>
        <w:t xml:space="preserve"> هو </w:t>
      </w:r>
      <w:r w:rsidR="00A00E64" w:rsidRPr="00B529EB">
        <w:rPr>
          <w:rFonts w:ascii="Arabic Transparent" w:hAnsi="Arabic Transparent" w:cs="Arabic Transparent" w:hint="cs"/>
          <w:sz w:val="28"/>
          <w:szCs w:val="28"/>
          <w:rtl/>
          <w:lang w:bidi="ar-JO"/>
        </w:rPr>
        <w:t>التعليق، بمعنى أن يعلق المجتهد النص العام</w:t>
      </w:r>
      <w:r w:rsidR="008D4D46" w:rsidRPr="00B529EB">
        <w:rPr>
          <w:rFonts w:ascii="Arabic Transparent" w:hAnsi="Arabic Transparent" w:cs="Arabic Transparent" w:hint="cs"/>
          <w:sz w:val="28"/>
          <w:szCs w:val="28"/>
          <w:rtl/>
          <w:lang w:bidi="ar-JO"/>
        </w:rPr>
        <w:t xml:space="preserve"> من خلال تطبيق النص في</w:t>
      </w:r>
      <w:r w:rsidR="00D129CA">
        <w:rPr>
          <w:rFonts w:ascii="Arabic Transparent" w:hAnsi="Arabic Transparent" w:cs="Arabic Transparent" w:hint="cs"/>
          <w:sz w:val="28"/>
          <w:szCs w:val="28"/>
          <w:rtl/>
          <w:lang w:bidi="ar-JO"/>
        </w:rPr>
        <w:t xml:space="preserve"> بعض</w:t>
      </w:r>
      <w:r w:rsidR="008D4D46" w:rsidRPr="00B529EB">
        <w:rPr>
          <w:rFonts w:ascii="Arabic Transparent" w:hAnsi="Arabic Transparent" w:cs="Arabic Transparent" w:hint="cs"/>
          <w:sz w:val="28"/>
          <w:szCs w:val="28"/>
          <w:rtl/>
          <w:lang w:bidi="ar-JO"/>
        </w:rPr>
        <w:t xml:space="preserve"> أفراده،</w:t>
      </w:r>
      <w:r w:rsidR="00A00E64" w:rsidRPr="00B529EB">
        <w:rPr>
          <w:rFonts w:ascii="Arabic Transparent" w:hAnsi="Arabic Transparent" w:cs="Arabic Transparent" w:hint="cs"/>
          <w:sz w:val="28"/>
          <w:szCs w:val="28"/>
          <w:rtl/>
          <w:lang w:bidi="ar-JO"/>
        </w:rPr>
        <w:t xml:space="preserve"> أو </w:t>
      </w:r>
      <w:r w:rsidR="001D5C8B" w:rsidRPr="00B529EB">
        <w:rPr>
          <w:rFonts w:ascii="Arabic Transparent" w:hAnsi="Arabic Transparent" w:cs="Arabic Transparent" w:hint="cs"/>
          <w:sz w:val="28"/>
          <w:szCs w:val="28"/>
          <w:rtl/>
          <w:lang w:bidi="ar-JO"/>
        </w:rPr>
        <w:t>يعل</w:t>
      </w:r>
      <w:r w:rsidR="00D129CA">
        <w:rPr>
          <w:rFonts w:ascii="Arabic Transparent" w:hAnsi="Arabic Transparent" w:cs="Arabic Transparent" w:hint="cs"/>
          <w:sz w:val="28"/>
          <w:szCs w:val="28"/>
          <w:rtl/>
          <w:lang w:bidi="ar-JO"/>
        </w:rPr>
        <w:t>ِّ</w:t>
      </w:r>
      <w:r w:rsidR="001D5C8B" w:rsidRPr="00B529EB">
        <w:rPr>
          <w:rFonts w:ascii="Arabic Transparent" w:hAnsi="Arabic Transparent" w:cs="Arabic Transparent" w:hint="cs"/>
          <w:sz w:val="28"/>
          <w:szCs w:val="28"/>
          <w:rtl/>
          <w:lang w:bidi="ar-JO"/>
        </w:rPr>
        <w:t xml:space="preserve">ق </w:t>
      </w:r>
      <w:r w:rsidR="00A00E64" w:rsidRPr="00B529EB">
        <w:rPr>
          <w:rFonts w:ascii="Arabic Transparent" w:hAnsi="Arabic Transparent" w:cs="Arabic Transparent" w:hint="cs"/>
          <w:sz w:val="28"/>
          <w:szCs w:val="28"/>
          <w:rtl/>
          <w:lang w:bidi="ar-JO"/>
        </w:rPr>
        <w:t xml:space="preserve">العلة على إيقاع الحكم، </w:t>
      </w:r>
      <w:r w:rsidR="00552489">
        <w:rPr>
          <w:rFonts w:ascii="Arabic Transparent" w:hAnsi="Arabic Transparent" w:cs="Arabic Transparent" w:hint="cs"/>
          <w:sz w:val="28"/>
          <w:szCs w:val="28"/>
          <w:rtl/>
          <w:lang w:bidi="ar-JO"/>
        </w:rPr>
        <w:t>"</w:t>
      </w:r>
      <w:r w:rsidR="00A00E64" w:rsidRPr="00B529EB">
        <w:rPr>
          <w:rFonts w:ascii="Arabic Transparent" w:hAnsi="Arabic Transparent" w:cs="Arabic Transparent" w:hint="cs"/>
          <w:sz w:val="28"/>
          <w:szCs w:val="28"/>
          <w:rtl/>
          <w:lang w:bidi="ar-JO"/>
        </w:rPr>
        <w:t>كالعلم بأن السرقة هي مناط القطع، فيحقق المجتهد وجودها في النباش، لأخذه الكفن من حرز مثله</w:t>
      </w:r>
      <w:r w:rsidR="00552489">
        <w:rPr>
          <w:rFonts w:ascii="Arabic Transparent" w:hAnsi="Arabic Transparent" w:cs="Arabic Transparent" w:hint="cs"/>
          <w:sz w:val="28"/>
          <w:szCs w:val="28"/>
          <w:rtl/>
          <w:lang w:bidi="ar-JO"/>
        </w:rPr>
        <w:t>"</w:t>
      </w:r>
      <w:r w:rsidR="00A00E64" w:rsidRPr="00B529EB">
        <w:rPr>
          <w:rFonts w:ascii="Arabic Transparent" w:hAnsi="Arabic Transparent" w:cs="Arabic Transparent" w:hint="cs"/>
          <w:sz w:val="28"/>
          <w:szCs w:val="28"/>
          <w:vertAlign w:val="superscript"/>
          <w:rtl/>
          <w:lang w:bidi="ar-JO"/>
        </w:rPr>
        <w:t>(</w:t>
      </w:r>
      <w:r w:rsidR="00A00E64" w:rsidRPr="00B529EB">
        <w:rPr>
          <w:rStyle w:val="FootnoteReference"/>
          <w:rFonts w:ascii="Arabic Transparent" w:hAnsi="Arabic Transparent" w:cs="Arabic Transparent" w:hint="cs"/>
          <w:sz w:val="28"/>
          <w:szCs w:val="28"/>
          <w:rtl/>
          <w:lang w:bidi="ar-JO"/>
        </w:rPr>
        <w:footnoteReference w:id="22"/>
      </w:r>
      <w:r w:rsidR="00A00E64" w:rsidRPr="00B529EB">
        <w:rPr>
          <w:rFonts w:ascii="Arabic Transparent" w:hAnsi="Arabic Transparent" w:cs="Arabic Transparent" w:hint="cs"/>
          <w:sz w:val="28"/>
          <w:szCs w:val="28"/>
          <w:vertAlign w:val="superscript"/>
          <w:rtl/>
          <w:lang w:bidi="ar-JO"/>
        </w:rPr>
        <w:t>)</w:t>
      </w:r>
      <w:r w:rsidR="00A00E64" w:rsidRPr="00B529EB">
        <w:rPr>
          <w:rFonts w:ascii="Arabic Transparent" w:hAnsi="Arabic Transparent" w:cs="Arabic Transparent" w:hint="cs"/>
          <w:sz w:val="28"/>
          <w:szCs w:val="28"/>
          <w:rtl/>
          <w:lang w:bidi="ar-JO"/>
        </w:rPr>
        <w:t>.</w:t>
      </w:r>
      <w:r w:rsidR="00986F7A">
        <w:rPr>
          <w:rFonts w:ascii="Arabic Transparent" w:hAnsi="Arabic Transparent" w:cs="Arabic Transparent" w:hint="cs"/>
          <w:sz w:val="28"/>
          <w:szCs w:val="28"/>
          <w:rtl/>
          <w:lang w:bidi="ar-JO"/>
        </w:rPr>
        <w:t xml:space="preserve"> </w:t>
      </w:r>
      <w:r w:rsidR="00990482">
        <w:rPr>
          <w:rFonts w:ascii="Arabic Transparent" w:hAnsi="Arabic Transparent" w:cs="Arabic Transparent" w:hint="cs"/>
          <w:sz w:val="28"/>
          <w:szCs w:val="28"/>
          <w:rtl/>
          <w:lang w:bidi="ar-JO"/>
        </w:rPr>
        <w:t xml:space="preserve"> </w:t>
      </w:r>
    </w:p>
    <w:p w14:paraId="5AEE0E8F" w14:textId="77777777" w:rsidR="00C07B63" w:rsidRPr="00D129CA" w:rsidRDefault="00C07B63" w:rsidP="003D2884">
      <w:pPr>
        <w:spacing w:after="0" w:line="360" w:lineRule="auto"/>
        <w:jc w:val="both"/>
        <w:rPr>
          <w:rFonts w:ascii="Arabic Transparent" w:hAnsi="Arabic Transparent" w:cs="Arabic Transparent"/>
          <w:b/>
          <w:bCs/>
          <w:sz w:val="28"/>
          <w:szCs w:val="28"/>
          <w:rtl/>
          <w:lang w:bidi="ar-JO"/>
        </w:rPr>
      </w:pPr>
      <w:r w:rsidRPr="00D129CA">
        <w:rPr>
          <w:rFonts w:ascii="Arabic Transparent" w:hAnsi="Arabic Transparent" w:cs="Arabic Transparent" w:hint="cs"/>
          <w:b/>
          <w:bCs/>
          <w:sz w:val="28"/>
          <w:szCs w:val="28"/>
          <w:rtl/>
          <w:lang w:bidi="ar-JO"/>
        </w:rPr>
        <w:t xml:space="preserve">ثانياً: المناط اصطلاحاً: </w:t>
      </w:r>
    </w:p>
    <w:p w14:paraId="5B82FF36" w14:textId="3104AE4B" w:rsidR="0078671F" w:rsidRDefault="000330F3" w:rsidP="00FB645B">
      <w:pPr>
        <w:spacing w:after="0" w:line="360" w:lineRule="auto"/>
        <w:ind w:firstLine="473"/>
        <w:jc w:val="both"/>
        <w:rPr>
          <w:rFonts w:ascii="Arabic Transparent" w:hAnsi="Arabic Transparent" w:cs="Arabic Transparent"/>
          <w:sz w:val="28"/>
          <w:szCs w:val="28"/>
          <w:rtl/>
          <w:lang w:bidi="ar-JO"/>
        </w:rPr>
      </w:pPr>
      <w:r w:rsidRPr="00B529EB">
        <w:rPr>
          <w:rFonts w:ascii="Arabic Transparent" w:hAnsi="Arabic Transparent" w:cs="Arabic Transparent" w:hint="cs"/>
          <w:sz w:val="28"/>
          <w:szCs w:val="28"/>
          <w:rtl/>
          <w:lang w:bidi="ar-JO"/>
        </w:rPr>
        <w:t>بعد الاستقراء تبي</w:t>
      </w:r>
      <w:r w:rsidR="00FB645B">
        <w:rPr>
          <w:rFonts w:ascii="Arabic Transparent" w:hAnsi="Arabic Transparent" w:cs="Arabic Transparent" w:hint="cs"/>
          <w:sz w:val="28"/>
          <w:szCs w:val="28"/>
          <w:rtl/>
          <w:lang w:bidi="ar-JO"/>
        </w:rPr>
        <w:t>َّ</w:t>
      </w:r>
      <w:r w:rsidRPr="00B529EB">
        <w:rPr>
          <w:rFonts w:ascii="Arabic Transparent" w:hAnsi="Arabic Transparent" w:cs="Arabic Transparent" w:hint="cs"/>
          <w:sz w:val="28"/>
          <w:szCs w:val="28"/>
          <w:rtl/>
          <w:lang w:bidi="ar-JO"/>
        </w:rPr>
        <w:t>ن أن</w:t>
      </w:r>
      <w:r w:rsidR="00FB645B">
        <w:rPr>
          <w:rFonts w:ascii="Arabic Transparent" w:hAnsi="Arabic Transparent" w:cs="Arabic Transparent" w:hint="cs"/>
          <w:sz w:val="28"/>
          <w:szCs w:val="28"/>
          <w:rtl/>
          <w:lang w:bidi="ar-JO"/>
        </w:rPr>
        <w:t>َّ</w:t>
      </w:r>
      <w:r w:rsidRPr="00B529EB">
        <w:rPr>
          <w:rFonts w:ascii="Arabic Transparent" w:hAnsi="Arabic Transparent" w:cs="Arabic Transparent" w:hint="cs"/>
          <w:sz w:val="28"/>
          <w:szCs w:val="28"/>
          <w:rtl/>
          <w:lang w:bidi="ar-JO"/>
        </w:rPr>
        <w:t xml:space="preserve"> مصطلح </w:t>
      </w:r>
      <w:r w:rsidR="00E2441A" w:rsidRPr="00B529EB">
        <w:rPr>
          <w:rFonts w:ascii="Arabic Transparent" w:hAnsi="Arabic Transparent" w:cs="Arabic Transparent" w:hint="cs"/>
          <w:sz w:val="28"/>
          <w:szCs w:val="28"/>
          <w:rtl/>
          <w:lang w:bidi="ar-JO"/>
        </w:rPr>
        <w:t xml:space="preserve">المناط </w:t>
      </w:r>
      <w:r w:rsidR="0026473F">
        <w:rPr>
          <w:rFonts w:ascii="Arabic Transparent" w:hAnsi="Arabic Transparent" w:cs="Arabic Transparent" w:hint="cs"/>
          <w:sz w:val="28"/>
          <w:szCs w:val="28"/>
          <w:rtl/>
          <w:lang w:bidi="ar-JO"/>
        </w:rPr>
        <w:t>يعد</w:t>
      </w:r>
      <w:r w:rsidR="00FB0F79">
        <w:rPr>
          <w:rFonts w:ascii="Arabic Transparent" w:hAnsi="Arabic Transparent" w:cs="Arabic Transparent" w:hint="cs"/>
          <w:sz w:val="28"/>
          <w:szCs w:val="28"/>
          <w:rtl/>
          <w:lang w:bidi="ar-JO"/>
        </w:rPr>
        <w:t xml:space="preserve"> مرادف</w:t>
      </w:r>
      <w:r w:rsidR="0026473F">
        <w:rPr>
          <w:rFonts w:ascii="Arabic Transparent" w:hAnsi="Arabic Transparent" w:cs="Arabic Transparent" w:hint="cs"/>
          <w:sz w:val="28"/>
          <w:szCs w:val="28"/>
          <w:rtl/>
          <w:lang w:bidi="ar-JO"/>
        </w:rPr>
        <w:t>اً</w:t>
      </w:r>
      <w:r w:rsidR="00DB5A1B">
        <w:rPr>
          <w:rFonts w:ascii="Arabic Transparent" w:hAnsi="Arabic Transparent" w:cs="Arabic Transparent" w:hint="cs"/>
          <w:sz w:val="28"/>
          <w:szCs w:val="28"/>
          <w:rtl/>
          <w:lang w:bidi="ar-JO"/>
        </w:rPr>
        <w:t xml:space="preserve"> لمصطلح ا</w:t>
      </w:r>
      <w:r w:rsidR="00FB0F79">
        <w:rPr>
          <w:rFonts w:ascii="Arabic Transparent" w:hAnsi="Arabic Transparent" w:cs="Arabic Transparent" w:hint="cs"/>
          <w:sz w:val="28"/>
          <w:szCs w:val="28"/>
          <w:rtl/>
          <w:lang w:bidi="ar-JO"/>
        </w:rPr>
        <w:t>لعلة و</w:t>
      </w:r>
      <w:r w:rsidR="0026473F">
        <w:rPr>
          <w:rFonts w:ascii="Arabic Transparent" w:hAnsi="Arabic Transparent" w:cs="Arabic Transparent" w:hint="cs"/>
          <w:sz w:val="28"/>
          <w:szCs w:val="28"/>
          <w:rtl/>
          <w:lang w:bidi="ar-JO"/>
        </w:rPr>
        <w:t xml:space="preserve">عند آخرين </w:t>
      </w:r>
      <w:r w:rsidR="00FB0F79">
        <w:rPr>
          <w:rFonts w:ascii="Arabic Transparent" w:hAnsi="Arabic Transparent" w:cs="Arabic Transparent" w:hint="cs"/>
          <w:sz w:val="28"/>
          <w:szCs w:val="28"/>
          <w:rtl/>
          <w:lang w:bidi="ar-JO"/>
        </w:rPr>
        <w:t>يشمل العلة وغيرها،</w:t>
      </w:r>
      <w:r w:rsidR="0078671F">
        <w:rPr>
          <w:rFonts w:ascii="Arabic Transparent" w:hAnsi="Arabic Transparent" w:cs="Arabic Transparent" w:hint="cs"/>
          <w:sz w:val="28"/>
          <w:szCs w:val="28"/>
          <w:rtl/>
          <w:lang w:bidi="ar-JO"/>
        </w:rPr>
        <w:t xml:space="preserve"> كما </w:t>
      </w:r>
      <w:r w:rsidR="00BF1052">
        <w:rPr>
          <w:rFonts w:ascii="Arabic Transparent" w:hAnsi="Arabic Transparent" w:cs="Arabic Transparent" w:hint="cs"/>
          <w:sz w:val="28"/>
          <w:szCs w:val="28"/>
          <w:rtl/>
          <w:lang w:bidi="ar-JO"/>
        </w:rPr>
        <w:t>يأتي</w:t>
      </w:r>
      <w:r w:rsidR="0078671F">
        <w:rPr>
          <w:rFonts w:ascii="Arabic Transparent" w:hAnsi="Arabic Transparent" w:cs="Arabic Transparent" w:hint="cs"/>
          <w:sz w:val="28"/>
          <w:szCs w:val="28"/>
          <w:rtl/>
          <w:lang w:bidi="ar-JO"/>
        </w:rPr>
        <w:t>:</w:t>
      </w:r>
    </w:p>
    <w:p w14:paraId="1FB388E7" w14:textId="3302376D" w:rsidR="005112EE" w:rsidRDefault="0078671F" w:rsidP="005112EE">
      <w:pPr>
        <w:spacing w:after="0" w:line="360" w:lineRule="auto"/>
        <w:jc w:val="both"/>
        <w:rPr>
          <w:rFonts w:ascii="Arabic Transparent" w:hAnsi="Arabic Transparent" w:cs="Arabic Transparent"/>
          <w:sz w:val="28"/>
          <w:szCs w:val="28"/>
          <w:rtl/>
          <w:lang w:bidi="ar-JO"/>
        </w:rPr>
      </w:pPr>
      <w:r>
        <w:rPr>
          <w:rFonts w:ascii="Arabic Transparent" w:hAnsi="Arabic Transparent" w:cs="Arabic Transparent" w:hint="cs"/>
          <w:sz w:val="28"/>
          <w:szCs w:val="28"/>
          <w:rtl/>
          <w:lang w:bidi="ar-JO"/>
        </w:rPr>
        <w:t>1-</w:t>
      </w:r>
      <w:r w:rsidR="00AB1249">
        <w:rPr>
          <w:rFonts w:ascii="Arabic Transparent" w:hAnsi="Arabic Transparent" w:cs="Arabic Transparent" w:hint="cs"/>
          <w:sz w:val="28"/>
          <w:szCs w:val="28"/>
          <w:rtl/>
          <w:lang w:bidi="ar-JO"/>
        </w:rPr>
        <w:t xml:space="preserve"> </w:t>
      </w:r>
      <w:r w:rsidR="00AA23C0">
        <w:rPr>
          <w:rFonts w:ascii="Arabic Transparent" w:hAnsi="Arabic Transparent" w:cs="Arabic Transparent" w:hint="cs"/>
          <w:sz w:val="28"/>
          <w:szCs w:val="28"/>
          <w:rtl/>
          <w:lang w:bidi="ar-JO"/>
        </w:rPr>
        <w:t xml:space="preserve">عرّف </w:t>
      </w:r>
      <w:r w:rsidR="00DB5A1B">
        <w:rPr>
          <w:rFonts w:ascii="Arabic Transparent" w:hAnsi="Arabic Transparent" w:cs="Arabic Transparent" w:hint="cs"/>
          <w:sz w:val="28"/>
          <w:szCs w:val="28"/>
          <w:rtl/>
          <w:lang w:bidi="ar-JO"/>
        </w:rPr>
        <w:t xml:space="preserve">المناط </w:t>
      </w:r>
      <w:r w:rsidR="00AA23C0">
        <w:rPr>
          <w:rFonts w:ascii="Arabic Transparent" w:hAnsi="Arabic Transparent" w:cs="Arabic Transparent" w:hint="cs"/>
          <w:sz w:val="28"/>
          <w:szCs w:val="28"/>
          <w:rtl/>
          <w:lang w:bidi="ar-JO"/>
        </w:rPr>
        <w:t xml:space="preserve">باعتباره </w:t>
      </w:r>
      <w:r w:rsidR="00AB1249" w:rsidRPr="00AB1249">
        <w:rPr>
          <w:rFonts w:ascii="Arabic Transparent" w:hAnsi="Arabic Transparent" w:cs="Arabic Transparent"/>
          <w:sz w:val="28"/>
          <w:szCs w:val="28"/>
          <w:rtl/>
          <w:lang w:bidi="ar-JO"/>
        </w:rPr>
        <w:t>مرادف</w:t>
      </w:r>
      <w:r w:rsidR="0026473F">
        <w:rPr>
          <w:rFonts w:ascii="Arabic Transparent" w:hAnsi="Arabic Transparent" w:cs="Arabic Transparent" w:hint="cs"/>
          <w:sz w:val="28"/>
          <w:szCs w:val="28"/>
          <w:rtl/>
          <w:lang w:bidi="ar-JO"/>
        </w:rPr>
        <w:t>اً</w:t>
      </w:r>
      <w:r w:rsidR="00AB1249" w:rsidRPr="00AB1249">
        <w:rPr>
          <w:rFonts w:ascii="Arabic Transparent" w:hAnsi="Arabic Transparent" w:cs="Arabic Transparent"/>
          <w:sz w:val="28"/>
          <w:szCs w:val="28"/>
          <w:rtl/>
          <w:lang w:bidi="ar-JO"/>
        </w:rPr>
        <w:t xml:space="preserve"> لم</w:t>
      </w:r>
      <w:r w:rsidR="00DB5A1B">
        <w:rPr>
          <w:rFonts w:ascii="Arabic Transparent" w:hAnsi="Arabic Transparent" w:cs="Arabic Transparent" w:hint="cs"/>
          <w:sz w:val="28"/>
          <w:szCs w:val="28"/>
          <w:rtl/>
          <w:lang w:bidi="ar-JO"/>
        </w:rPr>
        <w:t xml:space="preserve">عنى </w:t>
      </w:r>
      <w:r w:rsidR="00AB1249" w:rsidRPr="00AB1249">
        <w:rPr>
          <w:rFonts w:ascii="Arabic Transparent" w:hAnsi="Arabic Transparent" w:cs="Arabic Transparent"/>
          <w:sz w:val="28"/>
          <w:szCs w:val="28"/>
          <w:rtl/>
          <w:lang w:bidi="ar-JO"/>
        </w:rPr>
        <w:t>العلة</w:t>
      </w:r>
      <w:r w:rsidR="00AB1249">
        <w:rPr>
          <w:rFonts w:ascii="Arabic Transparent" w:hAnsi="Arabic Transparent" w:cs="Arabic Transparent" w:hint="cs"/>
          <w:sz w:val="28"/>
          <w:szCs w:val="28"/>
          <w:rtl/>
          <w:lang w:bidi="ar-JO"/>
        </w:rPr>
        <w:t>:</w:t>
      </w:r>
      <w:r w:rsidR="00DB5A1B">
        <w:rPr>
          <w:rFonts w:ascii="Arabic Transparent" w:hAnsi="Arabic Transparent" w:cs="Arabic Transparent" w:hint="cs"/>
          <w:sz w:val="28"/>
          <w:szCs w:val="28"/>
          <w:rtl/>
          <w:lang w:bidi="ar-JO"/>
        </w:rPr>
        <w:t xml:space="preserve"> </w:t>
      </w:r>
      <w:r w:rsidR="00DB5A1B" w:rsidRPr="00B529EB">
        <w:rPr>
          <w:rFonts w:ascii="Arabic Transparent" w:hAnsi="Arabic Transparent" w:cs="Arabic Transparent" w:hint="cs"/>
          <w:sz w:val="28"/>
          <w:szCs w:val="28"/>
          <w:rtl/>
          <w:lang w:bidi="ar-JO"/>
        </w:rPr>
        <w:t xml:space="preserve">حيث قال </w:t>
      </w:r>
      <w:r w:rsidR="00305834" w:rsidRPr="00B529EB">
        <w:rPr>
          <w:rFonts w:ascii="Arabic Transparent" w:hAnsi="Arabic Transparent" w:cs="Arabic Transparent" w:hint="cs"/>
          <w:sz w:val="28"/>
          <w:szCs w:val="28"/>
          <w:rtl/>
          <w:lang w:bidi="ar-JO"/>
        </w:rPr>
        <w:t>الغزالي</w:t>
      </w:r>
      <w:r w:rsidR="00305834">
        <w:rPr>
          <w:rFonts w:ascii="Arabic Transparent" w:hAnsi="Arabic Transparent" w:cs="Arabic Transparent" w:hint="cs"/>
          <w:sz w:val="28"/>
          <w:szCs w:val="28"/>
          <w:rtl/>
          <w:lang w:bidi="ar-JO"/>
        </w:rPr>
        <w:t>:</w:t>
      </w:r>
      <w:r w:rsidR="00305834" w:rsidRPr="00B529EB">
        <w:rPr>
          <w:rFonts w:ascii="Arabic Transparent" w:hAnsi="Arabic Transparent" w:cs="Arabic Transparent" w:hint="cs"/>
          <w:sz w:val="28"/>
          <w:szCs w:val="28"/>
          <w:rtl/>
          <w:lang w:bidi="ar-JO"/>
        </w:rPr>
        <w:t xml:space="preserve"> "العل</w:t>
      </w:r>
      <w:r w:rsidR="00305834" w:rsidRPr="00B529EB">
        <w:rPr>
          <w:rFonts w:ascii="Arabic Transparent" w:hAnsi="Arabic Transparent" w:cs="Arabic Transparent" w:hint="eastAsia"/>
          <w:sz w:val="28"/>
          <w:szCs w:val="28"/>
          <w:rtl/>
          <w:lang w:bidi="ar-JO"/>
        </w:rPr>
        <w:t>ة</w:t>
      </w:r>
      <w:r w:rsidR="00DB5A1B" w:rsidRPr="00B529EB">
        <w:rPr>
          <w:rFonts w:ascii="Arabic Transparent" w:hAnsi="Arabic Transparent" w:cs="Arabic Transparent" w:hint="cs"/>
          <w:sz w:val="28"/>
          <w:szCs w:val="28"/>
          <w:rtl/>
          <w:lang w:bidi="ar-JO"/>
        </w:rPr>
        <w:t xml:space="preserve"> في الشرعيات مناط الحكم، أي: ما أضاف الشرع الحكم إليه، وناطه به، ونصبه علامة عليه"</w:t>
      </w:r>
      <w:r w:rsidR="00DB5A1B" w:rsidRPr="00B529EB">
        <w:rPr>
          <w:rFonts w:ascii="Arabic Transparent" w:hAnsi="Arabic Transparent" w:cs="Arabic Transparent" w:hint="cs"/>
          <w:sz w:val="28"/>
          <w:szCs w:val="28"/>
          <w:vertAlign w:val="superscript"/>
          <w:rtl/>
          <w:lang w:bidi="ar-JO"/>
        </w:rPr>
        <w:t>(</w:t>
      </w:r>
      <w:r w:rsidR="00DB5A1B" w:rsidRPr="00B529EB">
        <w:rPr>
          <w:rStyle w:val="FootnoteReference"/>
          <w:rFonts w:ascii="Arabic Transparent" w:hAnsi="Arabic Transparent" w:cs="Arabic Transparent" w:hint="cs"/>
          <w:sz w:val="28"/>
          <w:szCs w:val="28"/>
          <w:rtl/>
          <w:lang w:bidi="ar-JO"/>
        </w:rPr>
        <w:footnoteReference w:id="23"/>
      </w:r>
      <w:r w:rsidR="00DB5A1B" w:rsidRPr="00B529EB">
        <w:rPr>
          <w:rFonts w:ascii="Arabic Transparent" w:hAnsi="Arabic Transparent" w:cs="Arabic Transparent" w:hint="cs"/>
          <w:sz w:val="28"/>
          <w:szCs w:val="28"/>
          <w:vertAlign w:val="superscript"/>
          <w:rtl/>
          <w:lang w:bidi="ar-JO"/>
        </w:rPr>
        <w:t>)</w:t>
      </w:r>
      <w:r w:rsidR="00AA23C0">
        <w:rPr>
          <w:rFonts w:ascii="Arabic Transparent" w:hAnsi="Arabic Transparent" w:cs="Arabic Transparent" w:hint="cs"/>
          <w:sz w:val="28"/>
          <w:szCs w:val="28"/>
          <w:rtl/>
          <w:lang w:bidi="ar-JO"/>
        </w:rPr>
        <w:t xml:space="preserve"> </w:t>
      </w:r>
    </w:p>
    <w:p w14:paraId="4E5CF292" w14:textId="77777777" w:rsidR="005112EE" w:rsidRDefault="005112EE">
      <w:pPr>
        <w:bidi w:val="0"/>
        <w:spacing w:after="0" w:line="240" w:lineRule="auto"/>
        <w:rPr>
          <w:rFonts w:ascii="Arabic Transparent" w:hAnsi="Arabic Transparent" w:cs="Arabic Transparent"/>
          <w:sz w:val="28"/>
          <w:szCs w:val="28"/>
          <w:rtl/>
          <w:lang w:bidi="ar-JO"/>
        </w:rPr>
      </w:pPr>
      <w:r>
        <w:rPr>
          <w:rFonts w:ascii="Arabic Transparent" w:hAnsi="Arabic Transparent" w:cs="Arabic Transparent"/>
          <w:sz w:val="28"/>
          <w:szCs w:val="28"/>
          <w:rtl/>
          <w:lang w:bidi="ar-JO"/>
        </w:rPr>
        <w:br w:type="page"/>
      </w:r>
    </w:p>
    <w:p w14:paraId="6D2CCD1B" w14:textId="4AC0D7E5" w:rsidR="00DB5A1B" w:rsidRDefault="005112EE" w:rsidP="005112EE">
      <w:pPr>
        <w:spacing w:after="0" w:line="360" w:lineRule="auto"/>
        <w:jc w:val="both"/>
        <w:rPr>
          <w:rFonts w:ascii="Arabic Transparent" w:hAnsi="Arabic Transparent" w:cs="Arabic Transparent"/>
          <w:sz w:val="28"/>
          <w:szCs w:val="28"/>
          <w:rtl/>
          <w:lang w:bidi="ar-JO"/>
        </w:rPr>
      </w:pPr>
      <w:r w:rsidRPr="00B529EB">
        <w:rPr>
          <w:rFonts w:ascii="Arabic Transparent" w:hAnsi="Arabic Transparent" w:cs="Arabic Transparent" w:hint="cs"/>
          <w:sz w:val="28"/>
          <w:szCs w:val="28"/>
          <w:rtl/>
          <w:lang w:bidi="ar-JO"/>
        </w:rPr>
        <w:t>وصر</w:t>
      </w:r>
      <w:r>
        <w:rPr>
          <w:rFonts w:ascii="Arabic Transparent" w:hAnsi="Arabic Transparent" w:cs="Arabic Transparent" w:hint="cs"/>
          <w:sz w:val="28"/>
          <w:szCs w:val="28"/>
          <w:rtl/>
          <w:lang w:bidi="ar-JO"/>
        </w:rPr>
        <w:t>َّ</w:t>
      </w:r>
      <w:r w:rsidRPr="00B529EB">
        <w:rPr>
          <w:rFonts w:ascii="Arabic Transparent" w:hAnsi="Arabic Transparent" w:cs="Arabic Transparent" w:hint="cs"/>
          <w:sz w:val="28"/>
          <w:szCs w:val="28"/>
          <w:rtl/>
          <w:lang w:bidi="ar-JO"/>
        </w:rPr>
        <w:t>ح الشوكاني بذلك</w:t>
      </w:r>
      <w:r>
        <w:rPr>
          <w:rFonts w:ascii="Arabic Transparent" w:hAnsi="Arabic Transparent" w:cs="Arabic Transparent" w:hint="cs"/>
          <w:sz w:val="28"/>
          <w:szCs w:val="28"/>
          <w:rtl/>
          <w:lang w:bidi="ar-JO"/>
        </w:rPr>
        <w:t>،</w:t>
      </w:r>
      <w:r w:rsidRPr="00B529EB">
        <w:rPr>
          <w:rFonts w:ascii="Arabic Transparent" w:hAnsi="Arabic Transparent" w:cs="Arabic Transparent" w:hint="cs"/>
          <w:sz w:val="28"/>
          <w:szCs w:val="28"/>
          <w:rtl/>
          <w:lang w:bidi="ar-JO"/>
        </w:rPr>
        <w:t xml:space="preserve"> فقال:</w:t>
      </w:r>
      <w:r w:rsidR="00DB5A1B" w:rsidRPr="00B529EB">
        <w:rPr>
          <w:rFonts w:ascii="Arabic Transparent" w:hAnsi="Arabic Transparent" w:cs="Arabic Transparent" w:hint="cs"/>
          <w:sz w:val="28"/>
          <w:szCs w:val="28"/>
          <w:rtl/>
          <w:lang w:bidi="ar-JO"/>
        </w:rPr>
        <w:t xml:space="preserve"> "المناط هو العلة"</w:t>
      </w:r>
      <w:r w:rsidRPr="00B529EB">
        <w:rPr>
          <w:rFonts w:ascii="Arabic Transparent" w:hAnsi="Arabic Transparent" w:cs="Arabic Transparent" w:hint="cs"/>
          <w:sz w:val="28"/>
          <w:szCs w:val="28"/>
          <w:vertAlign w:val="superscript"/>
          <w:rtl/>
          <w:lang w:bidi="ar-JO"/>
        </w:rPr>
        <w:t>(</w:t>
      </w:r>
      <w:r w:rsidRPr="00B529EB">
        <w:rPr>
          <w:rStyle w:val="FootnoteReference"/>
          <w:rFonts w:ascii="Arabic Transparent" w:hAnsi="Arabic Transparent" w:cs="Arabic Transparent" w:hint="cs"/>
          <w:sz w:val="28"/>
          <w:szCs w:val="28"/>
          <w:rtl/>
          <w:lang w:bidi="ar-JO"/>
        </w:rPr>
        <w:footnoteReference w:id="24"/>
      </w:r>
      <w:r w:rsidRPr="00B529EB">
        <w:rPr>
          <w:rFonts w:ascii="Arabic Transparent" w:hAnsi="Arabic Transparent" w:cs="Arabic Transparent" w:hint="cs"/>
          <w:sz w:val="28"/>
          <w:szCs w:val="28"/>
          <w:vertAlign w:val="superscript"/>
          <w:rtl/>
          <w:lang w:bidi="ar-JO"/>
        </w:rPr>
        <w:t>)</w:t>
      </w:r>
      <w:r>
        <w:rPr>
          <w:rFonts w:ascii="Arabic Transparent" w:hAnsi="Arabic Transparent" w:cs="Arabic Transparent" w:hint="cs"/>
          <w:sz w:val="28"/>
          <w:szCs w:val="28"/>
          <w:rtl/>
          <w:lang w:bidi="ar-JO"/>
        </w:rPr>
        <w:t>، وعرّف بالتعريفات التالية:</w:t>
      </w:r>
    </w:p>
    <w:p w14:paraId="6BE7709C" w14:textId="632757B6" w:rsidR="00166A36" w:rsidRPr="00B529EB" w:rsidRDefault="00166A36" w:rsidP="00166A36">
      <w:pPr>
        <w:spacing w:after="0" w:line="360" w:lineRule="auto"/>
        <w:jc w:val="both"/>
        <w:rPr>
          <w:rFonts w:ascii="Arabic Transparent" w:hAnsi="Arabic Transparent" w:cs="Arabic Transparent"/>
          <w:sz w:val="28"/>
          <w:szCs w:val="28"/>
          <w:rtl/>
          <w:lang w:bidi="ar-JO"/>
        </w:rPr>
      </w:pPr>
      <w:r>
        <w:rPr>
          <w:rFonts w:ascii="Arabic Transparent" w:hAnsi="Arabic Transparent" w:cs="Arabic Transparent" w:hint="cs"/>
          <w:sz w:val="28"/>
          <w:szCs w:val="28"/>
          <w:rtl/>
          <w:lang w:bidi="ar-JO"/>
        </w:rPr>
        <w:t xml:space="preserve">عرفه الرازي حيث </w:t>
      </w:r>
      <w:r w:rsidRPr="00B529EB">
        <w:rPr>
          <w:rFonts w:ascii="Arabic Transparent" w:hAnsi="Arabic Transparent" w:cs="Arabic Transparent" w:hint="cs"/>
          <w:sz w:val="28"/>
          <w:szCs w:val="28"/>
          <w:rtl/>
          <w:lang w:bidi="ar-JO"/>
        </w:rPr>
        <w:t>قال</w:t>
      </w:r>
      <w:r w:rsidR="00C07B2C">
        <w:rPr>
          <w:rFonts w:ascii="Arabic Transparent" w:hAnsi="Arabic Transparent" w:cs="Arabic Transparent" w:hint="cs"/>
          <w:sz w:val="28"/>
          <w:szCs w:val="28"/>
          <w:rtl/>
          <w:lang w:bidi="ar-JO"/>
        </w:rPr>
        <w:t>،</w:t>
      </w:r>
      <w:r w:rsidRPr="00B529EB">
        <w:rPr>
          <w:rFonts w:ascii="Arabic Transparent" w:hAnsi="Arabic Transparent" w:cs="Arabic Transparent" w:hint="cs"/>
          <w:sz w:val="28"/>
          <w:szCs w:val="28"/>
          <w:rtl/>
          <w:lang w:bidi="ar-JO"/>
        </w:rPr>
        <w:t xml:space="preserve"> بأنّه: "الوصف الظاهر المنضبط الذي جعله الشارع معرفاً للحكم"</w:t>
      </w:r>
      <w:r w:rsidRPr="00B529EB">
        <w:rPr>
          <w:rFonts w:ascii="Arabic Transparent" w:hAnsi="Arabic Transparent" w:cs="Arabic Transparent" w:hint="cs"/>
          <w:sz w:val="28"/>
          <w:szCs w:val="28"/>
          <w:vertAlign w:val="superscript"/>
          <w:rtl/>
          <w:lang w:bidi="ar-JO"/>
        </w:rPr>
        <w:t>(</w:t>
      </w:r>
      <w:r w:rsidRPr="00B529EB">
        <w:rPr>
          <w:rStyle w:val="FootnoteReference"/>
          <w:rFonts w:ascii="Arabic Transparent" w:hAnsi="Arabic Transparent" w:cs="Arabic Transparent" w:hint="cs"/>
          <w:sz w:val="28"/>
          <w:szCs w:val="28"/>
          <w:rtl/>
          <w:lang w:bidi="ar-JO"/>
        </w:rPr>
        <w:footnoteReference w:id="25"/>
      </w:r>
      <w:r w:rsidRPr="00B529EB">
        <w:rPr>
          <w:rFonts w:ascii="Arabic Transparent" w:hAnsi="Arabic Transparent" w:cs="Arabic Transparent" w:hint="cs"/>
          <w:sz w:val="28"/>
          <w:szCs w:val="28"/>
          <w:vertAlign w:val="superscript"/>
          <w:rtl/>
          <w:lang w:bidi="ar-JO"/>
        </w:rPr>
        <w:t>)</w:t>
      </w:r>
      <w:r w:rsidRPr="00B529EB">
        <w:rPr>
          <w:rFonts w:ascii="Arabic Transparent" w:hAnsi="Arabic Transparent" w:cs="Arabic Transparent" w:hint="cs"/>
          <w:sz w:val="28"/>
          <w:szCs w:val="28"/>
          <w:rtl/>
          <w:lang w:bidi="ar-JO"/>
        </w:rPr>
        <w:t xml:space="preserve"> </w:t>
      </w:r>
    </w:p>
    <w:p w14:paraId="07CE4663" w14:textId="73EAA07C" w:rsidR="00B74950" w:rsidRDefault="00166A36" w:rsidP="001B4DB2">
      <w:pPr>
        <w:spacing w:after="0" w:line="360" w:lineRule="auto"/>
        <w:jc w:val="both"/>
        <w:rPr>
          <w:rFonts w:ascii="Arabic Transparent" w:hAnsi="Arabic Transparent" w:cs="Arabic Transparent"/>
          <w:sz w:val="28"/>
          <w:szCs w:val="28"/>
          <w:rtl/>
          <w:lang w:bidi="ar-JO"/>
        </w:rPr>
      </w:pPr>
      <w:r>
        <w:rPr>
          <w:rFonts w:ascii="Arabic Transparent" w:hAnsi="Arabic Transparent" w:cs="Arabic Transparent" w:hint="cs"/>
          <w:sz w:val="28"/>
          <w:szCs w:val="28"/>
          <w:rtl/>
          <w:lang w:bidi="ar-JO"/>
        </w:rPr>
        <w:t>و</w:t>
      </w:r>
      <w:r w:rsidR="001B4DB2">
        <w:rPr>
          <w:rFonts w:ascii="Arabic Transparent" w:hAnsi="Arabic Transparent" w:cs="Arabic Transparent" w:hint="cs"/>
          <w:sz w:val="28"/>
          <w:szCs w:val="28"/>
          <w:rtl/>
          <w:lang w:bidi="ar-JO"/>
        </w:rPr>
        <w:t xml:space="preserve">عرَّفه الغزالي بأنَّه: </w:t>
      </w:r>
      <w:r w:rsidR="001B4DB2" w:rsidRPr="00B529EB">
        <w:rPr>
          <w:rFonts w:ascii="Arabic Transparent" w:hAnsi="Arabic Transparent" w:cs="Arabic Transparent" w:hint="cs"/>
          <w:sz w:val="28"/>
          <w:szCs w:val="28"/>
          <w:rtl/>
          <w:lang w:bidi="ar-JO"/>
        </w:rPr>
        <w:t>"الوصف المؤثِّر في الحكم بجعل الشارع لا لذاته"</w:t>
      </w:r>
      <w:r w:rsidR="001B4DB2" w:rsidRPr="00B529EB">
        <w:rPr>
          <w:rFonts w:ascii="Arabic Transparent" w:hAnsi="Arabic Transparent" w:cs="Arabic Transparent" w:hint="cs"/>
          <w:sz w:val="28"/>
          <w:szCs w:val="28"/>
          <w:vertAlign w:val="superscript"/>
          <w:rtl/>
          <w:lang w:bidi="ar-JO"/>
        </w:rPr>
        <w:t>(</w:t>
      </w:r>
      <w:r w:rsidR="001B4DB2" w:rsidRPr="00B529EB">
        <w:rPr>
          <w:rStyle w:val="FootnoteReference"/>
          <w:rFonts w:ascii="Arabic Transparent" w:hAnsi="Arabic Transparent" w:cs="Arabic Transparent" w:hint="cs"/>
          <w:sz w:val="28"/>
          <w:szCs w:val="28"/>
          <w:rtl/>
          <w:lang w:bidi="ar-JO"/>
        </w:rPr>
        <w:footnoteReference w:id="26"/>
      </w:r>
      <w:r w:rsidR="001B4DB2" w:rsidRPr="00B529EB">
        <w:rPr>
          <w:rFonts w:ascii="Arabic Transparent" w:hAnsi="Arabic Transparent" w:cs="Arabic Transparent" w:hint="cs"/>
          <w:sz w:val="28"/>
          <w:szCs w:val="28"/>
          <w:vertAlign w:val="superscript"/>
          <w:rtl/>
          <w:lang w:bidi="ar-JO"/>
        </w:rPr>
        <w:t>)</w:t>
      </w:r>
      <w:r w:rsidR="001B4DB2">
        <w:rPr>
          <w:rFonts w:ascii="Arabic Transparent" w:hAnsi="Arabic Transparent" w:cs="Arabic Transparent" w:hint="cs"/>
          <w:sz w:val="28"/>
          <w:szCs w:val="28"/>
          <w:rtl/>
          <w:lang w:bidi="ar-JO"/>
        </w:rPr>
        <w:t>، حيث عند المناط والعلة بمعنى واحد أيضاً.</w:t>
      </w:r>
    </w:p>
    <w:p w14:paraId="7FC63D33" w14:textId="4DB71575" w:rsidR="00AA23C0" w:rsidRPr="00B529EB" w:rsidRDefault="00DB5A1B" w:rsidP="00AA23C0">
      <w:pPr>
        <w:spacing w:after="0" w:line="360" w:lineRule="auto"/>
        <w:ind w:hanging="94"/>
        <w:jc w:val="both"/>
        <w:rPr>
          <w:rFonts w:ascii="Arabic Transparent" w:hAnsi="Arabic Transparent" w:cs="Arabic Transparent"/>
          <w:sz w:val="28"/>
          <w:szCs w:val="28"/>
          <w:rtl/>
          <w:lang w:bidi="ar-JO"/>
        </w:rPr>
      </w:pPr>
      <w:r>
        <w:rPr>
          <w:rFonts w:ascii="Arabic Transparent" w:hAnsi="Arabic Transparent" w:cs="Arabic Transparent" w:hint="cs"/>
          <w:sz w:val="28"/>
          <w:szCs w:val="28"/>
          <w:rtl/>
          <w:lang w:bidi="ar-JO"/>
        </w:rPr>
        <w:t>2- عرّف المناط باعتبار أنه يشمل معنى العلة وغيرها</w:t>
      </w:r>
      <w:r w:rsidR="0026473F">
        <w:rPr>
          <w:rFonts w:ascii="Arabic Transparent" w:hAnsi="Arabic Transparent" w:cs="Arabic Transparent" w:hint="cs"/>
          <w:sz w:val="28"/>
          <w:szCs w:val="28"/>
          <w:rtl/>
          <w:lang w:bidi="ar-JO"/>
        </w:rPr>
        <w:t>،</w:t>
      </w:r>
      <w:r w:rsidR="00AA23C0">
        <w:rPr>
          <w:rFonts w:ascii="Arabic Transparent" w:hAnsi="Arabic Transparent" w:cs="Arabic Transparent" w:hint="cs"/>
          <w:sz w:val="28"/>
          <w:szCs w:val="28"/>
          <w:rtl/>
          <w:lang w:bidi="ar-JO"/>
        </w:rPr>
        <w:t xml:space="preserve"> حيث </w:t>
      </w:r>
      <w:r w:rsidR="00AA23C0" w:rsidRPr="00B529EB">
        <w:rPr>
          <w:rFonts w:ascii="Arabic Transparent" w:hAnsi="Arabic Transparent" w:cs="Arabic Transparent" w:hint="cs"/>
          <w:sz w:val="28"/>
          <w:szCs w:val="28"/>
          <w:rtl/>
          <w:lang w:bidi="ar-JO"/>
        </w:rPr>
        <w:t>يقول</w:t>
      </w:r>
      <w:r w:rsidR="0026473F">
        <w:rPr>
          <w:rFonts w:ascii="Arabic Transparent" w:hAnsi="Arabic Transparent" w:cs="Arabic Transparent" w:hint="cs"/>
          <w:sz w:val="28"/>
          <w:szCs w:val="28"/>
          <w:rtl/>
          <w:lang w:bidi="ar-JO"/>
        </w:rPr>
        <w:t xml:space="preserve"> </w:t>
      </w:r>
      <w:r w:rsidR="00AA23C0" w:rsidRPr="00B529EB">
        <w:rPr>
          <w:rFonts w:ascii="Arabic Transparent" w:hAnsi="Arabic Transparent" w:cs="Arabic Transparent" w:hint="cs"/>
          <w:sz w:val="28"/>
          <w:szCs w:val="28"/>
          <w:rtl/>
          <w:lang w:bidi="ar-JO"/>
        </w:rPr>
        <w:t>الطوفي: "ما نيط به الحكم، أي علّق به، وهو العلة التي رتب عليها الحكم بالأصل وغيرها"</w:t>
      </w:r>
      <w:r w:rsidR="00AA23C0" w:rsidRPr="00B529EB">
        <w:rPr>
          <w:rFonts w:ascii="Arabic Transparent" w:hAnsi="Arabic Transparent" w:cs="Arabic Transparent" w:hint="cs"/>
          <w:sz w:val="28"/>
          <w:szCs w:val="28"/>
          <w:vertAlign w:val="superscript"/>
          <w:rtl/>
          <w:lang w:bidi="ar-JO"/>
        </w:rPr>
        <w:t>(</w:t>
      </w:r>
      <w:r w:rsidR="00AA23C0" w:rsidRPr="00B529EB">
        <w:rPr>
          <w:rStyle w:val="FootnoteReference"/>
          <w:rFonts w:ascii="Arabic Transparent" w:hAnsi="Arabic Transparent" w:cs="Arabic Transparent" w:hint="cs"/>
          <w:sz w:val="28"/>
          <w:szCs w:val="28"/>
          <w:rtl/>
          <w:lang w:bidi="ar-JO"/>
        </w:rPr>
        <w:footnoteReference w:id="27"/>
      </w:r>
      <w:r w:rsidR="00AA23C0" w:rsidRPr="00B529EB">
        <w:rPr>
          <w:rFonts w:ascii="Arabic Transparent" w:hAnsi="Arabic Transparent" w:cs="Arabic Transparent" w:hint="cs"/>
          <w:sz w:val="28"/>
          <w:szCs w:val="28"/>
          <w:vertAlign w:val="superscript"/>
          <w:rtl/>
          <w:lang w:bidi="ar-JO"/>
        </w:rPr>
        <w:t>)</w:t>
      </w:r>
      <w:r w:rsidR="006A788D">
        <w:rPr>
          <w:rFonts w:ascii="Arabic Transparent" w:hAnsi="Arabic Transparent" w:cs="Arabic Transparent" w:hint="cs"/>
          <w:sz w:val="28"/>
          <w:szCs w:val="28"/>
          <w:rtl/>
          <w:lang w:bidi="ar-JO"/>
        </w:rPr>
        <w:t>.</w:t>
      </w:r>
    </w:p>
    <w:p w14:paraId="177436D2" w14:textId="1664DCA5" w:rsidR="00166A36" w:rsidRPr="007C21DD" w:rsidRDefault="00166A36" w:rsidP="00166A36">
      <w:pPr>
        <w:spacing w:after="0" w:line="360" w:lineRule="auto"/>
        <w:jc w:val="both"/>
        <w:rPr>
          <w:rFonts w:ascii="Arabic Transparent" w:hAnsi="Arabic Transparent" w:cs="Arabic Transparent"/>
          <w:sz w:val="28"/>
          <w:szCs w:val="28"/>
          <w:rtl/>
          <w:lang w:bidi="ar-JO"/>
        </w:rPr>
      </w:pPr>
      <w:r w:rsidRPr="00B529EB">
        <w:rPr>
          <w:rFonts w:ascii="Arabic Transparent" w:hAnsi="Arabic Transparent" w:cs="Arabic Transparent" w:hint="cs"/>
          <w:sz w:val="28"/>
          <w:szCs w:val="28"/>
          <w:rtl/>
          <w:lang w:bidi="ar-JO"/>
        </w:rPr>
        <w:t>وعرّفه الشاطبي</w:t>
      </w:r>
      <w:r w:rsidR="005D7B91">
        <w:rPr>
          <w:rFonts w:ascii="Arabic Transparent" w:hAnsi="Arabic Transparent" w:cs="Arabic Transparent" w:hint="cs"/>
          <w:sz w:val="28"/>
          <w:szCs w:val="28"/>
          <w:rtl/>
          <w:lang w:bidi="ar-JO"/>
        </w:rPr>
        <w:t xml:space="preserve">: </w:t>
      </w:r>
      <w:r w:rsidRPr="00B529EB">
        <w:rPr>
          <w:rFonts w:ascii="Arabic Transparent" w:hAnsi="Arabic Transparent" w:cs="Arabic Transparent" w:hint="cs"/>
          <w:sz w:val="28"/>
          <w:szCs w:val="28"/>
          <w:rtl/>
          <w:lang w:bidi="ar-JO"/>
        </w:rPr>
        <w:t>"</w:t>
      </w:r>
      <w:r w:rsidR="007C21DD" w:rsidRPr="007C21DD">
        <w:rPr>
          <w:rFonts w:ascii="Arabic Transparent" w:hAnsi="Arabic Transparent" w:cs="Arabic Transparent"/>
          <w:sz w:val="28"/>
          <w:szCs w:val="28"/>
          <w:rtl/>
          <w:lang w:bidi="ar-JO"/>
        </w:rPr>
        <w:t>أن يثبت الحكم بمدركه ‌الشرعي ‌لكن ‌يبقى ‌النظر ‌في ‌تعيين محله</w:t>
      </w:r>
      <w:r w:rsidRPr="00B529EB">
        <w:rPr>
          <w:rFonts w:ascii="Arabic Transparent" w:hAnsi="Arabic Transparent" w:cs="Arabic Transparent" w:hint="cs"/>
          <w:sz w:val="28"/>
          <w:szCs w:val="28"/>
          <w:rtl/>
          <w:lang w:bidi="ar-JO"/>
        </w:rPr>
        <w:t>"</w:t>
      </w:r>
      <w:r w:rsidRPr="00B529EB">
        <w:rPr>
          <w:rFonts w:ascii="Arabic Transparent" w:hAnsi="Arabic Transparent" w:cs="Arabic Transparent" w:hint="cs"/>
          <w:sz w:val="28"/>
          <w:szCs w:val="28"/>
          <w:vertAlign w:val="superscript"/>
          <w:rtl/>
          <w:lang w:bidi="ar-JO"/>
        </w:rPr>
        <w:t>(</w:t>
      </w:r>
      <w:r w:rsidRPr="00B529EB">
        <w:rPr>
          <w:rStyle w:val="FootnoteReference"/>
          <w:rFonts w:ascii="Arabic Transparent" w:hAnsi="Arabic Transparent" w:cs="Arabic Transparent" w:hint="cs"/>
          <w:sz w:val="28"/>
          <w:szCs w:val="28"/>
          <w:rtl/>
          <w:lang w:bidi="ar-JO"/>
        </w:rPr>
        <w:footnoteReference w:id="28"/>
      </w:r>
      <w:r w:rsidRPr="00B529EB">
        <w:rPr>
          <w:rFonts w:ascii="Arabic Transparent" w:hAnsi="Arabic Transparent" w:cs="Arabic Transparent" w:hint="cs"/>
          <w:sz w:val="28"/>
          <w:szCs w:val="28"/>
          <w:vertAlign w:val="superscript"/>
          <w:rtl/>
          <w:lang w:bidi="ar-JO"/>
        </w:rPr>
        <w:t>)</w:t>
      </w:r>
      <w:r w:rsidR="007C21DD">
        <w:rPr>
          <w:rFonts w:ascii="Arabic Transparent" w:hAnsi="Arabic Transparent" w:cs="Arabic Transparent" w:hint="cs"/>
          <w:sz w:val="28"/>
          <w:szCs w:val="28"/>
          <w:rtl/>
          <w:lang w:bidi="ar-JO"/>
        </w:rPr>
        <w:t>.</w:t>
      </w:r>
    </w:p>
    <w:p w14:paraId="11861A76" w14:textId="03BF000D" w:rsidR="00AB1249" w:rsidRDefault="008F214C" w:rsidP="0078671F">
      <w:pPr>
        <w:spacing w:after="0" w:line="360" w:lineRule="auto"/>
        <w:jc w:val="both"/>
        <w:rPr>
          <w:rFonts w:ascii="Arabic Transparent" w:hAnsi="Arabic Transparent" w:cs="Arabic Transparent"/>
          <w:sz w:val="28"/>
          <w:szCs w:val="28"/>
          <w:rtl/>
          <w:lang w:bidi="ar-JO"/>
        </w:rPr>
      </w:pPr>
      <w:r>
        <w:rPr>
          <w:rFonts w:ascii="Arabic Transparent" w:hAnsi="Arabic Transparent" w:cs="Arabic Transparent" w:hint="cs"/>
          <w:sz w:val="28"/>
          <w:szCs w:val="28"/>
          <w:rtl/>
          <w:lang w:bidi="ar-JO"/>
        </w:rPr>
        <w:t>وعرّفه ابن قدامة</w:t>
      </w:r>
      <w:r w:rsidR="00151AED">
        <w:rPr>
          <w:rFonts w:ascii="Arabic Transparent" w:hAnsi="Arabic Transparent" w:cs="Arabic Transparent" w:hint="cs"/>
          <w:sz w:val="28"/>
          <w:szCs w:val="28"/>
          <w:rtl/>
          <w:lang w:bidi="ar-JO"/>
        </w:rPr>
        <w:t xml:space="preserve">: </w:t>
      </w:r>
      <w:r w:rsidR="00151AED">
        <w:rPr>
          <w:rFonts w:ascii="Arabic Transparent" w:hAnsi="Arabic Transparent" w:cs="Arabic Transparent"/>
          <w:sz w:val="28"/>
          <w:szCs w:val="28"/>
          <w:rtl/>
          <w:lang w:bidi="ar-JO"/>
        </w:rPr>
        <w:t>"</w:t>
      </w:r>
      <w:r w:rsidRPr="008F214C">
        <w:rPr>
          <w:rFonts w:ascii="Arabic Transparent" w:hAnsi="Arabic Transparent" w:cs="Arabic Transparent"/>
          <w:sz w:val="28"/>
          <w:szCs w:val="28"/>
          <w:rtl/>
          <w:lang w:bidi="ar-JO"/>
        </w:rPr>
        <w:t>ما أضاف الشرع الحكم إليه وناطه به، ونصبه علامة عليه</w:t>
      </w:r>
      <w:r>
        <w:rPr>
          <w:rFonts w:ascii="Arabic Transparent" w:hAnsi="Arabic Transparent" w:cs="Arabic Transparent" w:hint="cs"/>
          <w:sz w:val="28"/>
          <w:szCs w:val="28"/>
          <w:rtl/>
          <w:lang w:bidi="ar-JO"/>
        </w:rPr>
        <w:t>"</w:t>
      </w:r>
      <w:r w:rsidRPr="008F214C">
        <w:rPr>
          <w:rFonts w:ascii="Arabic Transparent" w:hAnsi="Arabic Transparent" w:cs="Arabic Transparent" w:hint="cs"/>
          <w:sz w:val="28"/>
          <w:szCs w:val="28"/>
          <w:vertAlign w:val="superscript"/>
          <w:rtl/>
          <w:lang w:bidi="ar-JO"/>
        </w:rPr>
        <w:t>(</w:t>
      </w:r>
      <w:r w:rsidRPr="008F214C">
        <w:rPr>
          <w:rStyle w:val="FootnoteReference"/>
          <w:rFonts w:ascii="Arabic Transparent" w:hAnsi="Arabic Transparent" w:cs="Arabic Transparent" w:hint="cs"/>
          <w:sz w:val="28"/>
          <w:szCs w:val="28"/>
          <w:rtl/>
          <w:lang w:bidi="ar-JO"/>
        </w:rPr>
        <w:footnoteReference w:id="29"/>
      </w:r>
      <w:r w:rsidRPr="008F214C">
        <w:rPr>
          <w:rFonts w:ascii="Arabic Transparent" w:hAnsi="Arabic Transparent" w:cs="Arabic Transparent" w:hint="cs"/>
          <w:sz w:val="28"/>
          <w:szCs w:val="28"/>
          <w:vertAlign w:val="superscript"/>
          <w:rtl/>
          <w:lang w:bidi="ar-JO"/>
        </w:rPr>
        <w:t>)</w:t>
      </w:r>
      <w:r w:rsidR="006A788D">
        <w:rPr>
          <w:rFonts w:ascii="Arabic Transparent" w:hAnsi="Arabic Transparent" w:cs="Arabic Transparent" w:hint="cs"/>
          <w:sz w:val="28"/>
          <w:szCs w:val="28"/>
          <w:rtl/>
          <w:lang w:bidi="ar-JO"/>
        </w:rPr>
        <w:t>.</w:t>
      </w:r>
    </w:p>
    <w:p w14:paraId="04C5D591" w14:textId="1799C9B0" w:rsidR="005112EE" w:rsidRDefault="005D7B91" w:rsidP="00546FD1">
      <w:pPr>
        <w:spacing w:after="0" w:line="360" w:lineRule="auto"/>
        <w:jc w:val="both"/>
        <w:rPr>
          <w:rFonts w:ascii="Arabic Transparent" w:hAnsi="Arabic Transparent" w:cs="Arabic Transparent"/>
          <w:sz w:val="28"/>
          <w:szCs w:val="28"/>
          <w:rtl/>
          <w:lang w:bidi="ar-JO"/>
        </w:rPr>
      </w:pPr>
      <w:r>
        <w:rPr>
          <w:rFonts w:ascii="Arabic Transparent" w:hAnsi="Arabic Transparent" w:cs="Arabic Transparent" w:hint="cs"/>
          <w:sz w:val="28"/>
          <w:szCs w:val="28"/>
          <w:rtl/>
          <w:lang w:bidi="ar-JO"/>
        </w:rPr>
        <w:t xml:space="preserve">     </w:t>
      </w:r>
      <w:r w:rsidR="00546FD1" w:rsidRPr="00B529EB">
        <w:rPr>
          <w:rFonts w:ascii="Arabic Transparent" w:hAnsi="Arabic Transparent" w:cs="Arabic Transparent" w:hint="cs"/>
          <w:sz w:val="28"/>
          <w:szCs w:val="28"/>
          <w:rtl/>
          <w:lang w:bidi="ar-JO"/>
        </w:rPr>
        <w:t>بالنظر إلى التعريفات السابقة يمكن أن يقال</w:t>
      </w:r>
      <w:r w:rsidR="00D9038F">
        <w:rPr>
          <w:rFonts w:ascii="Arabic Transparent" w:hAnsi="Arabic Transparent" w:cs="Arabic Transparent" w:hint="cs"/>
          <w:sz w:val="28"/>
          <w:szCs w:val="28"/>
          <w:rtl/>
          <w:lang w:bidi="ar-JO"/>
        </w:rPr>
        <w:t>:</w:t>
      </w:r>
      <w:r w:rsidR="00546FD1" w:rsidRPr="00B529EB">
        <w:rPr>
          <w:rFonts w:ascii="Arabic Transparent" w:hAnsi="Arabic Transparent" w:cs="Arabic Transparent" w:hint="cs"/>
          <w:sz w:val="28"/>
          <w:szCs w:val="28"/>
          <w:rtl/>
          <w:lang w:bidi="ar-JO"/>
        </w:rPr>
        <w:t xml:space="preserve"> </w:t>
      </w:r>
      <w:r w:rsidR="00D9038F">
        <w:rPr>
          <w:rFonts w:ascii="Arabic Transparent" w:hAnsi="Arabic Transparent" w:cs="Arabic Transparent" w:hint="cs"/>
          <w:sz w:val="28"/>
          <w:szCs w:val="28"/>
          <w:rtl/>
          <w:lang w:bidi="ar-JO"/>
        </w:rPr>
        <w:t>إ</w:t>
      </w:r>
      <w:r w:rsidR="00546FD1" w:rsidRPr="00B529EB">
        <w:rPr>
          <w:rFonts w:ascii="Arabic Transparent" w:hAnsi="Arabic Transparent" w:cs="Arabic Transparent" w:hint="cs"/>
          <w:sz w:val="28"/>
          <w:szCs w:val="28"/>
          <w:rtl/>
          <w:lang w:bidi="ar-JO"/>
        </w:rPr>
        <w:t xml:space="preserve">ن </w:t>
      </w:r>
      <w:r w:rsidR="000B12C9" w:rsidRPr="00B529EB">
        <w:rPr>
          <w:rFonts w:ascii="Arabic Transparent" w:hAnsi="Arabic Transparent" w:cs="Arabic Transparent" w:hint="cs"/>
          <w:sz w:val="28"/>
          <w:szCs w:val="28"/>
          <w:rtl/>
          <w:lang w:bidi="ar-JO"/>
        </w:rPr>
        <w:t xml:space="preserve">الراجح </w:t>
      </w:r>
      <w:r w:rsidR="00D9038F">
        <w:rPr>
          <w:rFonts w:ascii="Arabic Transparent" w:hAnsi="Arabic Transparent" w:cs="Arabic Transparent" w:hint="cs"/>
          <w:sz w:val="28"/>
          <w:szCs w:val="28"/>
          <w:rtl/>
          <w:lang w:bidi="ar-JO"/>
        </w:rPr>
        <w:t xml:space="preserve">هو </w:t>
      </w:r>
      <w:r w:rsidR="00546FD1" w:rsidRPr="00B529EB">
        <w:rPr>
          <w:rFonts w:ascii="Arabic Transparent" w:hAnsi="Arabic Transparent" w:cs="Arabic Transparent" w:hint="cs"/>
          <w:sz w:val="28"/>
          <w:szCs w:val="28"/>
          <w:rtl/>
          <w:lang w:bidi="ar-JO"/>
        </w:rPr>
        <w:t>المفهوم الذي أشار إليه الطوفي</w:t>
      </w:r>
      <w:r w:rsidR="00C07B2C">
        <w:rPr>
          <w:rFonts w:ascii="Arabic Transparent" w:hAnsi="Arabic Transparent" w:cs="Arabic Transparent" w:hint="cs"/>
          <w:sz w:val="28"/>
          <w:szCs w:val="28"/>
          <w:rtl/>
          <w:lang w:bidi="ar-JO"/>
        </w:rPr>
        <w:t xml:space="preserve"> على العموم،</w:t>
      </w:r>
      <w:r w:rsidR="00546FD1" w:rsidRPr="00B529EB">
        <w:rPr>
          <w:rFonts w:ascii="Arabic Transparent" w:hAnsi="Arabic Transparent" w:cs="Arabic Transparent" w:hint="cs"/>
          <w:sz w:val="28"/>
          <w:szCs w:val="28"/>
          <w:rtl/>
          <w:lang w:bidi="ar-JO"/>
        </w:rPr>
        <w:t xml:space="preserve"> </w:t>
      </w:r>
      <w:r w:rsidR="000B12C9" w:rsidRPr="00B529EB">
        <w:rPr>
          <w:rFonts w:ascii="Arabic Transparent" w:hAnsi="Arabic Transparent" w:cs="Arabic Transparent" w:hint="cs"/>
          <w:sz w:val="28"/>
          <w:szCs w:val="28"/>
          <w:rtl/>
          <w:lang w:bidi="ar-JO"/>
        </w:rPr>
        <w:t>فيكون بمعنى</w:t>
      </w:r>
      <w:r w:rsidR="00C07B2C">
        <w:rPr>
          <w:rFonts w:ascii="Arabic Transparent" w:hAnsi="Arabic Transparent" w:cs="Arabic Transparent" w:hint="cs"/>
          <w:sz w:val="28"/>
          <w:szCs w:val="28"/>
          <w:rtl/>
          <w:lang w:bidi="ar-JO"/>
        </w:rPr>
        <w:t>:</w:t>
      </w:r>
      <w:r w:rsidR="000B12C9" w:rsidRPr="00B529EB">
        <w:rPr>
          <w:rFonts w:ascii="Arabic Transparent" w:hAnsi="Arabic Transparent" w:cs="Arabic Transparent" w:hint="cs"/>
          <w:sz w:val="28"/>
          <w:szCs w:val="28"/>
          <w:rtl/>
          <w:lang w:bidi="ar-JO"/>
        </w:rPr>
        <w:t xml:space="preserve"> العلة</w:t>
      </w:r>
      <w:r w:rsidR="00C07B2C">
        <w:rPr>
          <w:rFonts w:ascii="Arabic Transparent" w:hAnsi="Arabic Transparent" w:cs="Arabic Transparent" w:hint="cs"/>
          <w:sz w:val="28"/>
          <w:szCs w:val="28"/>
          <w:rtl/>
          <w:lang w:bidi="ar-JO"/>
        </w:rPr>
        <w:t>،</w:t>
      </w:r>
      <w:r w:rsidR="000B12C9" w:rsidRPr="00B529EB">
        <w:rPr>
          <w:rFonts w:ascii="Arabic Transparent" w:hAnsi="Arabic Transparent" w:cs="Arabic Transparent" w:hint="cs"/>
          <w:sz w:val="28"/>
          <w:szCs w:val="28"/>
          <w:rtl/>
          <w:lang w:bidi="ar-JO"/>
        </w:rPr>
        <w:t xml:space="preserve"> أو القاعدة</w:t>
      </w:r>
      <w:r w:rsidR="00C07B2C">
        <w:rPr>
          <w:rFonts w:ascii="Arabic Transparent" w:hAnsi="Arabic Transparent" w:cs="Arabic Transparent" w:hint="cs"/>
          <w:sz w:val="28"/>
          <w:szCs w:val="28"/>
          <w:rtl/>
          <w:lang w:bidi="ar-JO"/>
        </w:rPr>
        <w:t>،</w:t>
      </w:r>
      <w:r w:rsidR="000B12C9" w:rsidRPr="00B529EB">
        <w:rPr>
          <w:rFonts w:ascii="Arabic Transparent" w:hAnsi="Arabic Transparent" w:cs="Arabic Transparent" w:hint="cs"/>
          <w:sz w:val="28"/>
          <w:szCs w:val="28"/>
          <w:rtl/>
          <w:lang w:bidi="ar-JO"/>
        </w:rPr>
        <w:t xml:space="preserve"> أو الوصف المؤثر</w:t>
      </w:r>
      <w:r w:rsidR="00C07B2C">
        <w:rPr>
          <w:rFonts w:ascii="Arabic Transparent" w:hAnsi="Arabic Transparent" w:cs="Arabic Transparent" w:hint="cs"/>
          <w:sz w:val="28"/>
          <w:szCs w:val="28"/>
          <w:rtl/>
          <w:lang w:bidi="ar-JO"/>
        </w:rPr>
        <w:t>،</w:t>
      </w:r>
      <w:r w:rsidR="000B12C9" w:rsidRPr="00B529EB">
        <w:rPr>
          <w:rFonts w:ascii="Arabic Transparent" w:hAnsi="Arabic Transparent" w:cs="Arabic Transparent" w:hint="cs"/>
          <w:sz w:val="28"/>
          <w:szCs w:val="28"/>
          <w:rtl/>
          <w:lang w:bidi="ar-JO"/>
        </w:rPr>
        <w:t xml:space="preserve"> و</w:t>
      </w:r>
      <w:r w:rsidR="00546FD1" w:rsidRPr="00B529EB">
        <w:rPr>
          <w:rFonts w:ascii="Arabic Transparent" w:hAnsi="Arabic Transparent" w:cs="Arabic Transparent" w:hint="cs"/>
          <w:sz w:val="28"/>
          <w:szCs w:val="28"/>
          <w:rtl/>
          <w:lang w:bidi="ar-JO"/>
        </w:rPr>
        <w:t>هو</w:t>
      </w:r>
      <w:r w:rsidR="00A40439" w:rsidRPr="00B529EB">
        <w:rPr>
          <w:rFonts w:ascii="Arabic Transparent" w:hAnsi="Arabic Transparent" w:cs="Arabic Transparent" w:hint="cs"/>
          <w:sz w:val="28"/>
          <w:szCs w:val="28"/>
          <w:rtl/>
          <w:lang w:bidi="ar-JO"/>
        </w:rPr>
        <w:t xml:space="preserve"> الأرجح</w:t>
      </w:r>
      <w:r w:rsidR="00546FD1" w:rsidRPr="00B529EB">
        <w:rPr>
          <w:rFonts w:ascii="Arabic Transparent" w:hAnsi="Arabic Transparent" w:cs="Arabic Transparent" w:hint="cs"/>
          <w:sz w:val="28"/>
          <w:szCs w:val="28"/>
          <w:rtl/>
          <w:lang w:bidi="ar-JO"/>
        </w:rPr>
        <w:t xml:space="preserve"> </w:t>
      </w:r>
      <w:r w:rsidR="00A40439" w:rsidRPr="00B529EB">
        <w:rPr>
          <w:rFonts w:ascii="Arabic Transparent" w:hAnsi="Arabic Transparent" w:cs="Arabic Transparent" w:hint="cs"/>
          <w:sz w:val="28"/>
          <w:szCs w:val="28"/>
          <w:rtl/>
          <w:lang w:bidi="ar-JO"/>
        </w:rPr>
        <w:t>و</w:t>
      </w:r>
      <w:r w:rsidR="00546FD1" w:rsidRPr="00B529EB">
        <w:rPr>
          <w:rFonts w:ascii="Arabic Transparent" w:hAnsi="Arabic Transparent" w:cs="Arabic Transparent" w:hint="cs"/>
          <w:sz w:val="28"/>
          <w:szCs w:val="28"/>
          <w:rtl/>
          <w:lang w:bidi="ar-JO"/>
        </w:rPr>
        <w:t xml:space="preserve">الأكثر اتساقاً </w:t>
      </w:r>
      <w:r w:rsidR="00E939BA" w:rsidRPr="00B529EB">
        <w:rPr>
          <w:rFonts w:ascii="Arabic Transparent" w:hAnsi="Arabic Transparent" w:cs="Arabic Transparent" w:hint="cs"/>
          <w:sz w:val="28"/>
          <w:szCs w:val="28"/>
          <w:rtl/>
          <w:lang w:bidi="ar-JO"/>
        </w:rPr>
        <w:t>مع المعنى اللغوي</w:t>
      </w:r>
      <w:r w:rsidR="00C07B2C">
        <w:rPr>
          <w:rFonts w:ascii="Arabic Transparent" w:hAnsi="Arabic Transparent" w:cs="Arabic Transparent" w:hint="cs"/>
          <w:sz w:val="28"/>
          <w:szCs w:val="28"/>
          <w:rtl/>
          <w:lang w:bidi="ar-JO"/>
        </w:rPr>
        <w:t>،</w:t>
      </w:r>
      <w:r w:rsidR="00E939BA" w:rsidRPr="00B529EB">
        <w:rPr>
          <w:rFonts w:ascii="Arabic Transparent" w:hAnsi="Arabic Transparent" w:cs="Arabic Transparent" w:hint="cs"/>
          <w:sz w:val="28"/>
          <w:szCs w:val="28"/>
          <w:rtl/>
          <w:lang w:bidi="ar-JO"/>
        </w:rPr>
        <w:t xml:space="preserve"> </w:t>
      </w:r>
      <w:r w:rsidR="00FD4461">
        <w:rPr>
          <w:rFonts w:ascii="Arabic Transparent" w:hAnsi="Arabic Transparent" w:cs="Arabic Transparent" w:hint="cs"/>
          <w:sz w:val="28"/>
          <w:szCs w:val="28"/>
          <w:rtl/>
          <w:lang w:bidi="ar-JO"/>
        </w:rPr>
        <w:t xml:space="preserve">ليثبت </w:t>
      </w:r>
      <w:r w:rsidR="00E939BA" w:rsidRPr="00B529EB">
        <w:rPr>
          <w:rFonts w:ascii="Arabic Transparent" w:hAnsi="Arabic Transparent" w:cs="Arabic Transparent" w:hint="cs"/>
          <w:sz w:val="28"/>
          <w:szCs w:val="28"/>
          <w:rtl/>
          <w:lang w:bidi="ar-JO"/>
        </w:rPr>
        <w:t>العموم والخصوص بين العلة</w:t>
      </w:r>
      <w:r w:rsidR="00C07B2C">
        <w:rPr>
          <w:rFonts w:ascii="Arabic Transparent" w:hAnsi="Arabic Transparent" w:cs="Arabic Transparent" w:hint="cs"/>
          <w:sz w:val="28"/>
          <w:szCs w:val="28"/>
          <w:rtl/>
          <w:lang w:bidi="ar-JO"/>
        </w:rPr>
        <w:t>،</w:t>
      </w:r>
      <w:r w:rsidR="00E939BA" w:rsidRPr="00B529EB">
        <w:rPr>
          <w:rFonts w:ascii="Arabic Transparent" w:hAnsi="Arabic Transparent" w:cs="Arabic Transparent" w:hint="cs"/>
          <w:sz w:val="28"/>
          <w:szCs w:val="28"/>
          <w:rtl/>
          <w:lang w:bidi="ar-JO"/>
        </w:rPr>
        <w:t xml:space="preserve"> والمناط و</w:t>
      </w:r>
      <w:r w:rsidR="00546FD1" w:rsidRPr="00B529EB">
        <w:rPr>
          <w:rFonts w:ascii="Arabic Transparent" w:hAnsi="Arabic Transparent" w:cs="Arabic Transparent" w:hint="cs"/>
          <w:sz w:val="28"/>
          <w:szCs w:val="28"/>
          <w:rtl/>
          <w:lang w:bidi="ar-JO"/>
        </w:rPr>
        <w:t xml:space="preserve">أنواع </w:t>
      </w:r>
      <w:r w:rsidR="00FD4461">
        <w:rPr>
          <w:rFonts w:ascii="Arabic Transparent" w:hAnsi="Arabic Transparent" w:cs="Arabic Transparent" w:hint="cs"/>
          <w:sz w:val="28"/>
          <w:szCs w:val="28"/>
          <w:rtl/>
          <w:lang w:bidi="ar-JO"/>
        </w:rPr>
        <w:t>(</w:t>
      </w:r>
      <w:r w:rsidR="00546FD1" w:rsidRPr="00B529EB">
        <w:rPr>
          <w:rFonts w:ascii="Arabic Transparent" w:hAnsi="Arabic Transparent" w:cs="Arabic Transparent" w:hint="cs"/>
          <w:sz w:val="28"/>
          <w:szCs w:val="28"/>
          <w:rtl/>
          <w:lang w:bidi="ar-JO"/>
        </w:rPr>
        <w:t>تحقيق المناط</w:t>
      </w:r>
      <w:r w:rsidR="00FD4461">
        <w:rPr>
          <w:rFonts w:ascii="Arabic Transparent" w:hAnsi="Arabic Transparent" w:cs="Arabic Transparent" w:hint="cs"/>
          <w:sz w:val="28"/>
          <w:szCs w:val="28"/>
          <w:rtl/>
          <w:lang w:bidi="ar-JO"/>
        </w:rPr>
        <w:t>)</w:t>
      </w:r>
      <w:r w:rsidR="00C07B2C">
        <w:rPr>
          <w:rFonts w:ascii="Arabic Transparent" w:hAnsi="Arabic Transparent" w:cs="Arabic Transparent" w:hint="cs"/>
          <w:sz w:val="28"/>
          <w:szCs w:val="28"/>
          <w:rtl/>
          <w:lang w:bidi="ar-JO"/>
        </w:rPr>
        <w:t>،</w:t>
      </w:r>
      <w:r w:rsidR="00546FD1" w:rsidRPr="00B529EB">
        <w:rPr>
          <w:rFonts w:ascii="Arabic Transparent" w:hAnsi="Arabic Transparent" w:cs="Arabic Transparent" w:hint="cs"/>
          <w:sz w:val="28"/>
          <w:szCs w:val="28"/>
          <w:rtl/>
          <w:lang w:bidi="ar-JO"/>
        </w:rPr>
        <w:t xml:space="preserve"> حيث أشار إلى أنه الوصف أو المعنى</w:t>
      </w:r>
      <w:r w:rsidR="00C07B2C">
        <w:rPr>
          <w:rFonts w:ascii="Arabic Transparent" w:hAnsi="Arabic Transparent" w:cs="Arabic Transparent" w:hint="cs"/>
          <w:sz w:val="28"/>
          <w:szCs w:val="28"/>
          <w:rtl/>
          <w:lang w:bidi="ar-JO"/>
        </w:rPr>
        <w:t>،</w:t>
      </w:r>
      <w:r w:rsidR="00546FD1" w:rsidRPr="00B529EB">
        <w:rPr>
          <w:rFonts w:ascii="Arabic Transparent" w:hAnsi="Arabic Transparent" w:cs="Arabic Transparent" w:hint="cs"/>
          <w:sz w:val="28"/>
          <w:szCs w:val="28"/>
          <w:rtl/>
          <w:lang w:bidi="ar-JO"/>
        </w:rPr>
        <w:t xml:space="preserve"> وقوله المعنى أعم من العلة لتشمل مضمون القاعدة الكلية</w:t>
      </w:r>
      <w:r w:rsidR="00C07B2C">
        <w:rPr>
          <w:rFonts w:ascii="Arabic Transparent" w:hAnsi="Arabic Transparent" w:cs="Arabic Transparent" w:hint="cs"/>
          <w:sz w:val="28"/>
          <w:szCs w:val="28"/>
          <w:rtl/>
          <w:lang w:bidi="ar-JO"/>
        </w:rPr>
        <w:t>،</w:t>
      </w:r>
      <w:r w:rsidR="00546FD1" w:rsidRPr="00B529EB">
        <w:rPr>
          <w:rFonts w:ascii="Arabic Transparent" w:hAnsi="Arabic Transparent" w:cs="Arabic Transparent" w:hint="cs"/>
          <w:sz w:val="28"/>
          <w:szCs w:val="28"/>
          <w:rtl/>
          <w:lang w:bidi="ar-JO"/>
        </w:rPr>
        <w:t xml:space="preserve"> وتشمل القياس الجزئي </w:t>
      </w:r>
      <w:r w:rsidR="00E939BA" w:rsidRPr="00B529EB">
        <w:rPr>
          <w:rFonts w:ascii="Arabic Transparent" w:hAnsi="Arabic Transparent" w:cs="Arabic Transparent" w:hint="cs"/>
          <w:sz w:val="28"/>
          <w:szCs w:val="28"/>
          <w:rtl/>
          <w:lang w:bidi="ar-JO"/>
        </w:rPr>
        <w:t>الذي</w:t>
      </w:r>
      <w:r w:rsidR="00546FD1" w:rsidRPr="00B529EB">
        <w:rPr>
          <w:rFonts w:ascii="Arabic Transparent" w:hAnsi="Arabic Transparent" w:cs="Arabic Transparent" w:hint="cs"/>
          <w:sz w:val="28"/>
          <w:szCs w:val="28"/>
          <w:rtl/>
          <w:lang w:bidi="ar-JO"/>
        </w:rPr>
        <w:t xml:space="preserve"> يكون فيه المناط بمعنى العلة</w:t>
      </w:r>
      <w:r w:rsidR="00A40439" w:rsidRPr="00B529EB">
        <w:rPr>
          <w:rFonts w:ascii="Arabic Transparent" w:hAnsi="Arabic Transparent" w:cs="Arabic Transparent" w:hint="cs"/>
          <w:sz w:val="28"/>
          <w:szCs w:val="28"/>
          <w:rtl/>
          <w:lang w:bidi="ar-JO"/>
        </w:rPr>
        <w:t>،</w:t>
      </w:r>
      <w:r w:rsidR="00546FD1" w:rsidRPr="00B529EB">
        <w:rPr>
          <w:rFonts w:ascii="Arabic Transparent" w:hAnsi="Arabic Transparent" w:cs="Arabic Transparent" w:hint="cs"/>
          <w:sz w:val="28"/>
          <w:szCs w:val="28"/>
          <w:rtl/>
          <w:lang w:bidi="ar-JO"/>
        </w:rPr>
        <w:t xml:space="preserve"> </w:t>
      </w:r>
      <w:r w:rsidR="00E939BA" w:rsidRPr="00B529EB">
        <w:rPr>
          <w:rFonts w:ascii="Arabic Transparent" w:hAnsi="Arabic Transparent" w:cs="Arabic Transparent" w:hint="cs"/>
          <w:sz w:val="28"/>
          <w:szCs w:val="28"/>
          <w:rtl/>
          <w:lang w:bidi="ar-JO"/>
        </w:rPr>
        <w:t xml:space="preserve">وينبغي الإشارة </w:t>
      </w:r>
      <w:r w:rsidR="00546FD1" w:rsidRPr="00B529EB">
        <w:rPr>
          <w:rFonts w:ascii="Arabic Transparent" w:hAnsi="Arabic Transparent" w:cs="Arabic Transparent" w:hint="cs"/>
          <w:sz w:val="28"/>
          <w:szCs w:val="28"/>
          <w:rtl/>
          <w:lang w:bidi="ar-JO"/>
        </w:rPr>
        <w:t>أن</w:t>
      </w:r>
      <w:r w:rsidR="00A40439" w:rsidRPr="00B529EB">
        <w:rPr>
          <w:rFonts w:ascii="Arabic Transparent" w:hAnsi="Arabic Transparent" w:cs="Arabic Transparent" w:hint="cs"/>
          <w:sz w:val="28"/>
          <w:szCs w:val="28"/>
          <w:rtl/>
          <w:lang w:bidi="ar-JO"/>
        </w:rPr>
        <w:t xml:space="preserve"> هناك اشتراك لا ينكره أحد من العلماء،</w:t>
      </w:r>
      <w:r w:rsidR="00546FD1" w:rsidRPr="00B529EB">
        <w:rPr>
          <w:rFonts w:ascii="Arabic Transparent" w:hAnsi="Arabic Transparent" w:cs="Arabic Transparent" w:hint="cs"/>
          <w:sz w:val="28"/>
          <w:szCs w:val="28"/>
          <w:rtl/>
          <w:lang w:bidi="ar-JO"/>
        </w:rPr>
        <w:t xml:space="preserve"> </w:t>
      </w:r>
      <w:r w:rsidR="000E147A" w:rsidRPr="00B529EB">
        <w:rPr>
          <w:rFonts w:ascii="Arabic Transparent" w:hAnsi="Arabic Transparent" w:cs="Arabic Transparent" w:hint="cs"/>
          <w:sz w:val="28"/>
          <w:szCs w:val="28"/>
          <w:rtl/>
          <w:lang w:bidi="ar-JO"/>
        </w:rPr>
        <w:t>في</w:t>
      </w:r>
      <w:r w:rsidR="00546FD1" w:rsidRPr="00B529EB">
        <w:rPr>
          <w:rFonts w:ascii="Arabic Transparent" w:hAnsi="Arabic Transparent" w:cs="Arabic Transparent" w:hint="cs"/>
          <w:sz w:val="28"/>
          <w:szCs w:val="28"/>
          <w:rtl/>
          <w:lang w:bidi="ar-JO"/>
        </w:rPr>
        <w:t>ما نيط به الحكم</w:t>
      </w:r>
      <w:r w:rsidR="00C07B2C">
        <w:rPr>
          <w:rFonts w:ascii="Arabic Transparent" w:hAnsi="Arabic Transparent" w:cs="Arabic Transparent" w:hint="cs"/>
          <w:sz w:val="28"/>
          <w:szCs w:val="28"/>
          <w:rtl/>
          <w:lang w:bidi="ar-JO"/>
        </w:rPr>
        <w:t>،</w:t>
      </w:r>
      <w:r w:rsidR="00546FD1" w:rsidRPr="00B529EB">
        <w:rPr>
          <w:rFonts w:ascii="Arabic Transparent" w:hAnsi="Arabic Transparent" w:cs="Arabic Transparent" w:hint="cs"/>
          <w:sz w:val="28"/>
          <w:szCs w:val="28"/>
          <w:rtl/>
          <w:lang w:bidi="ar-JO"/>
        </w:rPr>
        <w:t xml:space="preserve"> وعل</w:t>
      </w:r>
      <w:r w:rsidR="00FD4461">
        <w:rPr>
          <w:rFonts w:ascii="Arabic Transparent" w:hAnsi="Arabic Transparent" w:cs="Arabic Transparent" w:hint="cs"/>
          <w:sz w:val="28"/>
          <w:szCs w:val="28"/>
          <w:rtl/>
          <w:lang w:bidi="ar-JO"/>
        </w:rPr>
        <w:t>ّ</w:t>
      </w:r>
      <w:r w:rsidR="00546FD1" w:rsidRPr="00B529EB">
        <w:rPr>
          <w:rFonts w:ascii="Arabic Transparent" w:hAnsi="Arabic Transparent" w:cs="Arabic Transparent" w:hint="cs"/>
          <w:sz w:val="28"/>
          <w:szCs w:val="28"/>
          <w:rtl/>
          <w:lang w:bidi="ar-JO"/>
        </w:rPr>
        <w:t xml:space="preserve">ق به </w:t>
      </w:r>
      <w:r w:rsidR="000B12C9" w:rsidRPr="00B529EB">
        <w:rPr>
          <w:rFonts w:ascii="Arabic Transparent" w:hAnsi="Arabic Transparent" w:cs="Arabic Transparent" w:hint="cs"/>
          <w:sz w:val="28"/>
          <w:szCs w:val="28"/>
          <w:rtl/>
          <w:lang w:bidi="ar-JO"/>
        </w:rPr>
        <w:t>الشيء</w:t>
      </w:r>
      <w:r w:rsidR="00C07B2C">
        <w:rPr>
          <w:rFonts w:ascii="Arabic Transparent" w:hAnsi="Arabic Transparent" w:cs="Arabic Transparent" w:hint="cs"/>
          <w:sz w:val="28"/>
          <w:szCs w:val="28"/>
          <w:rtl/>
          <w:lang w:bidi="ar-JO"/>
        </w:rPr>
        <w:t>،</w:t>
      </w:r>
      <w:r w:rsidR="000B12C9" w:rsidRPr="00B529EB">
        <w:rPr>
          <w:rFonts w:ascii="Arabic Transparent" w:hAnsi="Arabic Transparent" w:cs="Arabic Transparent" w:hint="cs"/>
          <w:sz w:val="28"/>
          <w:szCs w:val="28"/>
          <w:rtl/>
          <w:lang w:bidi="ar-JO"/>
        </w:rPr>
        <w:t xml:space="preserve"> </w:t>
      </w:r>
      <w:r w:rsidR="00A40439" w:rsidRPr="00B529EB">
        <w:rPr>
          <w:rFonts w:ascii="Arabic Transparent" w:hAnsi="Arabic Transparent" w:cs="Arabic Transparent" w:hint="cs"/>
          <w:sz w:val="28"/>
          <w:szCs w:val="28"/>
          <w:rtl/>
          <w:lang w:bidi="ar-JO"/>
        </w:rPr>
        <w:t>وهو ذات معنى العلة التي ترتبط بالحكم وجوداً وعدماً.</w:t>
      </w:r>
      <w:r w:rsidR="0078671F">
        <w:rPr>
          <w:rFonts w:ascii="Arabic Transparent" w:hAnsi="Arabic Transparent" w:cs="Arabic Transparent" w:hint="cs"/>
          <w:sz w:val="28"/>
          <w:szCs w:val="28"/>
          <w:rtl/>
          <w:lang w:bidi="ar-JO"/>
        </w:rPr>
        <w:t xml:space="preserve"> </w:t>
      </w:r>
    </w:p>
    <w:p w14:paraId="01DB1E30" w14:textId="77777777" w:rsidR="005112EE" w:rsidRDefault="005112EE">
      <w:pPr>
        <w:bidi w:val="0"/>
        <w:spacing w:after="0" w:line="240" w:lineRule="auto"/>
        <w:rPr>
          <w:rFonts w:ascii="Arabic Transparent" w:hAnsi="Arabic Transparent" w:cs="Arabic Transparent"/>
          <w:sz w:val="28"/>
          <w:szCs w:val="28"/>
          <w:rtl/>
          <w:lang w:bidi="ar-JO"/>
        </w:rPr>
      </w:pPr>
      <w:r>
        <w:rPr>
          <w:rFonts w:ascii="Arabic Transparent" w:hAnsi="Arabic Transparent" w:cs="Arabic Transparent"/>
          <w:sz w:val="28"/>
          <w:szCs w:val="28"/>
          <w:rtl/>
          <w:lang w:bidi="ar-JO"/>
        </w:rPr>
        <w:br w:type="page"/>
      </w:r>
    </w:p>
    <w:p w14:paraId="349EC629" w14:textId="0972423E" w:rsidR="005439D1" w:rsidRPr="00C07B2C" w:rsidRDefault="00187131" w:rsidP="003D2884">
      <w:pPr>
        <w:spacing w:after="0" w:line="360" w:lineRule="auto"/>
        <w:jc w:val="both"/>
        <w:rPr>
          <w:rFonts w:ascii="Arabic Transparent" w:hAnsi="Arabic Transparent" w:cs="Arabic Transparent"/>
          <w:b/>
          <w:bCs/>
          <w:sz w:val="28"/>
          <w:szCs w:val="28"/>
          <w:rtl/>
          <w:lang w:bidi="ar-JO"/>
        </w:rPr>
      </w:pPr>
      <w:r w:rsidRPr="00C07B2C">
        <w:rPr>
          <w:rFonts w:ascii="Arabic Transparent" w:hAnsi="Arabic Transparent" w:cs="Arabic Transparent" w:hint="cs"/>
          <w:b/>
          <w:bCs/>
          <w:sz w:val="28"/>
          <w:szCs w:val="28"/>
          <w:rtl/>
          <w:lang w:bidi="ar-JO"/>
        </w:rPr>
        <w:t xml:space="preserve">الفرع </w:t>
      </w:r>
      <w:r w:rsidR="00C07B2C">
        <w:rPr>
          <w:rFonts w:ascii="Arabic Transparent" w:hAnsi="Arabic Transparent" w:cs="Arabic Transparent" w:hint="cs"/>
          <w:b/>
          <w:bCs/>
          <w:sz w:val="28"/>
          <w:szCs w:val="28"/>
          <w:rtl/>
          <w:lang w:bidi="ar-JO"/>
        </w:rPr>
        <w:t>الثالث</w:t>
      </w:r>
      <w:r w:rsidRPr="00C07B2C">
        <w:rPr>
          <w:rFonts w:ascii="Arabic Transparent" w:hAnsi="Arabic Transparent" w:cs="Arabic Transparent" w:hint="cs"/>
          <w:b/>
          <w:bCs/>
          <w:sz w:val="28"/>
          <w:szCs w:val="28"/>
          <w:rtl/>
          <w:lang w:bidi="ar-JO"/>
        </w:rPr>
        <w:t>: تعريف الخاص لغةً واصطلاحاً</w:t>
      </w:r>
    </w:p>
    <w:p w14:paraId="3BCE8B69" w14:textId="77777777" w:rsidR="00C07B2C" w:rsidRDefault="00FE72BA" w:rsidP="003D2884">
      <w:pPr>
        <w:spacing w:after="0" w:line="360" w:lineRule="auto"/>
        <w:jc w:val="both"/>
        <w:rPr>
          <w:rFonts w:ascii="Arabic Transparent" w:hAnsi="Arabic Transparent" w:cs="Arabic Transparent"/>
          <w:sz w:val="28"/>
          <w:szCs w:val="28"/>
          <w:rtl/>
          <w:lang w:bidi="ar-JO"/>
        </w:rPr>
      </w:pPr>
      <w:r w:rsidRPr="00C07B2C">
        <w:rPr>
          <w:rFonts w:ascii="Arabic Transparent" w:hAnsi="Arabic Transparent" w:cs="Arabic Transparent" w:hint="cs"/>
          <w:b/>
          <w:bCs/>
          <w:sz w:val="28"/>
          <w:szCs w:val="28"/>
          <w:rtl/>
          <w:lang w:bidi="ar-JO"/>
        </w:rPr>
        <w:t>أولاً: الخاص لغةً:</w:t>
      </w:r>
    </w:p>
    <w:p w14:paraId="02852E08" w14:textId="3CC3E120" w:rsidR="001F0490" w:rsidRDefault="005D7B91" w:rsidP="003D2884">
      <w:pPr>
        <w:spacing w:after="0" w:line="360" w:lineRule="auto"/>
        <w:jc w:val="both"/>
        <w:rPr>
          <w:rFonts w:ascii="Arabic Transparent" w:hAnsi="Arabic Transparent" w:cs="Arabic Transparent"/>
          <w:sz w:val="28"/>
          <w:szCs w:val="28"/>
          <w:rtl/>
          <w:lang w:bidi="ar-JO"/>
        </w:rPr>
      </w:pPr>
      <w:r>
        <w:rPr>
          <w:rFonts w:ascii="Arabic Transparent" w:hAnsi="Arabic Transparent" w:cs="Arabic Transparent" w:hint="cs"/>
          <w:sz w:val="28"/>
          <w:szCs w:val="28"/>
          <w:rtl/>
          <w:lang w:bidi="ar-JO"/>
        </w:rPr>
        <w:t xml:space="preserve">     </w:t>
      </w:r>
      <w:r w:rsidR="001F0490">
        <w:rPr>
          <w:rFonts w:ascii="Arabic Transparent" w:hAnsi="Arabic Transparent" w:cs="Arabic Transparent" w:hint="cs"/>
          <w:sz w:val="28"/>
          <w:szCs w:val="28"/>
          <w:rtl/>
          <w:lang w:bidi="ar-JO"/>
        </w:rPr>
        <w:t xml:space="preserve">يأتي </w:t>
      </w:r>
      <w:r w:rsidR="00D9038F">
        <w:rPr>
          <w:rFonts w:ascii="Arabic Transparent" w:hAnsi="Arabic Transparent" w:cs="Arabic Transparent" w:hint="cs"/>
          <w:sz w:val="28"/>
          <w:szCs w:val="28"/>
          <w:rtl/>
          <w:lang w:bidi="ar-JO"/>
        </w:rPr>
        <w:t xml:space="preserve">الخاص </w:t>
      </w:r>
      <w:r w:rsidR="001F0490">
        <w:rPr>
          <w:rFonts w:ascii="Arabic Transparent" w:hAnsi="Arabic Transparent" w:cs="Arabic Transparent" w:hint="cs"/>
          <w:sz w:val="28"/>
          <w:szCs w:val="28"/>
          <w:rtl/>
          <w:lang w:bidi="ar-JO"/>
        </w:rPr>
        <w:t>على معنيين عند علماء اللغة:</w:t>
      </w:r>
    </w:p>
    <w:p w14:paraId="5CD470E1" w14:textId="4E581E12" w:rsidR="001F0490" w:rsidRDefault="001F0490" w:rsidP="003D2884">
      <w:pPr>
        <w:spacing w:after="0" w:line="360" w:lineRule="auto"/>
        <w:jc w:val="both"/>
        <w:rPr>
          <w:rFonts w:ascii="Arabic Transparent" w:hAnsi="Arabic Transparent" w:cs="Arabic Transparent"/>
          <w:sz w:val="28"/>
          <w:szCs w:val="28"/>
          <w:rtl/>
          <w:lang w:bidi="ar-JO"/>
        </w:rPr>
      </w:pPr>
      <w:r>
        <w:rPr>
          <w:rFonts w:ascii="Arabic Transparent" w:hAnsi="Arabic Transparent" w:cs="Arabic Transparent" w:hint="cs"/>
          <w:sz w:val="28"/>
          <w:szCs w:val="28"/>
          <w:rtl/>
          <w:lang w:bidi="ar-JO"/>
        </w:rPr>
        <w:t>1- الإفراد:</w:t>
      </w:r>
      <w:r w:rsidR="00FE72BA" w:rsidRPr="00B529EB">
        <w:rPr>
          <w:rFonts w:ascii="Arabic Transparent" w:hAnsi="Arabic Transparent" w:cs="Arabic Transparent" w:hint="cs"/>
          <w:sz w:val="28"/>
          <w:szCs w:val="28"/>
          <w:rtl/>
          <w:lang w:bidi="ar-JO"/>
        </w:rPr>
        <w:t xml:space="preserve"> يقال</w:t>
      </w:r>
      <w:r w:rsidR="00FD4461">
        <w:rPr>
          <w:rFonts w:ascii="Arabic Transparent" w:hAnsi="Arabic Transparent" w:cs="Arabic Transparent" w:hint="cs"/>
          <w:sz w:val="28"/>
          <w:szCs w:val="28"/>
          <w:rtl/>
          <w:lang w:bidi="ar-JO"/>
        </w:rPr>
        <w:t>:</w:t>
      </w:r>
      <w:r w:rsidR="00FE72BA" w:rsidRPr="00B529EB">
        <w:rPr>
          <w:rFonts w:ascii="Arabic Transparent" w:hAnsi="Arabic Transparent" w:cs="Arabic Transparent" w:hint="cs"/>
          <w:sz w:val="28"/>
          <w:szCs w:val="28"/>
          <w:rtl/>
          <w:lang w:bidi="ar-JO"/>
        </w:rPr>
        <w:t xml:space="preserve"> </w:t>
      </w:r>
      <w:r w:rsidR="00FD4461">
        <w:rPr>
          <w:rFonts w:ascii="Arabic Transparent" w:hAnsi="Arabic Transparent" w:cs="Arabic Transparent" w:hint="cs"/>
          <w:sz w:val="28"/>
          <w:szCs w:val="28"/>
          <w:rtl/>
          <w:lang w:bidi="ar-JO"/>
        </w:rPr>
        <w:t>"</w:t>
      </w:r>
      <w:r w:rsidR="00FE72BA" w:rsidRPr="00B529EB">
        <w:rPr>
          <w:rFonts w:ascii="Arabic Transparent" w:hAnsi="Arabic Transparent" w:cs="Arabic Transparent" w:hint="cs"/>
          <w:sz w:val="28"/>
          <w:szCs w:val="28"/>
          <w:rtl/>
          <w:lang w:bidi="ar-JO"/>
        </w:rPr>
        <w:t>خَصَّه بالشيء يخُصه خصوصاً وخصوصية، بمعنى أفرده به</w:t>
      </w:r>
      <w:r w:rsidR="00FD4461">
        <w:rPr>
          <w:rFonts w:ascii="Arabic Transparent" w:hAnsi="Arabic Transparent" w:cs="Arabic Transparent" w:hint="cs"/>
          <w:sz w:val="28"/>
          <w:szCs w:val="28"/>
          <w:rtl/>
          <w:lang w:bidi="ar-JO"/>
        </w:rPr>
        <w:t>"</w:t>
      </w:r>
      <w:r w:rsidR="00FE72BA" w:rsidRPr="00B529EB">
        <w:rPr>
          <w:rFonts w:ascii="Arabic Transparent" w:hAnsi="Arabic Transparent" w:cs="Arabic Transparent" w:hint="cs"/>
          <w:sz w:val="28"/>
          <w:szCs w:val="28"/>
          <w:vertAlign w:val="superscript"/>
          <w:rtl/>
          <w:lang w:bidi="ar-JO"/>
        </w:rPr>
        <w:t>(</w:t>
      </w:r>
      <w:r w:rsidR="00FE72BA" w:rsidRPr="00B529EB">
        <w:rPr>
          <w:rStyle w:val="FootnoteReference"/>
          <w:rFonts w:ascii="Arabic Transparent" w:hAnsi="Arabic Transparent" w:cs="Arabic Transparent" w:hint="cs"/>
          <w:sz w:val="28"/>
          <w:szCs w:val="28"/>
          <w:rtl/>
          <w:lang w:bidi="ar-JO"/>
        </w:rPr>
        <w:footnoteReference w:id="30"/>
      </w:r>
      <w:r w:rsidR="00FE72BA" w:rsidRPr="00B529EB">
        <w:rPr>
          <w:rFonts w:ascii="Arabic Transparent" w:hAnsi="Arabic Transparent" w:cs="Arabic Transparent" w:hint="cs"/>
          <w:sz w:val="28"/>
          <w:szCs w:val="28"/>
          <w:vertAlign w:val="superscript"/>
          <w:rtl/>
          <w:lang w:bidi="ar-JO"/>
        </w:rPr>
        <w:t>)</w:t>
      </w:r>
      <w:r w:rsidR="00FD4461">
        <w:rPr>
          <w:rFonts w:ascii="Arabic Transparent" w:hAnsi="Arabic Transparent" w:cs="Arabic Transparent" w:hint="cs"/>
          <w:sz w:val="28"/>
          <w:szCs w:val="28"/>
          <w:rtl/>
          <w:lang w:bidi="ar-JO"/>
        </w:rPr>
        <w:t>.</w:t>
      </w:r>
    </w:p>
    <w:p w14:paraId="6DCAE7C9" w14:textId="0F577A17" w:rsidR="00B74950" w:rsidRDefault="001F0490" w:rsidP="00E16397">
      <w:pPr>
        <w:spacing w:after="0" w:line="360" w:lineRule="auto"/>
        <w:jc w:val="both"/>
        <w:rPr>
          <w:rFonts w:ascii="Arabic Transparent" w:hAnsi="Arabic Transparent" w:cs="Arabic Transparent"/>
          <w:sz w:val="28"/>
          <w:szCs w:val="28"/>
          <w:rtl/>
          <w:lang w:bidi="ar-JO"/>
        </w:rPr>
      </w:pPr>
      <w:r>
        <w:rPr>
          <w:rFonts w:ascii="Arabic Transparent" w:hAnsi="Arabic Transparent" w:cs="Arabic Transparent" w:hint="cs"/>
          <w:sz w:val="28"/>
          <w:szCs w:val="28"/>
          <w:rtl/>
          <w:lang w:bidi="ar-JO"/>
        </w:rPr>
        <w:t xml:space="preserve">2- التحديد والحصر: </w:t>
      </w:r>
      <w:r w:rsidR="00301E38" w:rsidRPr="00B529EB">
        <w:rPr>
          <w:rFonts w:ascii="Arabic Transparent" w:hAnsi="Arabic Transparent" w:cs="Arabic Transparent" w:hint="cs"/>
          <w:sz w:val="28"/>
          <w:szCs w:val="28"/>
          <w:rtl/>
          <w:lang w:bidi="ar-JO"/>
        </w:rPr>
        <w:t xml:space="preserve">ويقال: </w:t>
      </w:r>
      <w:r w:rsidR="00FD4461">
        <w:rPr>
          <w:rFonts w:ascii="Arabic Transparent" w:hAnsi="Arabic Transparent" w:cs="Arabic Transparent" w:hint="cs"/>
          <w:sz w:val="28"/>
          <w:szCs w:val="28"/>
          <w:rtl/>
          <w:lang w:bidi="ar-JO"/>
        </w:rPr>
        <w:t>"</w:t>
      </w:r>
      <w:r w:rsidR="00301E38" w:rsidRPr="00B529EB">
        <w:rPr>
          <w:rFonts w:ascii="Arabic Transparent" w:hAnsi="Arabic Transparent" w:cs="Arabic Transparent" w:hint="cs"/>
          <w:sz w:val="28"/>
          <w:szCs w:val="28"/>
          <w:rtl/>
          <w:lang w:bidi="ar-JO"/>
        </w:rPr>
        <w:t>خصّه بكذا واختصه وخصصه وأخصه، وعليك بخويصة نفسك، وهو يستخص فلاناً ويستخلصه</w:t>
      </w:r>
      <w:r w:rsidR="00FD4461">
        <w:rPr>
          <w:rFonts w:ascii="Arabic Transparent" w:hAnsi="Arabic Transparent" w:cs="Arabic Transparent" w:hint="cs"/>
          <w:sz w:val="28"/>
          <w:szCs w:val="28"/>
          <w:rtl/>
          <w:lang w:bidi="ar-JO"/>
        </w:rPr>
        <w:t>"</w:t>
      </w:r>
      <w:r w:rsidR="00FD4461" w:rsidRPr="00B529EB">
        <w:rPr>
          <w:rFonts w:ascii="Arabic Transparent" w:hAnsi="Arabic Transparent" w:cs="Arabic Transparent" w:hint="cs"/>
          <w:sz w:val="28"/>
          <w:szCs w:val="28"/>
          <w:vertAlign w:val="superscript"/>
          <w:rtl/>
          <w:lang w:bidi="ar-JO"/>
        </w:rPr>
        <w:t>(</w:t>
      </w:r>
      <w:r w:rsidR="00FD4461" w:rsidRPr="00B529EB">
        <w:rPr>
          <w:rStyle w:val="FootnoteReference"/>
          <w:rFonts w:ascii="Arabic Transparent" w:hAnsi="Arabic Transparent" w:cs="Arabic Transparent" w:hint="cs"/>
          <w:sz w:val="28"/>
          <w:szCs w:val="28"/>
          <w:rtl/>
          <w:lang w:bidi="ar-JO"/>
        </w:rPr>
        <w:footnoteReference w:id="31"/>
      </w:r>
      <w:r w:rsidR="00FD4461" w:rsidRPr="00B529EB">
        <w:rPr>
          <w:rFonts w:ascii="Arabic Transparent" w:hAnsi="Arabic Transparent" w:cs="Arabic Transparent" w:hint="cs"/>
          <w:sz w:val="28"/>
          <w:szCs w:val="28"/>
          <w:vertAlign w:val="superscript"/>
          <w:rtl/>
          <w:lang w:bidi="ar-JO"/>
        </w:rPr>
        <w:t>)</w:t>
      </w:r>
      <w:r w:rsidR="001314E4" w:rsidRPr="00B529EB">
        <w:rPr>
          <w:rFonts w:ascii="Arabic Transparent" w:hAnsi="Arabic Transparent" w:cs="Arabic Transparent" w:hint="cs"/>
          <w:sz w:val="28"/>
          <w:szCs w:val="28"/>
          <w:rtl/>
          <w:lang w:bidi="ar-JO"/>
        </w:rPr>
        <w:t>، فهو نقيض العام الذي يستغرق أفراده على وجه الشمول</w:t>
      </w:r>
      <w:r>
        <w:rPr>
          <w:rFonts w:ascii="Arabic Transparent" w:hAnsi="Arabic Transparent" w:cs="Arabic Transparent" w:hint="cs"/>
          <w:sz w:val="28"/>
          <w:szCs w:val="28"/>
          <w:rtl/>
          <w:lang w:bidi="ar-JO"/>
        </w:rPr>
        <w:t>،</w:t>
      </w:r>
      <w:r w:rsidR="001314E4" w:rsidRPr="00B529EB">
        <w:rPr>
          <w:rFonts w:ascii="Arabic Transparent" w:hAnsi="Arabic Transparent" w:cs="Arabic Transparent" w:hint="cs"/>
          <w:sz w:val="28"/>
          <w:szCs w:val="28"/>
          <w:rtl/>
          <w:lang w:bidi="ar-JO"/>
        </w:rPr>
        <w:t xml:space="preserve"> ويراد به التحديد </w:t>
      </w:r>
      <w:r>
        <w:rPr>
          <w:rFonts w:ascii="Arabic Transparent" w:hAnsi="Arabic Transparent" w:cs="Arabic Transparent" w:hint="cs"/>
          <w:sz w:val="28"/>
          <w:szCs w:val="28"/>
          <w:rtl/>
          <w:lang w:bidi="ar-JO"/>
        </w:rPr>
        <w:t xml:space="preserve">والحصر </w:t>
      </w:r>
      <w:r w:rsidR="001314E4" w:rsidRPr="00B529EB">
        <w:rPr>
          <w:rFonts w:ascii="Arabic Transparent" w:hAnsi="Arabic Transparent" w:cs="Arabic Transparent" w:hint="cs"/>
          <w:sz w:val="28"/>
          <w:szCs w:val="28"/>
          <w:rtl/>
          <w:lang w:bidi="ar-JO"/>
        </w:rPr>
        <w:t>على بعض أفراد العموم المعينين.</w:t>
      </w:r>
    </w:p>
    <w:p w14:paraId="6F77A38E" w14:textId="2D3F1270" w:rsidR="001F0490" w:rsidRPr="00B529EB" w:rsidRDefault="00E16397" w:rsidP="003D2884">
      <w:pPr>
        <w:spacing w:after="0" w:line="360" w:lineRule="auto"/>
        <w:jc w:val="both"/>
        <w:rPr>
          <w:rFonts w:ascii="Arabic Transparent" w:hAnsi="Arabic Transparent" w:cs="Arabic Transparent"/>
          <w:sz w:val="28"/>
          <w:szCs w:val="28"/>
          <w:rtl/>
          <w:lang w:bidi="ar-JO"/>
        </w:rPr>
      </w:pPr>
      <w:r>
        <w:rPr>
          <w:rFonts w:ascii="Arabic Transparent" w:hAnsi="Arabic Transparent" w:cs="Arabic Transparent" w:hint="cs"/>
          <w:sz w:val="28"/>
          <w:szCs w:val="28"/>
          <w:rtl/>
          <w:lang w:bidi="ar-JO"/>
        </w:rPr>
        <w:t xml:space="preserve">     </w:t>
      </w:r>
      <w:r w:rsidR="001F0490">
        <w:rPr>
          <w:rFonts w:ascii="Arabic Transparent" w:hAnsi="Arabic Transparent" w:cs="Arabic Transparent" w:hint="cs"/>
          <w:sz w:val="28"/>
          <w:szCs w:val="28"/>
          <w:rtl/>
          <w:lang w:bidi="ar-JO"/>
        </w:rPr>
        <w:t>والمعنى الذي يتسق مع التعريف الاصطلاحي هو التحديد والحصر بقصر المعنى على أفراد العموم المحددين من وضع الخطاب.</w:t>
      </w:r>
    </w:p>
    <w:p w14:paraId="499835E4" w14:textId="77777777" w:rsidR="00C07B2C" w:rsidRDefault="001314E4" w:rsidP="003D2884">
      <w:pPr>
        <w:spacing w:after="0" w:line="360" w:lineRule="auto"/>
        <w:jc w:val="both"/>
        <w:rPr>
          <w:rFonts w:ascii="Arabic Transparent" w:hAnsi="Arabic Transparent" w:cs="Arabic Transparent"/>
          <w:sz w:val="28"/>
          <w:szCs w:val="28"/>
          <w:rtl/>
          <w:lang w:bidi="ar-JO"/>
        </w:rPr>
      </w:pPr>
      <w:r w:rsidRPr="00C07B2C">
        <w:rPr>
          <w:rFonts w:ascii="Arabic Transparent" w:hAnsi="Arabic Transparent" w:cs="Arabic Transparent" w:hint="cs"/>
          <w:b/>
          <w:bCs/>
          <w:sz w:val="28"/>
          <w:szCs w:val="28"/>
          <w:rtl/>
          <w:lang w:bidi="ar-JO"/>
        </w:rPr>
        <w:t>ثانياً: الخاص اصطلاحاً:</w:t>
      </w:r>
    </w:p>
    <w:p w14:paraId="058C5A9F" w14:textId="3EF73789" w:rsidR="00E20114" w:rsidRPr="00B529EB" w:rsidRDefault="005D7B91" w:rsidP="00C07B2C">
      <w:pPr>
        <w:spacing w:after="0" w:line="360" w:lineRule="auto"/>
        <w:jc w:val="both"/>
        <w:rPr>
          <w:rFonts w:ascii="Arabic Transparent" w:hAnsi="Arabic Transparent" w:cs="Arabic Transparent"/>
          <w:sz w:val="28"/>
          <w:szCs w:val="28"/>
          <w:rtl/>
          <w:lang w:bidi="ar-JO"/>
        </w:rPr>
      </w:pPr>
      <w:r>
        <w:rPr>
          <w:rFonts w:ascii="Arabic Transparent" w:hAnsi="Arabic Transparent" w:cs="Arabic Transparent" w:hint="cs"/>
          <w:sz w:val="28"/>
          <w:szCs w:val="28"/>
          <w:rtl/>
          <w:lang w:bidi="ar-JO"/>
        </w:rPr>
        <w:t xml:space="preserve">     </w:t>
      </w:r>
      <w:r w:rsidR="00C07B2C">
        <w:rPr>
          <w:rFonts w:ascii="Arabic Transparent" w:hAnsi="Arabic Transparent" w:cs="Arabic Transparent" w:hint="cs"/>
          <w:sz w:val="28"/>
          <w:szCs w:val="28"/>
          <w:rtl/>
          <w:lang w:bidi="ar-JO"/>
        </w:rPr>
        <w:t xml:space="preserve"> </w:t>
      </w:r>
      <w:r w:rsidR="001314E4" w:rsidRPr="00B529EB">
        <w:rPr>
          <w:rFonts w:ascii="Arabic Transparent" w:hAnsi="Arabic Transparent" w:cs="Arabic Transparent" w:hint="cs"/>
          <w:sz w:val="28"/>
          <w:szCs w:val="28"/>
          <w:rtl/>
          <w:lang w:bidi="ar-JO"/>
        </w:rPr>
        <w:t xml:space="preserve"> </w:t>
      </w:r>
      <w:r w:rsidR="007929C5">
        <w:rPr>
          <w:rFonts w:ascii="Arabic Transparent" w:hAnsi="Arabic Transparent" w:cs="Arabic Transparent" w:hint="cs"/>
          <w:sz w:val="28"/>
          <w:szCs w:val="28"/>
          <w:rtl/>
          <w:lang w:bidi="ar-JO"/>
        </w:rPr>
        <w:t xml:space="preserve">بعد الاستقراء تبيّن أن الخاص اصطلاحاً يطلق على التعريفات </w:t>
      </w:r>
      <w:r w:rsidR="00BF1052">
        <w:rPr>
          <w:rFonts w:ascii="Arabic Transparent" w:hAnsi="Arabic Transparent" w:cs="Arabic Transparent" w:hint="cs"/>
          <w:sz w:val="28"/>
          <w:szCs w:val="28"/>
          <w:rtl/>
          <w:lang w:bidi="ar-JO"/>
        </w:rPr>
        <w:t>الآتية</w:t>
      </w:r>
      <w:r w:rsidR="007929C5">
        <w:rPr>
          <w:rFonts w:ascii="Arabic Transparent" w:hAnsi="Arabic Transparent" w:cs="Arabic Transparent" w:hint="cs"/>
          <w:sz w:val="28"/>
          <w:szCs w:val="28"/>
          <w:rtl/>
          <w:lang w:bidi="ar-JO"/>
        </w:rPr>
        <w:t>:</w:t>
      </w:r>
      <w:r w:rsidR="00E20114" w:rsidRPr="00B529EB">
        <w:rPr>
          <w:rFonts w:ascii="Arabic Transparent" w:hAnsi="Arabic Transparent" w:cs="Arabic Transparent" w:hint="cs"/>
          <w:sz w:val="28"/>
          <w:szCs w:val="28"/>
          <w:rtl/>
          <w:lang w:bidi="ar-JO"/>
        </w:rPr>
        <w:t xml:space="preserve"> </w:t>
      </w:r>
    </w:p>
    <w:p w14:paraId="747D2707" w14:textId="5B581E1E" w:rsidR="00FE72BA" w:rsidRPr="00B529EB" w:rsidRDefault="007929C5" w:rsidP="003D2884">
      <w:pPr>
        <w:spacing w:after="0" w:line="360" w:lineRule="auto"/>
        <w:jc w:val="both"/>
        <w:rPr>
          <w:rFonts w:ascii="Arabic Transparent" w:hAnsi="Arabic Transparent" w:cs="Arabic Transparent"/>
          <w:sz w:val="28"/>
          <w:szCs w:val="28"/>
          <w:rtl/>
          <w:lang w:bidi="ar-JO"/>
        </w:rPr>
      </w:pPr>
      <w:r>
        <w:rPr>
          <w:rFonts w:ascii="Arabic Transparent" w:hAnsi="Arabic Transparent" w:cs="Arabic Transparent" w:hint="cs"/>
          <w:sz w:val="28"/>
          <w:szCs w:val="28"/>
          <w:rtl/>
          <w:lang w:bidi="ar-JO"/>
        </w:rPr>
        <w:t xml:space="preserve">1- </w:t>
      </w:r>
      <w:r w:rsidR="00E20114" w:rsidRPr="00B529EB">
        <w:rPr>
          <w:rFonts w:ascii="Arabic Transparent" w:hAnsi="Arabic Transparent" w:cs="Arabic Transparent" w:hint="cs"/>
          <w:sz w:val="28"/>
          <w:szCs w:val="28"/>
          <w:rtl/>
          <w:lang w:bidi="ar-JO"/>
        </w:rPr>
        <w:t>عر</w:t>
      </w:r>
      <w:r>
        <w:rPr>
          <w:rFonts w:ascii="Arabic Transparent" w:hAnsi="Arabic Transparent" w:cs="Arabic Transparent" w:hint="cs"/>
          <w:sz w:val="28"/>
          <w:szCs w:val="28"/>
          <w:rtl/>
          <w:lang w:bidi="ar-JO"/>
        </w:rPr>
        <w:t>َّ</w:t>
      </w:r>
      <w:r w:rsidR="00E20114" w:rsidRPr="00B529EB">
        <w:rPr>
          <w:rFonts w:ascii="Arabic Transparent" w:hAnsi="Arabic Transparent" w:cs="Arabic Transparent" w:hint="cs"/>
          <w:sz w:val="28"/>
          <w:szCs w:val="28"/>
          <w:rtl/>
          <w:lang w:bidi="ar-JO"/>
        </w:rPr>
        <w:t>فه السِّغنَاقي</w:t>
      </w:r>
      <w:r>
        <w:rPr>
          <w:rFonts w:ascii="Arabic Transparent" w:hAnsi="Arabic Transparent" w:cs="Arabic Transparent" w:hint="cs"/>
          <w:sz w:val="28"/>
          <w:szCs w:val="28"/>
          <w:rtl/>
          <w:lang w:bidi="ar-JO"/>
        </w:rPr>
        <w:t>،</w:t>
      </w:r>
      <w:r w:rsidR="00E20114" w:rsidRPr="00B529EB">
        <w:rPr>
          <w:rFonts w:ascii="Arabic Transparent" w:hAnsi="Arabic Transparent" w:cs="Arabic Transparent" w:hint="cs"/>
          <w:sz w:val="28"/>
          <w:szCs w:val="28"/>
          <w:rtl/>
          <w:lang w:bidi="ar-JO"/>
        </w:rPr>
        <w:t xml:space="preserve"> بأن</w:t>
      </w:r>
      <w:r>
        <w:rPr>
          <w:rFonts w:ascii="Arabic Transparent" w:hAnsi="Arabic Transparent" w:cs="Arabic Transparent" w:hint="cs"/>
          <w:sz w:val="28"/>
          <w:szCs w:val="28"/>
          <w:rtl/>
          <w:lang w:bidi="ar-JO"/>
        </w:rPr>
        <w:t>َّ</w:t>
      </w:r>
      <w:r w:rsidR="00E20114" w:rsidRPr="00B529EB">
        <w:rPr>
          <w:rFonts w:ascii="Arabic Transparent" w:hAnsi="Arabic Transparent" w:cs="Arabic Transparent" w:hint="cs"/>
          <w:sz w:val="28"/>
          <w:szCs w:val="28"/>
          <w:rtl/>
          <w:lang w:bidi="ar-JO"/>
        </w:rPr>
        <w:t>ه "‌كل لفظ وضع لمعنى معلوم على الانفراد"</w:t>
      </w:r>
      <w:r w:rsidR="00E20114" w:rsidRPr="00B529EB">
        <w:rPr>
          <w:rFonts w:ascii="Arabic Transparent" w:hAnsi="Arabic Transparent" w:cs="Arabic Transparent" w:hint="cs"/>
          <w:sz w:val="28"/>
          <w:szCs w:val="28"/>
          <w:vertAlign w:val="superscript"/>
          <w:rtl/>
          <w:lang w:bidi="ar-JO"/>
        </w:rPr>
        <w:t>(</w:t>
      </w:r>
      <w:r w:rsidR="00E20114" w:rsidRPr="00B529EB">
        <w:rPr>
          <w:rStyle w:val="FootnoteReference"/>
          <w:rFonts w:ascii="Arabic Transparent" w:hAnsi="Arabic Transparent" w:cs="Arabic Transparent" w:hint="cs"/>
          <w:sz w:val="28"/>
          <w:szCs w:val="28"/>
          <w:rtl/>
          <w:lang w:bidi="ar-JO"/>
        </w:rPr>
        <w:footnoteReference w:id="32"/>
      </w:r>
      <w:r w:rsidR="00E20114" w:rsidRPr="00B529EB">
        <w:rPr>
          <w:rFonts w:ascii="Arabic Transparent" w:hAnsi="Arabic Transparent" w:cs="Arabic Transparent" w:hint="cs"/>
          <w:sz w:val="28"/>
          <w:szCs w:val="28"/>
          <w:vertAlign w:val="superscript"/>
          <w:rtl/>
          <w:lang w:bidi="ar-JO"/>
        </w:rPr>
        <w:t>)</w:t>
      </w:r>
      <w:r w:rsidR="00E20114" w:rsidRPr="00B529EB">
        <w:rPr>
          <w:rFonts w:ascii="Arabic Transparent" w:hAnsi="Arabic Transparent" w:cs="Arabic Transparent" w:hint="cs"/>
          <w:sz w:val="28"/>
          <w:szCs w:val="28"/>
          <w:rtl/>
          <w:lang w:bidi="ar-JO"/>
        </w:rPr>
        <w:t>.</w:t>
      </w:r>
    </w:p>
    <w:p w14:paraId="004F2A43" w14:textId="5DF7B10E" w:rsidR="005439D1" w:rsidRPr="00B529EB" w:rsidRDefault="007929C5" w:rsidP="003D2884">
      <w:pPr>
        <w:spacing w:after="0" w:line="360" w:lineRule="auto"/>
        <w:jc w:val="both"/>
        <w:rPr>
          <w:rFonts w:ascii="Arabic Transparent" w:hAnsi="Arabic Transparent" w:cs="Arabic Transparent"/>
          <w:sz w:val="28"/>
          <w:szCs w:val="28"/>
          <w:rtl/>
          <w:lang w:bidi="ar-JO"/>
        </w:rPr>
      </w:pPr>
      <w:r>
        <w:rPr>
          <w:rFonts w:ascii="Arabic Transparent" w:hAnsi="Arabic Transparent" w:cs="Arabic Transparent" w:hint="cs"/>
          <w:sz w:val="28"/>
          <w:szCs w:val="28"/>
          <w:rtl/>
          <w:lang w:bidi="ar-JO"/>
        </w:rPr>
        <w:t xml:space="preserve">2- </w:t>
      </w:r>
      <w:r w:rsidR="00E20114" w:rsidRPr="00B529EB">
        <w:rPr>
          <w:rFonts w:ascii="Arabic Transparent" w:hAnsi="Arabic Transparent" w:cs="Arabic Transparent" w:hint="cs"/>
          <w:sz w:val="28"/>
          <w:szCs w:val="28"/>
          <w:rtl/>
          <w:lang w:bidi="ar-JO"/>
        </w:rPr>
        <w:t>عر</w:t>
      </w:r>
      <w:r>
        <w:rPr>
          <w:rFonts w:ascii="Arabic Transparent" w:hAnsi="Arabic Transparent" w:cs="Arabic Transparent" w:hint="cs"/>
          <w:sz w:val="28"/>
          <w:szCs w:val="28"/>
          <w:rtl/>
          <w:lang w:bidi="ar-JO"/>
        </w:rPr>
        <w:t>َّ</w:t>
      </w:r>
      <w:r w:rsidR="00E20114" w:rsidRPr="00B529EB">
        <w:rPr>
          <w:rFonts w:ascii="Arabic Transparent" w:hAnsi="Arabic Transparent" w:cs="Arabic Transparent" w:hint="cs"/>
          <w:sz w:val="28"/>
          <w:szCs w:val="28"/>
          <w:rtl/>
          <w:lang w:bidi="ar-JO"/>
        </w:rPr>
        <w:t>فه الطوفي</w:t>
      </w:r>
      <w:r>
        <w:rPr>
          <w:rFonts w:ascii="Arabic Transparent" w:hAnsi="Arabic Transparent" w:cs="Arabic Transparent" w:hint="cs"/>
          <w:sz w:val="28"/>
          <w:szCs w:val="28"/>
          <w:rtl/>
          <w:lang w:bidi="ar-JO"/>
        </w:rPr>
        <w:t>،</w:t>
      </w:r>
      <w:r w:rsidR="00E20114" w:rsidRPr="00B529EB">
        <w:rPr>
          <w:rFonts w:ascii="Arabic Transparent" w:hAnsi="Arabic Transparent" w:cs="Arabic Transparent" w:hint="cs"/>
          <w:sz w:val="28"/>
          <w:szCs w:val="28"/>
          <w:rtl/>
          <w:lang w:bidi="ar-JO"/>
        </w:rPr>
        <w:t xml:space="preserve"> بأن</w:t>
      </w:r>
      <w:r>
        <w:rPr>
          <w:rFonts w:ascii="Arabic Transparent" w:hAnsi="Arabic Transparent" w:cs="Arabic Transparent" w:hint="cs"/>
          <w:sz w:val="28"/>
          <w:szCs w:val="28"/>
          <w:rtl/>
          <w:lang w:bidi="ar-JO"/>
        </w:rPr>
        <w:t>َّ</w:t>
      </w:r>
      <w:r w:rsidR="00E20114" w:rsidRPr="00B529EB">
        <w:rPr>
          <w:rFonts w:ascii="Arabic Transparent" w:hAnsi="Arabic Transparent" w:cs="Arabic Transparent" w:hint="cs"/>
          <w:sz w:val="28"/>
          <w:szCs w:val="28"/>
          <w:rtl/>
          <w:lang w:bidi="ar-JO"/>
        </w:rPr>
        <w:t>ه:</w:t>
      </w:r>
      <w:r w:rsidR="00151AED">
        <w:rPr>
          <w:rFonts w:ascii="Arabic Transparent" w:hAnsi="Arabic Transparent" w:cs="Arabic Transparent" w:hint="cs"/>
          <w:sz w:val="28"/>
          <w:szCs w:val="28"/>
          <w:rtl/>
          <w:lang w:bidi="ar-JO"/>
        </w:rPr>
        <w:t xml:space="preserve"> </w:t>
      </w:r>
      <w:r w:rsidR="00151AED">
        <w:rPr>
          <w:rFonts w:ascii="Arabic Transparent" w:hAnsi="Arabic Transparent" w:cs="Arabic Transparent"/>
          <w:sz w:val="28"/>
          <w:szCs w:val="28"/>
          <w:rtl/>
          <w:lang w:bidi="ar-JO"/>
        </w:rPr>
        <w:t>"</w:t>
      </w:r>
      <w:r w:rsidR="00E20114" w:rsidRPr="00B529EB">
        <w:rPr>
          <w:rFonts w:ascii="Arabic Transparent" w:hAnsi="Arabic Transparent" w:cs="Arabic Transparent" w:hint="cs"/>
          <w:sz w:val="28"/>
          <w:szCs w:val="28"/>
          <w:rtl/>
          <w:lang w:bidi="ar-JO"/>
        </w:rPr>
        <w:t>اللفظ الدّال على بَعضِ وَحَدَاتِ الماهِيّة"</w:t>
      </w:r>
      <w:r w:rsidR="00E20114" w:rsidRPr="00B529EB">
        <w:rPr>
          <w:rFonts w:ascii="Arabic Transparent" w:hAnsi="Arabic Transparent" w:cs="Arabic Transparent" w:hint="cs"/>
          <w:sz w:val="28"/>
          <w:szCs w:val="28"/>
          <w:vertAlign w:val="superscript"/>
          <w:rtl/>
          <w:lang w:bidi="ar-JO"/>
        </w:rPr>
        <w:t>(</w:t>
      </w:r>
      <w:r w:rsidR="00E20114" w:rsidRPr="00B529EB">
        <w:rPr>
          <w:rStyle w:val="FootnoteReference"/>
          <w:rFonts w:ascii="Arabic Transparent" w:hAnsi="Arabic Transparent" w:cs="Arabic Transparent" w:hint="cs"/>
          <w:sz w:val="28"/>
          <w:szCs w:val="28"/>
          <w:rtl/>
          <w:lang w:bidi="ar-JO"/>
        </w:rPr>
        <w:footnoteReference w:id="33"/>
      </w:r>
      <w:r w:rsidR="00E20114" w:rsidRPr="00B529EB">
        <w:rPr>
          <w:rFonts w:ascii="Arabic Transparent" w:hAnsi="Arabic Transparent" w:cs="Arabic Transparent" w:hint="cs"/>
          <w:sz w:val="28"/>
          <w:szCs w:val="28"/>
          <w:vertAlign w:val="superscript"/>
          <w:rtl/>
          <w:lang w:bidi="ar-JO"/>
        </w:rPr>
        <w:t>)</w:t>
      </w:r>
      <w:r w:rsidR="000E1385">
        <w:rPr>
          <w:rFonts w:ascii="Arabic Transparent" w:hAnsi="Arabic Transparent" w:cs="Arabic Transparent" w:hint="cs"/>
          <w:sz w:val="28"/>
          <w:szCs w:val="28"/>
          <w:rtl/>
          <w:lang w:bidi="ar-JO"/>
        </w:rPr>
        <w:t>.</w:t>
      </w:r>
    </w:p>
    <w:p w14:paraId="78150369" w14:textId="0250531C" w:rsidR="006421F6" w:rsidRPr="00B529EB" w:rsidRDefault="007929C5" w:rsidP="003D2884">
      <w:pPr>
        <w:spacing w:after="0" w:line="360" w:lineRule="auto"/>
        <w:jc w:val="both"/>
        <w:rPr>
          <w:rFonts w:ascii="Arabic Transparent" w:hAnsi="Arabic Transparent" w:cs="Arabic Transparent"/>
          <w:sz w:val="28"/>
          <w:szCs w:val="28"/>
          <w:rtl/>
          <w:lang w:bidi="ar-JO"/>
        </w:rPr>
      </w:pPr>
      <w:r>
        <w:rPr>
          <w:rFonts w:ascii="Arabic Transparent" w:hAnsi="Arabic Transparent" w:cs="Arabic Transparent" w:hint="cs"/>
          <w:sz w:val="28"/>
          <w:szCs w:val="28"/>
          <w:rtl/>
          <w:lang w:bidi="ar-JO"/>
        </w:rPr>
        <w:t xml:space="preserve">3- </w:t>
      </w:r>
      <w:r w:rsidR="006421F6" w:rsidRPr="00B529EB">
        <w:rPr>
          <w:rFonts w:ascii="Arabic Transparent" w:hAnsi="Arabic Transparent" w:cs="Arabic Transparent" w:hint="cs"/>
          <w:sz w:val="28"/>
          <w:szCs w:val="28"/>
          <w:rtl/>
          <w:lang w:bidi="ar-JO"/>
        </w:rPr>
        <w:t>عر</w:t>
      </w:r>
      <w:r>
        <w:rPr>
          <w:rFonts w:ascii="Arabic Transparent" w:hAnsi="Arabic Transparent" w:cs="Arabic Transparent" w:hint="cs"/>
          <w:sz w:val="28"/>
          <w:szCs w:val="28"/>
          <w:rtl/>
          <w:lang w:bidi="ar-JO"/>
        </w:rPr>
        <w:t>َّ</w:t>
      </w:r>
      <w:r w:rsidR="006421F6" w:rsidRPr="00B529EB">
        <w:rPr>
          <w:rFonts w:ascii="Arabic Transparent" w:hAnsi="Arabic Transparent" w:cs="Arabic Transparent" w:hint="cs"/>
          <w:sz w:val="28"/>
          <w:szCs w:val="28"/>
          <w:rtl/>
          <w:lang w:bidi="ar-JO"/>
        </w:rPr>
        <w:t>فه المارديني</w:t>
      </w:r>
      <w:r>
        <w:rPr>
          <w:rFonts w:ascii="Arabic Transparent" w:hAnsi="Arabic Transparent" w:cs="Arabic Transparent" w:hint="cs"/>
          <w:sz w:val="28"/>
          <w:szCs w:val="28"/>
          <w:rtl/>
          <w:lang w:bidi="ar-JO"/>
        </w:rPr>
        <w:t>،</w:t>
      </w:r>
      <w:r w:rsidR="006421F6" w:rsidRPr="00B529EB">
        <w:rPr>
          <w:rFonts w:ascii="Arabic Transparent" w:hAnsi="Arabic Transparent" w:cs="Arabic Transparent" w:hint="cs"/>
          <w:sz w:val="28"/>
          <w:szCs w:val="28"/>
          <w:rtl/>
          <w:lang w:bidi="ar-JO"/>
        </w:rPr>
        <w:t xml:space="preserve"> بأن</w:t>
      </w:r>
      <w:r>
        <w:rPr>
          <w:rFonts w:ascii="Arabic Transparent" w:hAnsi="Arabic Transparent" w:cs="Arabic Transparent" w:hint="cs"/>
          <w:sz w:val="28"/>
          <w:szCs w:val="28"/>
          <w:rtl/>
          <w:lang w:bidi="ar-JO"/>
        </w:rPr>
        <w:t>َّ</w:t>
      </w:r>
      <w:r w:rsidR="006421F6" w:rsidRPr="00B529EB">
        <w:rPr>
          <w:rFonts w:ascii="Arabic Transparent" w:hAnsi="Arabic Transparent" w:cs="Arabic Transparent" w:hint="cs"/>
          <w:sz w:val="28"/>
          <w:szCs w:val="28"/>
          <w:rtl/>
          <w:lang w:bidi="ar-JO"/>
        </w:rPr>
        <w:t>ه: "مالا يعم شيئينِ فَصاعدا</w:t>
      </w:r>
      <w:r w:rsidR="000E1385">
        <w:rPr>
          <w:rFonts w:ascii="Arabic Transparent" w:hAnsi="Arabic Transparent" w:cs="Arabic Transparent" w:hint="cs"/>
          <w:sz w:val="28"/>
          <w:szCs w:val="28"/>
          <w:rtl/>
          <w:lang w:bidi="ar-JO"/>
        </w:rPr>
        <w:t>،</w:t>
      </w:r>
      <w:r w:rsidR="006421F6" w:rsidRPr="00B529EB">
        <w:rPr>
          <w:rFonts w:ascii="Arabic Transparent" w:hAnsi="Arabic Transparent" w:cs="Arabic Transparent" w:hint="cs"/>
          <w:sz w:val="28"/>
          <w:szCs w:val="28"/>
          <w:rtl/>
          <w:lang w:bidi="ar-JO"/>
        </w:rPr>
        <w:t xml:space="preserve"> أَو مالا يقتضِي استغراق الجِنس"</w:t>
      </w:r>
      <w:r w:rsidR="006421F6" w:rsidRPr="00B529EB">
        <w:rPr>
          <w:rFonts w:ascii="Arabic Transparent" w:hAnsi="Arabic Transparent" w:cs="Arabic Transparent" w:hint="cs"/>
          <w:sz w:val="28"/>
          <w:szCs w:val="28"/>
          <w:vertAlign w:val="superscript"/>
          <w:rtl/>
          <w:lang w:bidi="ar-JO"/>
        </w:rPr>
        <w:t>(</w:t>
      </w:r>
      <w:r w:rsidR="006421F6" w:rsidRPr="00B529EB">
        <w:rPr>
          <w:rStyle w:val="FootnoteReference"/>
          <w:rFonts w:ascii="Arabic Transparent" w:hAnsi="Arabic Transparent" w:cs="Arabic Transparent" w:hint="cs"/>
          <w:sz w:val="28"/>
          <w:szCs w:val="28"/>
          <w:rtl/>
          <w:lang w:bidi="ar-JO"/>
        </w:rPr>
        <w:footnoteReference w:id="34"/>
      </w:r>
      <w:r w:rsidR="006421F6" w:rsidRPr="00B529EB">
        <w:rPr>
          <w:rFonts w:ascii="Arabic Transparent" w:hAnsi="Arabic Transparent" w:cs="Arabic Transparent" w:hint="cs"/>
          <w:sz w:val="28"/>
          <w:szCs w:val="28"/>
          <w:vertAlign w:val="superscript"/>
          <w:rtl/>
          <w:lang w:bidi="ar-JO"/>
        </w:rPr>
        <w:t>)</w:t>
      </w:r>
      <w:r w:rsidR="000E1385">
        <w:rPr>
          <w:rFonts w:ascii="Arabic Transparent" w:hAnsi="Arabic Transparent" w:cs="Arabic Transparent" w:hint="cs"/>
          <w:sz w:val="28"/>
          <w:szCs w:val="28"/>
          <w:rtl/>
          <w:lang w:bidi="ar-JO"/>
        </w:rPr>
        <w:t>.</w:t>
      </w:r>
    </w:p>
    <w:p w14:paraId="5930C064" w14:textId="541F2598" w:rsidR="00F55CF4" w:rsidRDefault="007929C5" w:rsidP="003D2884">
      <w:pPr>
        <w:spacing w:after="0" w:line="360" w:lineRule="auto"/>
        <w:jc w:val="both"/>
        <w:rPr>
          <w:rFonts w:ascii="Arabic Transparent" w:hAnsi="Arabic Transparent" w:cs="Arabic Transparent"/>
          <w:sz w:val="28"/>
          <w:szCs w:val="28"/>
          <w:rtl/>
          <w:lang w:bidi="ar-JO"/>
        </w:rPr>
      </w:pPr>
      <w:r>
        <w:rPr>
          <w:rFonts w:ascii="Arabic Transparent" w:hAnsi="Arabic Transparent" w:cs="Arabic Transparent" w:hint="cs"/>
          <w:sz w:val="28"/>
          <w:szCs w:val="28"/>
          <w:rtl/>
          <w:lang w:bidi="ar-JO"/>
        </w:rPr>
        <w:t xml:space="preserve">4- </w:t>
      </w:r>
      <w:r w:rsidR="006421F6" w:rsidRPr="00B529EB">
        <w:rPr>
          <w:rFonts w:ascii="Arabic Transparent" w:hAnsi="Arabic Transparent" w:cs="Arabic Transparent" w:hint="cs"/>
          <w:sz w:val="28"/>
          <w:szCs w:val="28"/>
          <w:rtl/>
          <w:lang w:bidi="ar-JO"/>
        </w:rPr>
        <w:t>عر</w:t>
      </w:r>
      <w:r>
        <w:rPr>
          <w:rFonts w:ascii="Arabic Transparent" w:hAnsi="Arabic Transparent" w:cs="Arabic Transparent" w:hint="cs"/>
          <w:sz w:val="28"/>
          <w:szCs w:val="28"/>
          <w:rtl/>
          <w:lang w:bidi="ar-JO"/>
        </w:rPr>
        <w:t>َ</w:t>
      </w:r>
      <w:r w:rsidR="006421F6" w:rsidRPr="00B529EB">
        <w:rPr>
          <w:rFonts w:ascii="Arabic Transparent" w:hAnsi="Arabic Transparent" w:cs="Arabic Transparent" w:hint="cs"/>
          <w:sz w:val="28"/>
          <w:szCs w:val="28"/>
          <w:rtl/>
          <w:lang w:bidi="ar-JO"/>
        </w:rPr>
        <w:t>ّفه الشوكاني</w:t>
      </w:r>
      <w:r>
        <w:rPr>
          <w:rFonts w:ascii="Arabic Transparent" w:hAnsi="Arabic Transparent" w:cs="Arabic Transparent" w:hint="cs"/>
          <w:sz w:val="28"/>
          <w:szCs w:val="28"/>
          <w:rtl/>
          <w:lang w:bidi="ar-JO"/>
        </w:rPr>
        <w:t>،</w:t>
      </w:r>
      <w:r w:rsidR="006421F6" w:rsidRPr="00B529EB">
        <w:rPr>
          <w:rFonts w:ascii="Arabic Transparent" w:hAnsi="Arabic Transparent" w:cs="Arabic Transparent" w:hint="cs"/>
          <w:sz w:val="28"/>
          <w:szCs w:val="28"/>
          <w:rtl/>
          <w:lang w:bidi="ar-JO"/>
        </w:rPr>
        <w:t xml:space="preserve"> بأن</w:t>
      </w:r>
      <w:r>
        <w:rPr>
          <w:rFonts w:ascii="Arabic Transparent" w:hAnsi="Arabic Transparent" w:cs="Arabic Transparent" w:hint="cs"/>
          <w:sz w:val="28"/>
          <w:szCs w:val="28"/>
          <w:rtl/>
          <w:lang w:bidi="ar-JO"/>
        </w:rPr>
        <w:t>َّ</w:t>
      </w:r>
      <w:r w:rsidR="006421F6" w:rsidRPr="00B529EB">
        <w:rPr>
          <w:rFonts w:ascii="Arabic Transparent" w:hAnsi="Arabic Transparent" w:cs="Arabic Transparent" w:hint="cs"/>
          <w:sz w:val="28"/>
          <w:szCs w:val="28"/>
          <w:rtl/>
          <w:lang w:bidi="ar-JO"/>
        </w:rPr>
        <w:t>ه: "اللفظ الدّال عَلى مسَمى واحدٍ"</w:t>
      </w:r>
      <w:r w:rsidR="006421F6" w:rsidRPr="00B529EB">
        <w:rPr>
          <w:rFonts w:ascii="Arabic Transparent" w:hAnsi="Arabic Transparent" w:cs="Arabic Transparent" w:hint="cs"/>
          <w:sz w:val="28"/>
          <w:szCs w:val="28"/>
          <w:vertAlign w:val="superscript"/>
          <w:rtl/>
          <w:lang w:bidi="ar-JO"/>
        </w:rPr>
        <w:t>(</w:t>
      </w:r>
      <w:r w:rsidR="006421F6" w:rsidRPr="00B529EB">
        <w:rPr>
          <w:rStyle w:val="FootnoteReference"/>
          <w:rFonts w:ascii="Arabic Transparent" w:hAnsi="Arabic Transparent" w:cs="Arabic Transparent" w:hint="cs"/>
          <w:sz w:val="28"/>
          <w:szCs w:val="28"/>
          <w:rtl/>
          <w:lang w:bidi="ar-JO"/>
        </w:rPr>
        <w:footnoteReference w:id="35"/>
      </w:r>
      <w:r w:rsidR="006421F6" w:rsidRPr="00B529EB">
        <w:rPr>
          <w:rFonts w:ascii="Arabic Transparent" w:hAnsi="Arabic Transparent" w:cs="Arabic Transparent" w:hint="cs"/>
          <w:sz w:val="28"/>
          <w:szCs w:val="28"/>
          <w:vertAlign w:val="superscript"/>
          <w:rtl/>
          <w:lang w:bidi="ar-JO"/>
        </w:rPr>
        <w:t>)</w:t>
      </w:r>
      <w:r w:rsidR="000E1385">
        <w:rPr>
          <w:rFonts w:ascii="Arabic Transparent" w:hAnsi="Arabic Transparent" w:cs="Arabic Transparent" w:hint="cs"/>
          <w:sz w:val="28"/>
          <w:szCs w:val="28"/>
          <w:rtl/>
          <w:lang w:bidi="ar-JO"/>
        </w:rPr>
        <w:t>.</w:t>
      </w:r>
    </w:p>
    <w:p w14:paraId="49F215A7" w14:textId="77777777" w:rsidR="00F55CF4" w:rsidRDefault="00F55CF4">
      <w:pPr>
        <w:bidi w:val="0"/>
        <w:spacing w:after="0" w:line="240" w:lineRule="auto"/>
        <w:rPr>
          <w:rFonts w:ascii="Arabic Transparent" w:hAnsi="Arabic Transparent" w:cs="Arabic Transparent"/>
          <w:sz w:val="28"/>
          <w:szCs w:val="28"/>
          <w:rtl/>
          <w:lang w:bidi="ar-JO"/>
        </w:rPr>
      </w:pPr>
      <w:r>
        <w:rPr>
          <w:rFonts w:ascii="Arabic Transparent" w:hAnsi="Arabic Transparent" w:cs="Arabic Transparent"/>
          <w:sz w:val="28"/>
          <w:szCs w:val="28"/>
          <w:rtl/>
          <w:lang w:bidi="ar-JO"/>
        </w:rPr>
        <w:br w:type="page"/>
      </w:r>
    </w:p>
    <w:p w14:paraId="3E519E1C" w14:textId="72843D97" w:rsidR="001314E4" w:rsidRPr="00B529EB" w:rsidRDefault="007929C5" w:rsidP="003D2884">
      <w:pPr>
        <w:spacing w:after="0" w:line="360" w:lineRule="auto"/>
        <w:jc w:val="both"/>
        <w:rPr>
          <w:rFonts w:ascii="Arabic Transparent" w:hAnsi="Arabic Transparent" w:cs="Arabic Transparent"/>
          <w:sz w:val="28"/>
          <w:szCs w:val="28"/>
          <w:rtl/>
          <w:lang w:bidi="ar-JO"/>
        </w:rPr>
      </w:pPr>
      <w:r>
        <w:rPr>
          <w:rFonts w:ascii="Arabic Transparent" w:hAnsi="Arabic Transparent" w:cs="Arabic Transparent" w:hint="cs"/>
          <w:sz w:val="28"/>
          <w:szCs w:val="28"/>
          <w:rtl/>
          <w:lang w:bidi="ar-JO"/>
        </w:rPr>
        <w:t xml:space="preserve">5- </w:t>
      </w:r>
      <w:r w:rsidR="00C81EB7" w:rsidRPr="00B529EB">
        <w:rPr>
          <w:rFonts w:ascii="Arabic Transparent" w:hAnsi="Arabic Transparent" w:cs="Arabic Transparent" w:hint="cs"/>
          <w:sz w:val="28"/>
          <w:szCs w:val="28"/>
          <w:rtl/>
          <w:lang w:bidi="ar-JO"/>
        </w:rPr>
        <w:t>عرّ</w:t>
      </w:r>
      <w:r>
        <w:rPr>
          <w:rFonts w:ascii="Arabic Transparent" w:hAnsi="Arabic Transparent" w:cs="Arabic Transparent" w:hint="cs"/>
          <w:sz w:val="28"/>
          <w:szCs w:val="28"/>
          <w:rtl/>
          <w:lang w:bidi="ar-JO"/>
        </w:rPr>
        <w:t>َ</w:t>
      </w:r>
      <w:r w:rsidR="00C81EB7" w:rsidRPr="00B529EB">
        <w:rPr>
          <w:rFonts w:ascii="Arabic Transparent" w:hAnsi="Arabic Transparent" w:cs="Arabic Transparent" w:hint="cs"/>
          <w:sz w:val="28"/>
          <w:szCs w:val="28"/>
          <w:rtl/>
          <w:lang w:bidi="ar-JO"/>
        </w:rPr>
        <w:t>فه المن</w:t>
      </w:r>
      <w:r w:rsidR="0048328B">
        <w:rPr>
          <w:rFonts w:ascii="Arabic Transparent" w:hAnsi="Arabic Transparent" w:cs="Arabic Transparent" w:hint="cs"/>
          <w:sz w:val="28"/>
          <w:szCs w:val="28"/>
          <w:rtl/>
          <w:lang w:bidi="ar-JO"/>
        </w:rPr>
        <w:t>ي</w:t>
      </w:r>
      <w:r w:rsidR="00C81EB7" w:rsidRPr="00B529EB">
        <w:rPr>
          <w:rFonts w:ascii="Arabic Transparent" w:hAnsi="Arabic Transparent" w:cs="Arabic Transparent" w:hint="cs"/>
          <w:sz w:val="28"/>
          <w:szCs w:val="28"/>
          <w:rtl/>
          <w:lang w:bidi="ar-JO"/>
        </w:rPr>
        <w:t>اوي</w:t>
      </w:r>
      <w:r>
        <w:rPr>
          <w:rFonts w:ascii="Arabic Transparent" w:hAnsi="Arabic Transparent" w:cs="Arabic Transparent" w:hint="cs"/>
          <w:sz w:val="28"/>
          <w:szCs w:val="28"/>
          <w:rtl/>
          <w:lang w:bidi="ar-JO"/>
        </w:rPr>
        <w:t>،</w:t>
      </w:r>
      <w:r w:rsidR="00C81EB7" w:rsidRPr="00B529EB">
        <w:rPr>
          <w:rFonts w:ascii="Arabic Transparent" w:hAnsi="Arabic Transparent" w:cs="Arabic Transparent" w:hint="cs"/>
          <w:sz w:val="28"/>
          <w:szCs w:val="28"/>
          <w:rtl/>
          <w:lang w:bidi="ar-JO"/>
        </w:rPr>
        <w:t xml:space="preserve"> </w:t>
      </w:r>
      <w:r w:rsidR="005944F3" w:rsidRPr="00B529EB">
        <w:rPr>
          <w:rFonts w:ascii="Arabic Transparent" w:hAnsi="Arabic Transparent" w:cs="Arabic Transparent" w:hint="cs"/>
          <w:sz w:val="28"/>
          <w:szCs w:val="28"/>
          <w:rtl/>
          <w:lang w:bidi="ar-JO"/>
        </w:rPr>
        <w:t>بأن</w:t>
      </w:r>
      <w:r>
        <w:rPr>
          <w:rFonts w:ascii="Arabic Transparent" w:hAnsi="Arabic Transparent" w:cs="Arabic Transparent" w:hint="cs"/>
          <w:sz w:val="28"/>
          <w:szCs w:val="28"/>
          <w:rtl/>
          <w:lang w:bidi="ar-JO"/>
        </w:rPr>
        <w:t>َّ</w:t>
      </w:r>
      <w:r w:rsidR="005944F3" w:rsidRPr="00B529EB">
        <w:rPr>
          <w:rFonts w:ascii="Arabic Transparent" w:hAnsi="Arabic Transparent" w:cs="Arabic Transparent" w:hint="cs"/>
          <w:sz w:val="28"/>
          <w:szCs w:val="28"/>
          <w:rtl/>
          <w:lang w:bidi="ar-JO"/>
        </w:rPr>
        <w:t>ه:</w:t>
      </w:r>
      <w:r w:rsidR="00C81EB7" w:rsidRPr="00B529EB">
        <w:rPr>
          <w:rFonts w:ascii="Arabic Transparent" w:hAnsi="Arabic Transparent" w:cs="Arabic Transparent" w:hint="cs"/>
          <w:sz w:val="28"/>
          <w:szCs w:val="28"/>
          <w:rtl/>
          <w:lang w:bidi="ar-JO"/>
        </w:rPr>
        <w:t xml:space="preserve"> "اللفظ الموضوع لواحد ولو بالنوع، أو لمتعدد محصور"</w:t>
      </w:r>
      <w:r w:rsidR="00C81EB7" w:rsidRPr="00B529EB">
        <w:rPr>
          <w:rFonts w:ascii="Arabic Transparent" w:hAnsi="Arabic Transparent" w:cs="Arabic Transparent" w:hint="cs"/>
          <w:sz w:val="28"/>
          <w:szCs w:val="28"/>
          <w:vertAlign w:val="superscript"/>
          <w:rtl/>
          <w:lang w:bidi="ar-JO"/>
        </w:rPr>
        <w:t>(</w:t>
      </w:r>
      <w:r w:rsidR="00C81EB7" w:rsidRPr="00B529EB">
        <w:rPr>
          <w:rStyle w:val="FootnoteReference"/>
          <w:rFonts w:ascii="Arabic Transparent" w:hAnsi="Arabic Transparent" w:cs="Arabic Transparent" w:hint="cs"/>
          <w:sz w:val="28"/>
          <w:szCs w:val="28"/>
          <w:rtl/>
          <w:lang w:bidi="ar-JO"/>
        </w:rPr>
        <w:footnoteReference w:id="36"/>
      </w:r>
      <w:r w:rsidR="00C81EB7" w:rsidRPr="00B529EB">
        <w:rPr>
          <w:rFonts w:ascii="Arabic Transparent" w:hAnsi="Arabic Transparent" w:cs="Arabic Transparent" w:hint="cs"/>
          <w:sz w:val="28"/>
          <w:szCs w:val="28"/>
          <w:vertAlign w:val="superscript"/>
          <w:rtl/>
          <w:lang w:bidi="ar-JO"/>
        </w:rPr>
        <w:t>)</w:t>
      </w:r>
      <w:r w:rsidR="000E1385">
        <w:rPr>
          <w:rFonts w:ascii="Arabic Transparent" w:hAnsi="Arabic Transparent" w:cs="Arabic Transparent" w:hint="cs"/>
          <w:sz w:val="28"/>
          <w:szCs w:val="28"/>
          <w:rtl/>
          <w:lang w:bidi="ar-JO"/>
        </w:rPr>
        <w:t>.</w:t>
      </w:r>
    </w:p>
    <w:p w14:paraId="5C2B7395" w14:textId="3841A606" w:rsidR="00F40290" w:rsidRPr="00B529EB" w:rsidRDefault="00281463" w:rsidP="009C4287">
      <w:pPr>
        <w:spacing w:after="0" w:line="360" w:lineRule="auto"/>
        <w:jc w:val="both"/>
        <w:rPr>
          <w:rFonts w:ascii="Arabic Transparent" w:hAnsi="Arabic Transparent" w:cs="Arabic Transparent"/>
          <w:sz w:val="28"/>
          <w:szCs w:val="28"/>
          <w:rtl/>
          <w:lang w:val="en-AE" w:bidi="ar-JO"/>
        </w:rPr>
      </w:pPr>
      <w:r w:rsidRPr="00B529EB">
        <w:rPr>
          <w:rFonts w:ascii="Arabic Transparent" w:hAnsi="Arabic Transparent" w:cs="Arabic Transparent" w:hint="cs"/>
          <w:sz w:val="28"/>
          <w:szCs w:val="28"/>
          <w:rtl/>
          <w:lang w:bidi="ar-JO"/>
        </w:rPr>
        <w:t>ويلاحظ من التعريفات السابقة أن</w:t>
      </w:r>
      <w:r w:rsidR="007929C5">
        <w:rPr>
          <w:rFonts w:ascii="Arabic Transparent" w:hAnsi="Arabic Transparent" w:cs="Arabic Transparent" w:hint="cs"/>
          <w:sz w:val="28"/>
          <w:szCs w:val="28"/>
          <w:rtl/>
          <w:lang w:bidi="ar-JO"/>
        </w:rPr>
        <w:t>َّها</w:t>
      </w:r>
      <w:r w:rsidRPr="00B529EB">
        <w:rPr>
          <w:rFonts w:ascii="Arabic Transparent" w:hAnsi="Arabic Transparent" w:cs="Arabic Transparent" w:hint="cs"/>
          <w:sz w:val="28"/>
          <w:szCs w:val="28"/>
          <w:rtl/>
          <w:lang w:bidi="ar-JO"/>
        </w:rPr>
        <w:t xml:space="preserve"> تدور حول معنى </w:t>
      </w:r>
      <w:r w:rsidR="00D0567B" w:rsidRPr="00B529EB">
        <w:rPr>
          <w:rFonts w:ascii="Arabic Transparent" w:hAnsi="Arabic Transparent" w:cs="Arabic Transparent" w:hint="cs"/>
          <w:sz w:val="28"/>
          <w:szCs w:val="28"/>
          <w:rtl/>
          <w:lang w:bidi="ar-JO"/>
        </w:rPr>
        <w:t>التحديد والحصر</w:t>
      </w:r>
      <w:r w:rsidR="007929C5">
        <w:rPr>
          <w:rFonts w:ascii="Arabic Transparent" w:hAnsi="Arabic Transparent" w:cs="Arabic Transparent" w:hint="cs"/>
          <w:sz w:val="28"/>
          <w:szCs w:val="28"/>
          <w:rtl/>
          <w:lang w:bidi="ar-JO"/>
        </w:rPr>
        <w:t>،</w:t>
      </w:r>
      <w:r w:rsidR="00D0567B" w:rsidRPr="00B529EB">
        <w:rPr>
          <w:rFonts w:ascii="Arabic Transparent" w:hAnsi="Arabic Transparent" w:cs="Arabic Transparent" w:hint="cs"/>
          <w:sz w:val="28"/>
          <w:szCs w:val="28"/>
          <w:rtl/>
          <w:lang w:bidi="ar-JO"/>
        </w:rPr>
        <w:t xml:space="preserve"> </w:t>
      </w:r>
      <w:r w:rsidR="008755AF" w:rsidRPr="00B529EB">
        <w:rPr>
          <w:rFonts w:ascii="Arabic Transparent" w:hAnsi="Arabic Transparent" w:cs="Arabic Transparent" w:hint="cs"/>
          <w:sz w:val="28"/>
          <w:szCs w:val="28"/>
          <w:rtl/>
          <w:lang w:bidi="ar-JO"/>
        </w:rPr>
        <w:t>وكلها تتفق على أن</w:t>
      </w:r>
      <w:r w:rsidR="007929C5">
        <w:rPr>
          <w:rFonts w:ascii="Arabic Transparent" w:hAnsi="Arabic Transparent" w:cs="Arabic Transparent" w:hint="cs"/>
          <w:sz w:val="28"/>
          <w:szCs w:val="28"/>
          <w:rtl/>
          <w:lang w:bidi="ar-JO"/>
        </w:rPr>
        <w:t>َّ</w:t>
      </w:r>
      <w:r w:rsidR="008755AF" w:rsidRPr="00B529EB">
        <w:rPr>
          <w:rFonts w:ascii="Arabic Transparent" w:hAnsi="Arabic Transparent" w:cs="Arabic Transparent" w:hint="cs"/>
          <w:sz w:val="28"/>
          <w:szCs w:val="28"/>
          <w:rtl/>
          <w:lang w:bidi="ar-JO"/>
        </w:rPr>
        <w:t xml:space="preserve"> الخاص لا يدل على العموم</w:t>
      </w:r>
      <w:r w:rsidR="007929C5">
        <w:rPr>
          <w:rFonts w:ascii="Arabic Transparent" w:hAnsi="Arabic Transparent" w:cs="Arabic Transparent" w:hint="cs"/>
          <w:sz w:val="28"/>
          <w:szCs w:val="28"/>
          <w:rtl/>
          <w:lang w:bidi="ar-JO"/>
        </w:rPr>
        <w:t>،</w:t>
      </w:r>
      <w:r w:rsidR="008755AF" w:rsidRPr="00B529EB">
        <w:rPr>
          <w:rFonts w:ascii="Arabic Transparent" w:hAnsi="Arabic Transparent" w:cs="Arabic Transparent" w:hint="cs"/>
          <w:sz w:val="28"/>
          <w:szCs w:val="28"/>
          <w:rtl/>
          <w:lang w:bidi="ar-JO"/>
        </w:rPr>
        <w:t xml:space="preserve"> بل على شيء معين</w:t>
      </w:r>
      <w:r w:rsidR="007929C5">
        <w:rPr>
          <w:rFonts w:ascii="Arabic Transparent" w:hAnsi="Arabic Transparent" w:cs="Arabic Transparent" w:hint="cs"/>
          <w:sz w:val="28"/>
          <w:szCs w:val="28"/>
          <w:rtl/>
          <w:lang w:bidi="ar-JO"/>
        </w:rPr>
        <w:t>،</w:t>
      </w:r>
      <w:r w:rsidR="008755AF" w:rsidRPr="00B529EB">
        <w:rPr>
          <w:rFonts w:ascii="Arabic Transparent" w:hAnsi="Arabic Transparent" w:cs="Arabic Transparent" w:hint="cs"/>
          <w:sz w:val="28"/>
          <w:szCs w:val="28"/>
          <w:rtl/>
          <w:lang w:bidi="ar-JO"/>
        </w:rPr>
        <w:t xml:space="preserve"> أو معنى محصور من أفراد العموم</w:t>
      </w:r>
      <w:r w:rsidR="007929C5">
        <w:rPr>
          <w:rFonts w:ascii="Arabic Transparent" w:hAnsi="Arabic Transparent" w:cs="Arabic Transparent" w:hint="cs"/>
          <w:sz w:val="28"/>
          <w:szCs w:val="28"/>
          <w:rtl/>
          <w:lang w:bidi="ar-JO"/>
        </w:rPr>
        <w:t>،</w:t>
      </w:r>
      <w:r w:rsidR="008755AF" w:rsidRPr="00B529EB">
        <w:rPr>
          <w:rFonts w:ascii="Arabic Transparent" w:hAnsi="Arabic Transparent" w:cs="Arabic Transparent" w:hint="cs"/>
          <w:sz w:val="28"/>
          <w:szCs w:val="28"/>
          <w:rtl/>
          <w:lang w:bidi="ar-JO"/>
        </w:rPr>
        <w:t xml:space="preserve"> ونجد أن</w:t>
      </w:r>
      <w:r w:rsidR="007929C5">
        <w:rPr>
          <w:rFonts w:ascii="Arabic Transparent" w:hAnsi="Arabic Transparent" w:cs="Arabic Transparent" w:hint="cs"/>
          <w:sz w:val="28"/>
          <w:szCs w:val="28"/>
          <w:rtl/>
          <w:lang w:bidi="ar-JO"/>
        </w:rPr>
        <w:t>َّ</w:t>
      </w:r>
      <w:r w:rsidR="008755AF" w:rsidRPr="00B529EB">
        <w:rPr>
          <w:rFonts w:ascii="Arabic Transparent" w:hAnsi="Arabic Transparent" w:cs="Arabic Transparent" w:hint="cs"/>
          <w:sz w:val="28"/>
          <w:szCs w:val="28"/>
          <w:rtl/>
          <w:lang w:bidi="ar-JO"/>
        </w:rPr>
        <w:t xml:space="preserve"> </w:t>
      </w:r>
      <w:r w:rsidR="00305834" w:rsidRPr="00305834">
        <w:rPr>
          <w:rFonts w:ascii="Arabic Transparent" w:hAnsi="Arabic Transparent" w:cs="Arabic Transparent"/>
          <w:sz w:val="28"/>
          <w:szCs w:val="28"/>
          <w:rtl/>
          <w:lang w:bidi="ar-JO"/>
        </w:rPr>
        <w:t>السِّغنَاقي</w:t>
      </w:r>
      <w:r w:rsidR="008755AF" w:rsidRPr="00B529EB">
        <w:rPr>
          <w:rFonts w:ascii="Arabic Transparent" w:hAnsi="Arabic Transparent" w:cs="Arabic Transparent" w:hint="cs"/>
          <w:sz w:val="28"/>
          <w:szCs w:val="28"/>
          <w:rtl/>
          <w:lang w:bidi="ar-JO"/>
        </w:rPr>
        <w:t xml:space="preserve"> والشوكاني نظر</w:t>
      </w:r>
      <w:r w:rsidR="007929C5">
        <w:rPr>
          <w:rFonts w:ascii="Arabic Transparent" w:hAnsi="Arabic Transparent" w:cs="Arabic Transparent" w:hint="cs"/>
          <w:sz w:val="28"/>
          <w:szCs w:val="28"/>
          <w:rtl/>
          <w:lang w:bidi="ar-JO"/>
        </w:rPr>
        <w:t>ا</w:t>
      </w:r>
      <w:r w:rsidR="008755AF" w:rsidRPr="00B529EB">
        <w:rPr>
          <w:rFonts w:ascii="Arabic Transparent" w:hAnsi="Arabic Transparent" w:cs="Arabic Transparent" w:hint="cs"/>
          <w:sz w:val="28"/>
          <w:szCs w:val="28"/>
          <w:rtl/>
          <w:lang w:bidi="ar-JO"/>
        </w:rPr>
        <w:t xml:space="preserve"> إلى جهة الوضع اللغوي</w:t>
      </w:r>
      <w:r w:rsidR="007929C5">
        <w:rPr>
          <w:rFonts w:ascii="Arabic Transparent" w:hAnsi="Arabic Transparent" w:cs="Arabic Transparent" w:hint="cs"/>
          <w:sz w:val="28"/>
          <w:szCs w:val="28"/>
          <w:rtl/>
          <w:lang w:bidi="ar-JO"/>
        </w:rPr>
        <w:t>،</w:t>
      </w:r>
      <w:r w:rsidR="008755AF" w:rsidRPr="00B529EB">
        <w:rPr>
          <w:rFonts w:ascii="Arabic Transparent" w:hAnsi="Arabic Transparent" w:cs="Arabic Transparent" w:hint="cs"/>
          <w:sz w:val="28"/>
          <w:szCs w:val="28"/>
          <w:rtl/>
          <w:lang w:bidi="ar-JO"/>
        </w:rPr>
        <w:t xml:space="preserve"> </w:t>
      </w:r>
      <w:r w:rsidR="00DF2979">
        <w:rPr>
          <w:rFonts w:ascii="Arabic Transparent" w:hAnsi="Arabic Transparent" w:cs="Arabic Transparent" w:hint="cs"/>
          <w:sz w:val="28"/>
          <w:szCs w:val="28"/>
          <w:rtl/>
          <w:lang w:bidi="ar-JO"/>
        </w:rPr>
        <w:t>حيث إنَّ</w:t>
      </w:r>
      <w:r w:rsidR="008755AF" w:rsidRPr="00B529EB">
        <w:rPr>
          <w:rFonts w:ascii="Arabic Transparent" w:hAnsi="Arabic Transparent" w:cs="Arabic Transparent" w:hint="cs"/>
          <w:sz w:val="28"/>
          <w:szCs w:val="28"/>
          <w:rtl/>
          <w:lang w:bidi="ar-JO"/>
        </w:rPr>
        <w:t xml:space="preserve"> اللفظ وضع لمعنى معلوم</w:t>
      </w:r>
      <w:r w:rsidR="007929C5">
        <w:rPr>
          <w:rFonts w:ascii="Arabic Transparent" w:hAnsi="Arabic Transparent" w:cs="Arabic Transparent" w:hint="cs"/>
          <w:sz w:val="28"/>
          <w:szCs w:val="28"/>
          <w:rtl/>
          <w:lang w:bidi="ar-JO"/>
        </w:rPr>
        <w:t>،</w:t>
      </w:r>
      <w:r w:rsidR="008755AF" w:rsidRPr="00B529EB">
        <w:rPr>
          <w:rFonts w:ascii="Arabic Transparent" w:hAnsi="Arabic Transparent" w:cs="Arabic Transparent" w:hint="cs"/>
          <w:sz w:val="28"/>
          <w:szCs w:val="28"/>
          <w:rtl/>
          <w:lang w:bidi="ar-JO"/>
        </w:rPr>
        <w:t xml:space="preserve"> أو مسمى واحد، </w:t>
      </w:r>
      <w:r w:rsidR="007929C5">
        <w:rPr>
          <w:rFonts w:ascii="Arabic Transparent" w:hAnsi="Arabic Transparent" w:cs="Arabic Transparent" w:hint="cs"/>
          <w:sz w:val="28"/>
          <w:szCs w:val="28"/>
          <w:rtl/>
          <w:lang w:bidi="ar-JO"/>
        </w:rPr>
        <w:t>أ</w:t>
      </w:r>
      <w:r w:rsidR="008755AF" w:rsidRPr="00B529EB">
        <w:rPr>
          <w:rFonts w:ascii="Arabic Transparent" w:hAnsi="Arabic Transparent" w:cs="Arabic Transparent" w:hint="cs"/>
          <w:sz w:val="28"/>
          <w:szCs w:val="28"/>
          <w:rtl/>
          <w:lang w:bidi="ar-JO"/>
        </w:rPr>
        <w:t>م</w:t>
      </w:r>
      <w:r w:rsidR="007929C5">
        <w:rPr>
          <w:rFonts w:ascii="Arabic Transparent" w:hAnsi="Arabic Transparent" w:cs="Arabic Transparent" w:hint="cs"/>
          <w:sz w:val="28"/>
          <w:szCs w:val="28"/>
          <w:rtl/>
          <w:lang w:bidi="ar-JO"/>
        </w:rPr>
        <w:t>َّ</w:t>
      </w:r>
      <w:r w:rsidR="008755AF" w:rsidRPr="00B529EB">
        <w:rPr>
          <w:rFonts w:ascii="Arabic Transparent" w:hAnsi="Arabic Transparent" w:cs="Arabic Transparent" w:hint="cs"/>
          <w:sz w:val="28"/>
          <w:szCs w:val="28"/>
          <w:rtl/>
          <w:lang w:bidi="ar-JO"/>
        </w:rPr>
        <w:t>ا الطوفي تناول اللفظ من جانب دلالته الفلسفية</w:t>
      </w:r>
      <w:r w:rsidR="007929C5">
        <w:rPr>
          <w:rFonts w:ascii="Arabic Transparent" w:hAnsi="Arabic Transparent" w:cs="Arabic Transparent" w:hint="cs"/>
          <w:sz w:val="28"/>
          <w:szCs w:val="28"/>
          <w:rtl/>
          <w:lang w:bidi="ar-JO"/>
        </w:rPr>
        <w:t>،</w:t>
      </w:r>
      <w:r w:rsidR="008755AF" w:rsidRPr="00B529EB">
        <w:rPr>
          <w:rFonts w:ascii="Arabic Transparent" w:hAnsi="Arabic Transparent" w:cs="Arabic Transparent" w:hint="cs"/>
          <w:sz w:val="28"/>
          <w:szCs w:val="28"/>
          <w:rtl/>
          <w:lang w:bidi="ar-JO"/>
        </w:rPr>
        <w:t xml:space="preserve"> والمنطقية</w:t>
      </w:r>
      <w:r w:rsidR="007929C5">
        <w:rPr>
          <w:rFonts w:ascii="Arabic Transparent" w:hAnsi="Arabic Transparent" w:cs="Arabic Transparent" w:hint="cs"/>
          <w:sz w:val="28"/>
          <w:szCs w:val="28"/>
          <w:rtl/>
          <w:lang w:bidi="ar-JO"/>
        </w:rPr>
        <w:t>،</w:t>
      </w:r>
      <w:r w:rsidR="008755AF" w:rsidRPr="00B529EB">
        <w:rPr>
          <w:rFonts w:ascii="Arabic Transparent" w:hAnsi="Arabic Transparent" w:cs="Arabic Transparent" w:hint="cs"/>
          <w:sz w:val="28"/>
          <w:szCs w:val="28"/>
          <w:rtl/>
          <w:lang w:bidi="ar-JO"/>
        </w:rPr>
        <w:t xml:space="preserve"> </w:t>
      </w:r>
      <w:r w:rsidR="007929C5">
        <w:rPr>
          <w:rFonts w:ascii="Arabic Transparent" w:hAnsi="Arabic Transparent" w:cs="Arabic Transparent" w:hint="cs"/>
          <w:sz w:val="28"/>
          <w:szCs w:val="28"/>
          <w:rtl/>
          <w:lang w:bidi="ar-JO"/>
        </w:rPr>
        <w:t xml:space="preserve">وأمَّا </w:t>
      </w:r>
      <w:r w:rsidR="008755AF" w:rsidRPr="00B529EB">
        <w:rPr>
          <w:rFonts w:ascii="Arabic Transparent" w:hAnsi="Arabic Transparent" w:cs="Arabic Transparent" w:hint="cs"/>
          <w:sz w:val="28"/>
          <w:szCs w:val="28"/>
          <w:rtl/>
          <w:lang w:bidi="ar-JO"/>
        </w:rPr>
        <w:t>المارديني</w:t>
      </w:r>
      <w:r w:rsidR="00DF2979">
        <w:rPr>
          <w:rFonts w:ascii="Arabic Transparent" w:hAnsi="Arabic Transparent" w:cs="Arabic Transparent" w:hint="cs"/>
          <w:sz w:val="28"/>
          <w:szCs w:val="28"/>
          <w:rtl/>
          <w:lang w:bidi="ar-JO"/>
        </w:rPr>
        <w:t xml:space="preserve"> فقد</w:t>
      </w:r>
      <w:r w:rsidR="008755AF" w:rsidRPr="00B529EB">
        <w:rPr>
          <w:rFonts w:ascii="Arabic Transparent" w:hAnsi="Arabic Transparent" w:cs="Arabic Transparent" w:hint="cs"/>
          <w:sz w:val="28"/>
          <w:szCs w:val="28"/>
          <w:rtl/>
          <w:lang w:bidi="ar-JO"/>
        </w:rPr>
        <w:t xml:space="preserve"> ركز على أثره العلمي</w:t>
      </w:r>
      <w:r w:rsidR="007929C5">
        <w:rPr>
          <w:rFonts w:ascii="Arabic Transparent" w:hAnsi="Arabic Transparent" w:cs="Arabic Transparent" w:hint="cs"/>
          <w:sz w:val="28"/>
          <w:szCs w:val="28"/>
          <w:rtl/>
          <w:lang w:bidi="ar-JO"/>
        </w:rPr>
        <w:t>،</w:t>
      </w:r>
      <w:r w:rsidR="009C4287">
        <w:rPr>
          <w:rFonts w:ascii="Arabic Transparent" w:hAnsi="Arabic Transparent" w:cs="Arabic Transparent" w:hint="cs"/>
          <w:sz w:val="28"/>
          <w:szCs w:val="28"/>
          <w:rtl/>
          <w:lang w:bidi="ar-JO"/>
        </w:rPr>
        <w:t xml:space="preserve"> </w:t>
      </w:r>
      <w:r w:rsidR="008755AF" w:rsidRPr="00B529EB">
        <w:rPr>
          <w:rFonts w:ascii="Arabic Transparent" w:hAnsi="Arabic Transparent" w:cs="Arabic Transparent" w:hint="cs"/>
          <w:sz w:val="28"/>
          <w:szCs w:val="28"/>
          <w:rtl/>
          <w:lang w:bidi="ar-JO"/>
        </w:rPr>
        <w:t>وأم</w:t>
      </w:r>
      <w:r w:rsidR="007929C5">
        <w:rPr>
          <w:rFonts w:ascii="Arabic Transparent" w:hAnsi="Arabic Transparent" w:cs="Arabic Transparent" w:hint="cs"/>
          <w:sz w:val="28"/>
          <w:szCs w:val="28"/>
          <w:rtl/>
          <w:lang w:bidi="ar-JO"/>
        </w:rPr>
        <w:t>َّ</w:t>
      </w:r>
      <w:r w:rsidR="008755AF" w:rsidRPr="00B529EB">
        <w:rPr>
          <w:rFonts w:ascii="Arabic Transparent" w:hAnsi="Arabic Transparent" w:cs="Arabic Transparent" w:hint="cs"/>
          <w:sz w:val="28"/>
          <w:szCs w:val="28"/>
          <w:rtl/>
          <w:lang w:bidi="ar-JO"/>
        </w:rPr>
        <w:t xml:space="preserve">ا المناوي </w:t>
      </w:r>
      <w:r w:rsidR="00DF2979">
        <w:rPr>
          <w:rFonts w:ascii="Arabic Transparent" w:hAnsi="Arabic Transparent" w:cs="Arabic Transparent" w:hint="cs"/>
          <w:sz w:val="28"/>
          <w:szCs w:val="28"/>
          <w:rtl/>
          <w:lang w:bidi="ar-JO"/>
        </w:rPr>
        <w:t xml:space="preserve">فقد </w:t>
      </w:r>
      <w:r w:rsidR="008755AF" w:rsidRPr="00B529EB">
        <w:rPr>
          <w:rFonts w:ascii="Arabic Transparent" w:hAnsi="Arabic Transparent" w:cs="Arabic Transparent" w:hint="cs"/>
          <w:sz w:val="28"/>
          <w:szCs w:val="28"/>
          <w:rtl/>
          <w:lang w:bidi="ar-JO"/>
        </w:rPr>
        <w:t>ميّز المفهوم حتى يكون جامعاً مانعاً محدداً، والذي يترجح بين هذه المصطلحات تعريف المناوي</w:t>
      </w:r>
      <w:r w:rsidR="007929C5">
        <w:rPr>
          <w:rFonts w:ascii="Arabic Transparent" w:hAnsi="Arabic Transparent" w:cs="Arabic Transparent" w:hint="cs"/>
          <w:sz w:val="28"/>
          <w:szCs w:val="28"/>
          <w:rtl/>
          <w:lang w:bidi="ar-JO"/>
        </w:rPr>
        <w:t>؛</w:t>
      </w:r>
      <w:r w:rsidR="008755AF" w:rsidRPr="00B529EB">
        <w:rPr>
          <w:rFonts w:ascii="Arabic Transparent" w:hAnsi="Arabic Transparent" w:cs="Arabic Transparent" w:hint="cs"/>
          <w:sz w:val="28"/>
          <w:szCs w:val="28"/>
          <w:rtl/>
          <w:lang w:bidi="ar-JO"/>
        </w:rPr>
        <w:t xml:space="preserve"> لأن</w:t>
      </w:r>
      <w:r w:rsidR="007929C5">
        <w:rPr>
          <w:rFonts w:ascii="Arabic Transparent" w:hAnsi="Arabic Transparent" w:cs="Arabic Transparent" w:hint="cs"/>
          <w:sz w:val="28"/>
          <w:szCs w:val="28"/>
          <w:rtl/>
          <w:lang w:bidi="ar-JO"/>
        </w:rPr>
        <w:t>َّ</w:t>
      </w:r>
      <w:r w:rsidR="008755AF" w:rsidRPr="00B529EB">
        <w:rPr>
          <w:rFonts w:ascii="Arabic Transparent" w:hAnsi="Arabic Transparent" w:cs="Arabic Transparent" w:hint="cs"/>
          <w:sz w:val="28"/>
          <w:szCs w:val="28"/>
          <w:rtl/>
          <w:lang w:bidi="ar-JO"/>
        </w:rPr>
        <w:t xml:space="preserve">ه </w:t>
      </w:r>
      <w:r w:rsidR="007929C5">
        <w:rPr>
          <w:rFonts w:ascii="Arabic Transparent" w:hAnsi="Arabic Transparent" w:cs="Arabic Transparent" w:hint="cs"/>
          <w:sz w:val="28"/>
          <w:szCs w:val="28"/>
          <w:rtl/>
          <w:lang w:bidi="ar-JO"/>
        </w:rPr>
        <w:t xml:space="preserve">الجامع المانع، </w:t>
      </w:r>
      <w:r w:rsidR="005B383B">
        <w:rPr>
          <w:rFonts w:ascii="Arabic Transparent" w:hAnsi="Arabic Transparent" w:cs="Arabic Transparent" w:hint="cs"/>
          <w:sz w:val="28"/>
          <w:szCs w:val="28"/>
          <w:rtl/>
          <w:lang w:bidi="ar-JO"/>
        </w:rPr>
        <w:t xml:space="preserve">حيث </w:t>
      </w:r>
      <w:r w:rsidR="008755AF" w:rsidRPr="00B529EB">
        <w:rPr>
          <w:rFonts w:ascii="Arabic Transparent" w:hAnsi="Arabic Transparent" w:cs="Arabic Transparent" w:hint="cs"/>
          <w:sz w:val="28"/>
          <w:szCs w:val="28"/>
          <w:rtl/>
          <w:lang w:bidi="ar-JO"/>
        </w:rPr>
        <w:t>جمع بين أنواع الخصوص</w:t>
      </w:r>
      <w:r w:rsidR="005B383B">
        <w:rPr>
          <w:rFonts w:ascii="Arabic Transparent" w:hAnsi="Arabic Transparent" w:cs="Arabic Transparent" w:hint="cs"/>
          <w:sz w:val="28"/>
          <w:szCs w:val="28"/>
          <w:rtl/>
          <w:lang w:bidi="ar-JO"/>
        </w:rPr>
        <w:t>،</w:t>
      </w:r>
      <w:r w:rsidR="008755AF" w:rsidRPr="00B529EB">
        <w:rPr>
          <w:rFonts w:ascii="Arabic Transparent" w:hAnsi="Arabic Transparent" w:cs="Arabic Transparent" w:hint="cs"/>
          <w:sz w:val="28"/>
          <w:szCs w:val="28"/>
          <w:rtl/>
          <w:lang w:bidi="ar-JO"/>
        </w:rPr>
        <w:t xml:space="preserve"> مثل</w:t>
      </w:r>
      <w:r w:rsidR="005B383B">
        <w:rPr>
          <w:rFonts w:ascii="Arabic Transparent" w:hAnsi="Arabic Transparent" w:cs="Arabic Transparent" w:hint="cs"/>
          <w:sz w:val="28"/>
          <w:szCs w:val="28"/>
          <w:rtl/>
          <w:lang w:bidi="ar-JO"/>
        </w:rPr>
        <w:t>:</w:t>
      </w:r>
      <w:r w:rsidR="008755AF" w:rsidRPr="00B529EB">
        <w:rPr>
          <w:rFonts w:ascii="Arabic Transparent" w:hAnsi="Arabic Transparent" w:cs="Arabic Transparent" w:hint="cs"/>
          <w:sz w:val="28"/>
          <w:szCs w:val="28"/>
          <w:rtl/>
          <w:lang w:bidi="ar-JO"/>
        </w:rPr>
        <w:t xml:space="preserve"> الخاص الشخصي</w:t>
      </w:r>
      <w:r w:rsidR="005B383B">
        <w:rPr>
          <w:rFonts w:ascii="Arabic Transparent" w:hAnsi="Arabic Transparent" w:cs="Arabic Transparent" w:hint="cs"/>
          <w:sz w:val="28"/>
          <w:szCs w:val="28"/>
          <w:rtl/>
          <w:lang w:bidi="ar-JO"/>
        </w:rPr>
        <w:t>،</w:t>
      </w:r>
      <w:r w:rsidR="008755AF" w:rsidRPr="00B529EB">
        <w:rPr>
          <w:rFonts w:ascii="Arabic Transparent" w:hAnsi="Arabic Transparent" w:cs="Arabic Transparent" w:hint="cs"/>
          <w:sz w:val="28"/>
          <w:szCs w:val="28"/>
          <w:rtl/>
          <w:lang w:bidi="ar-JO"/>
        </w:rPr>
        <w:t xml:space="preserve"> والنوعي</w:t>
      </w:r>
      <w:r w:rsidR="005B383B">
        <w:rPr>
          <w:rFonts w:ascii="Arabic Transparent" w:hAnsi="Arabic Transparent" w:cs="Arabic Transparent" w:hint="cs"/>
          <w:sz w:val="28"/>
          <w:szCs w:val="28"/>
          <w:rtl/>
          <w:lang w:bidi="ar-JO"/>
        </w:rPr>
        <w:t>،</w:t>
      </w:r>
      <w:r w:rsidR="008755AF" w:rsidRPr="00B529EB">
        <w:rPr>
          <w:rFonts w:ascii="Arabic Transparent" w:hAnsi="Arabic Transparent" w:cs="Arabic Transparent" w:hint="cs"/>
          <w:sz w:val="28"/>
          <w:szCs w:val="28"/>
          <w:rtl/>
          <w:lang w:bidi="ar-JO"/>
        </w:rPr>
        <w:t xml:space="preserve"> والعددي المحصور، ويتفق </w:t>
      </w:r>
      <w:r w:rsidR="00DF2979">
        <w:rPr>
          <w:rFonts w:ascii="Arabic Transparent" w:hAnsi="Arabic Transparent" w:cs="Arabic Transparent" w:hint="cs"/>
          <w:sz w:val="28"/>
          <w:szCs w:val="28"/>
          <w:rtl/>
          <w:lang w:bidi="ar-JO"/>
        </w:rPr>
        <w:t>مع</w:t>
      </w:r>
      <w:r w:rsidR="008755AF" w:rsidRPr="00B529EB">
        <w:rPr>
          <w:rFonts w:ascii="Arabic Transparent" w:hAnsi="Arabic Transparent" w:cs="Arabic Transparent" w:hint="cs"/>
          <w:sz w:val="28"/>
          <w:szCs w:val="28"/>
          <w:rtl/>
          <w:lang w:bidi="ar-JO"/>
        </w:rPr>
        <w:t xml:space="preserve"> باقي التع</w:t>
      </w:r>
      <w:r w:rsidR="00DF2979">
        <w:rPr>
          <w:rFonts w:ascii="Arabic Transparent" w:hAnsi="Arabic Transparent" w:cs="Arabic Transparent" w:hint="cs"/>
          <w:sz w:val="28"/>
          <w:szCs w:val="28"/>
          <w:rtl/>
          <w:lang w:bidi="ar-JO"/>
        </w:rPr>
        <w:t>ريفات</w:t>
      </w:r>
      <w:r w:rsidR="008755AF" w:rsidRPr="00B529EB">
        <w:rPr>
          <w:rFonts w:ascii="Arabic Transparent" w:hAnsi="Arabic Transparent" w:cs="Arabic Transparent" w:hint="cs"/>
          <w:sz w:val="28"/>
          <w:szCs w:val="28"/>
          <w:rtl/>
          <w:lang w:bidi="ar-JO"/>
        </w:rPr>
        <w:t xml:space="preserve"> الأخرى ببيان وظيفة الخاص</w:t>
      </w:r>
      <w:r w:rsidR="005B383B">
        <w:rPr>
          <w:rFonts w:ascii="Arabic Transparent" w:hAnsi="Arabic Transparent" w:cs="Arabic Transparent" w:hint="cs"/>
          <w:sz w:val="28"/>
          <w:szCs w:val="28"/>
          <w:rtl/>
          <w:lang w:bidi="ar-JO"/>
        </w:rPr>
        <w:t>، وي</w:t>
      </w:r>
      <w:r w:rsidR="00DF2979">
        <w:rPr>
          <w:rFonts w:ascii="Arabic Transparent" w:hAnsi="Arabic Transparent" w:cs="Arabic Transparent" w:hint="cs"/>
          <w:sz w:val="28"/>
          <w:szCs w:val="28"/>
          <w:rtl/>
          <w:lang w:bidi="ar-JO"/>
        </w:rPr>
        <w:t>منع</w:t>
      </w:r>
      <w:r w:rsidR="005B383B">
        <w:rPr>
          <w:rFonts w:ascii="Arabic Transparent" w:hAnsi="Arabic Transparent" w:cs="Arabic Transparent" w:hint="cs"/>
          <w:sz w:val="28"/>
          <w:szCs w:val="28"/>
          <w:rtl/>
          <w:lang w:bidi="ar-JO"/>
        </w:rPr>
        <w:t xml:space="preserve"> دخول غيره به من </w:t>
      </w:r>
      <w:r w:rsidR="00DF2979">
        <w:rPr>
          <w:rFonts w:ascii="Arabic Transparent" w:hAnsi="Arabic Transparent" w:cs="Arabic Transparent" w:hint="cs"/>
          <w:sz w:val="28"/>
          <w:szCs w:val="28"/>
          <w:rtl/>
          <w:lang w:bidi="ar-JO"/>
        </w:rPr>
        <w:t>المصطلحات</w:t>
      </w:r>
      <w:r w:rsidR="005B383B">
        <w:rPr>
          <w:rFonts w:ascii="Arabic Transparent" w:hAnsi="Arabic Transparent" w:cs="Arabic Transparent" w:hint="cs"/>
          <w:sz w:val="28"/>
          <w:szCs w:val="28"/>
          <w:rtl/>
          <w:lang w:bidi="ar-JO"/>
        </w:rPr>
        <w:t>.</w:t>
      </w:r>
    </w:p>
    <w:p w14:paraId="6FBD42F8" w14:textId="68604012" w:rsidR="00E5021F" w:rsidRPr="002C707F" w:rsidRDefault="00121DB8" w:rsidP="00C7326B">
      <w:pPr>
        <w:spacing w:after="0" w:line="360" w:lineRule="auto"/>
        <w:jc w:val="both"/>
        <w:rPr>
          <w:rFonts w:ascii="Arabic Transparent" w:hAnsi="Arabic Transparent" w:cs="Arabic Transparent"/>
          <w:b/>
          <w:bCs/>
          <w:sz w:val="32"/>
          <w:szCs w:val="32"/>
          <w:rtl/>
          <w:lang w:val="en-AE" w:bidi="ar-JO"/>
        </w:rPr>
      </w:pPr>
      <w:r w:rsidRPr="002C707F">
        <w:rPr>
          <w:rFonts w:ascii="Arabic Transparent" w:hAnsi="Arabic Transparent" w:cs="Arabic Transparent" w:hint="cs"/>
          <w:b/>
          <w:bCs/>
          <w:sz w:val="32"/>
          <w:szCs w:val="32"/>
          <w:rtl/>
          <w:lang w:val="en-AE" w:bidi="ar-JO"/>
        </w:rPr>
        <w:t>المطلب الثاني</w:t>
      </w:r>
      <w:r w:rsidR="00E5021F" w:rsidRPr="002C707F">
        <w:rPr>
          <w:rFonts w:ascii="Arabic Transparent" w:hAnsi="Arabic Transparent" w:cs="Arabic Transparent" w:hint="cs"/>
          <w:b/>
          <w:bCs/>
          <w:sz w:val="32"/>
          <w:szCs w:val="32"/>
          <w:rtl/>
          <w:lang w:val="en-AE" w:bidi="ar-JO"/>
        </w:rPr>
        <w:t>: تعريف تحقيق المناط</w:t>
      </w:r>
      <w:r w:rsidRPr="002C707F">
        <w:rPr>
          <w:rFonts w:ascii="Arabic Transparent" w:hAnsi="Arabic Transparent" w:cs="Arabic Transparent" w:hint="cs"/>
          <w:b/>
          <w:bCs/>
          <w:sz w:val="32"/>
          <w:szCs w:val="32"/>
          <w:rtl/>
          <w:lang w:val="en-AE" w:bidi="ar-JO"/>
        </w:rPr>
        <w:t xml:space="preserve"> الخاص</w:t>
      </w:r>
      <w:r w:rsidR="00E5021F" w:rsidRPr="002C707F">
        <w:rPr>
          <w:rFonts w:ascii="Arabic Transparent" w:hAnsi="Arabic Transparent" w:cs="Arabic Transparent" w:hint="cs"/>
          <w:b/>
          <w:bCs/>
          <w:sz w:val="32"/>
          <w:szCs w:val="32"/>
          <w:rtl/>
          <w:lang w:val="en-AE" w:bidi="ar-JO"/>
        </w:rPr>
        <w:t xml:space="preserve"> باعتباره لقباً: </w:t>
      </w:r>
    </w:p>
    <w:p w14:paraId="4ABF12C3" w14:textId="107E6C6D" w:rsidR="00E5021F" w:rsidRPr="00B529EB" w:rsidRDefault="000F4DC2" w:rsidP="002E1453">
      <w:pPr>
        <w:spacing w:after="0" w:line="360" w:lineRule="auto"/>
        <w:jc w:val="both"/>
        <w:rPr>
          <w:rFonts w:ascii="Arabic Transparent" w:hAnsi="Arabic Transparent" w:cs="Arabic Transparent"/>
          <w:sz w:val="28"/>
          <w:szCs w:val="28"/>
          <w:rtl/>
          <w:lang w:val="en-AE" w:bidi="ar-JO"/>
        </w:rPr>
      </w:pPr>
      <w:r>
        <w:rPr>
          <w:rFonts w:ascii="Arabic Transparent" w:hAnsi="Arabic Transparent" w:cs="Arabic Transparent" w:hint="cs"/>
          <w:sz w:val="28"/>
          <w:szCs w:val="28"/>
          <w:rtl/>
          <w:lang w:val="en-AE" w:bidi="ar-JO"/>
        </w:rPr>
        <w:t xml:space="preserve">     </w:t>
      </w:r>
      <w:r w:rsidR="002E1453">
        <w:rPr>
          <w:rFonts w:ascii="Arabic Transparent" w:hAnsi="Arabic Transparent" w:cs="Arabic Transparent" w:hint="cs"/>
          <w:sz w:val="28"/>
          <w:szCs w:val="28"/>
          <w:rtl/>
          <w:lang w:val="en-AE" w:bidi="ar-JO"/>
        </w:rPr>
        <w:t xml:space="preserve">قبل البدء بتعريف تحقيق المناط الخاص باعتباره لقباً سوف نتعرض لتعريف تحقيق المناط باعتباره لقباً، حيث </w:t>
      </w:r>
      <w:r w:rsidR="00E5021F" w:rsidRPr="00B529EB">
        <w:rPr>
          <w:rFonts w:ascii="Arabic Transparent" w:hAnsi="Arabic Transparent" w:cs="Arabic Transparent" w:hint="cs"/>
          <w:sz w:val="28"/>
          <w:szCs w:val="28"/>
          <w:rtl/>
          <w:lang w:val="en-AE" w:bidi="ar-JO"/>
        </w:rPr>
        <w:t>تباينت تعريفات الأصوليين لتحقيق المناط</w:t>
      </w:r>
      <w:r w:rsidR="001E1758" w:rsidRPr="00B529EB">
        <w:rPr>
          <w:rFonts w:ascii="Arabic Transparent" w:hAnsi="Arabic Transparent" w:cs="Arabic Transparent" w:hint="cs"/>
          <w:sz w:val="28"/>
          <w:szCs w:val="28"/>
          <w:rtl/>
          <w:lang w:val="en-AE" w:bidi="ar-JO"/>
        </w:rPr>
        <w:t xml:space="preserve"> بناءً على ما يندرج تحته من صور وما لا يندرج</w:t>
      </w:r>
      <w:r w:rsidR="00CB3FA9">
        <w:rPr>
          <w:rFonts w:ascii="Arabic Transparent" w:hAnsi="Arabic Transparent" w:cs="Arabic Transparent" w:hint="cs"/>
          <w:sz w:val="28"/>
          <w:szCs w:val="28"/>
          <w:rtl/>
          <w:lang w:val="en-AE" w:bidi="ar-JO"/>
        </w:rPr>
        <w:t xml:space="preserve"> </w:t>
      </w:r>
      <w:r w:rsidR="00E5021F" w:rsidRPr="00B529EB">
        <w:rPr>
          <w:rFonts w:ascii="Arabic Transparent" w:hAnsi="Arabic Transparent" w:cs="Arabic Transparent" w:hint="cs"/>
          <w:sz w:val="28"/>
          <w:szCs w:val="28"/>
          <w:rtl/>
          <w:lang w:val="en-AE" w:bidi="ar-JO"/>
        </w:rPr>
        <w:t xml:space="preserve">كما </w:t>
      </w:r>
      <w:r w:rsidR="00BF1052">
        <w:rPr>
          <w:rFonts w:ascii="Arabic Transparent" w:hAnsi="Arabic Transparent" w:cs="Arabic Transparent" w:hint="cs"/>
          <w:sz w:val="28"/>
          <w:szCs w:val="28"/>
          <w:rtl/>
          <w:lang w:val="en-AE" w:bidi="ar-JO"/>
        </w:rPr>
        <w:t>يأتي</w:t>
      </w:r>
      <w:r w:rsidR="00E5021F" w:rsidRPr="00B529EB">
        <w:rPr>
          <w:rFonts w:ascii="Arabic Transparent" w:hAnsi="Arabic Transparent" w:cs="Arabic Transparent" w:hint="cs"/>
          <w:sz w:val="28"/>
          <w:szCs w:val="28"/>
          <w:rtl/>
          <w:lang w:val="en-AE" w:bidi="ar-JO"/>
        </w:rPr>
        <w:t xml:space="preserve">: </w:t>
      </w:r>
    </w:p>
    <w:p w14:paraId="1F3FA79F" w14:textId="7F7E293A" w:rsidR="00E5021F" w:rsidRPr="00B529EB" w:rsidRDefault="00E5021F" w:rsidP="00E5021F">
      <w:pPr>
        <w:spacing w:after="0" w:line="360" w:lineRule="auto"/>
        <w:jc w:val="both"/>
        <w:rPr>
          <w:rFonts w:ascii="Arabic Transparent" w:hAnsi="Arabic Transparent" w:cs="Arabic Transparent"/>
          <w:sz w:val="28"/>
          <w:szCs w:val="28"/>
          <w:rtl/>
          <w:lang w:val="en-AE" w:bidi="ar-JO"/>
        </w:rPr>
      </w:pPr>
      <w:r w:rsidRPr="00827CC8">
        <w:rPr>
          <w:rFonts w:ascii="Arabic Transparent" w:hAnsi="Arabic Transparent" w:cs="Arabic Transparent" w:hint="cs"/>
          <w:sz w:val="28"/>
          <w:szCs w:val="28"/>
          <w:rtl/>
          <w:lang w:val="en-AE" w:bidi="ar-JO"/>
        </w:rPr>
        <w:t>1</w:t>
      </w:r>
      <w:r w:rsidRPr="00B529EB">
        <w:rPr>
          <w:rFonts w:ascii="Arabic Transparent" w:hAnsi="Arabic Transparent" w:cs="Arabic Transparent" w:hint="cs"/>
          <w:sz w:val="28"/>
          <w:szCs w:val="28"/>
          <w:rtl/>
          <w:lang w:val="en-AE" w:bidi="ar-JO"/>
        </w:rPr>
        <w:t xml:space="preserve">- </w:t>
      </w:r>
      <w:r w:rsidR="00E939BA" w:rsidRPr="00B529EB">
        <w:rPr>
          <w:rFonts w:ascii="Arabic Transparent" w:hAnsi="Arabic Transparent" w:cs="Arabic Transparent" w:hint="cs"/>
          <w:sz w:val="28"/>
          <w:szCs w:val="28"/>
          <w:rtl/>
          <w:lang w:val="en-AE" w:bidi="ar-JO"/>
        </w:rPr>
        <w:t>بعض</w:t>
      </w:r>
      <w:r w:rsidR="001E1758" w:rsidRPr="00B529EB">
        <w:rPr>
          <w:rFonts w:ascii="Arabic Transparent" w:hAnsi="Arabic Transparent" w:cs="Arabic Transparent" w:hint="cs"/>
          <w:sz w:val="28"/>
          <w:szCs w:val="28"/>
          <w:rtl/>
          <w:lang w:val="en-AE" w:bidi="ar-JO"/>
        </w:rPr>
        <w:t xml:space="preserve"> التعريفات </w:t>
      </w:r>
      <w:r w:rsidR="00CB3FA9">
        <w:rPr>
          <w:rFonts w:ascii="Arabic Transparent" w:hAnsi="Arabic Transparent" w:cs="Arabic Transparent" w:hint="cs"/>
          <w:sz w:val="28"/>
          <w:szCs w:val="28"/>
          <w:rtl/>
          <w:lang w:val="en-AE" w:bidi="ar-JO"/>
        </w:rPr>
        <w:t>موضوعها</w:t>
      </w:r>
      <w:r w:rsidR="001E1758" w:rsidRPr="00B529EB">
        <w:rPr>
          <w:rFonts w:ascii="Arabic Transparent" w:hAnsi="Arabic Transparent" w:cs="Arabic Transparent" w:hint="cs"/>
          <w:sz w:val="28"/>
          <w:szCs w:val="28"/>
          <w:rtl/>
          <w:lang w:val="en-AE" w:bidi="ar-JO"/>
        </w:rPr>
        <w:t xml:space="preserve">: </w:t>
      </w:r>
      <w:r w:rsidR="00651804">
        <w:rPr>
          <w:rFonts w:ascii="Arabic Transparent" w:hAnsi="Arabic Transparent" w:cs="Arabic Transparent" w:hint="cs"/>
          <w:sz w:val="28"/>
          <w:szCs w:val="28"/>
          <w:rtl/>
          <w:lang w:val="en-AE" w:bidi="ar-JO"/>
        </w:rPr>
        <w:t>"</w:t>
      </w:r>
      <w:r w:rsidR="001E1758" w:rsidRPr="00B529EB">
        <w:rPr>
          <w:rFonts w:ascii="Arabic Transparent" w:hAnsi="Arabic Transparent" w:cs="Arabic Transparent" w:hint="cs"/>
          <w:sz w:val="28"/>
          <w:szCs w:val="28"/>
          <w:rtl/>
          <w:lang w:val="en-AE" w:bidi="ar-JO"/>
        </w:rPr>
        <w:t xml:space="preserve">إثبات عِلَّة حُكم الأصل في الفرع بعد معرفتها في نفسها </w:t>
      </w:r>
      <w:r w:rsidR="005944F3" w:rsidRPr="00B529EB">
        <w:rPr>
          <w:rFonts w:ascii="Arabic Transparent" w:hAnsi="Arabic Transparent" w:cs="Arabic Transparent" w:hint="cs"/>
          <w:sz w:val="28"/>
          <w:szCs w:val="28"/>
          <w:rtl/>
          <w:lang w:val="en-AE" w:bidi="ar-JO"/>
        </w:rPr>
        <w:t>بنصٍّ</w:t>
      </w:r>
      <w:r w:rsidR="005944F3" w:rsidRPr="00B529EB">
        <w:rPr>
          <w:rFonts w:ascii="Arabic Transparent" w:hAnsi="Arabic Transparent" w:cs="Arabic Transparent" w:hint="eastAsia"/>
          <w:sz w:val="28"/>
          <w:szCs w:val="28"/>
          <w:rtl/>
          <w:lang w:val="en-AE" w:bidi="ar-JO"/>
        </w:rPr>
        <w:t>،</w:t>
      </w:r>
      <w:r w:rsidR="001E1758" w:rsidRPr="00B529EB">
        <w:rPr>
          <w:rFonts w:ascii="Arabic Transparent" w:hAnsi="Arabic Transparent" w:cs="Arabic Transparent" w:hint="cs"/>
          <w:sz w:val="28"/>
          <w:szCs w:val="28"/>
          <w:rtl/>
          <w:lang w:val="en-AE" w:bidi="ar-JO"/>
        </w:rPr>
        <w:t xml:space="preserve"> أو </w:t>
      </w:r>
      <w:r w:rsidR="00DD514C" w:rsidRPr="00B529EB">
        <w:rPr>
          <w:rFonts w:ascii="Arabic Transparent" w:hAnsi="Arabic Transparent" w:cs="Arabic Transparent" w:hint="cs"/>
          <w:sz w:val="28"/>
          <w:szCs w:val="28"/>
          <w:rtl/>
          <w:lang w:val="en-AE" w:bidi="ar-JO"/>
        </w:rPr>
        <w:t>إجماعٍ</w:t>
      </w:r>
      <w:r w:rsidR="00DD514C" w:rsidRPr="00B529EB">
        <w:rPr>
          <w:rFonts w:ascii="Arabic Transparent" w:hAnsi="Arabic Transparent" w:cs="Arabic Transparent" w:hint="eastAsia"/>
          <w:sz w:val="28"/>
          <w:szCs w:val="28"/>
          <w:rtl/>
          <w:lang w:val="en-AE" w:bidi="ar-JO"/>
        </w:rPr>
        <w:t>،</w:t>
      </w:r>
      <w:r w:rsidR="001E1758" w:rsidRPr="00B529EB">
        <w:rPr>
          <w:rFonts w:ascii="Arabic Transparent" w:hAnsi="Arabic Transparent" w:cs="Arabic Transparent" w:hint="cs"/>
          <w:sz w:val="28"/>
          <w:szCs w:val="28"/>
          <w:rtl/>
          <w:lang w:val="en-AE" w:bidi="ar-JO"/>
        </w:rPr>
        <w:t xml:space="preserve"> أو استنباط،</w:t>
      </w:r>
      <w:r w:rsidR="000C0813" w:rsidRPr="00B529EB">
        <w:rPr>
          <w:rFonts w:ascii="Arabic Transparent" w:hAnsi="Arabic Transparent" w:cs="Arabic Transparent" w:hint="cs"/>
          <w:sz w:val="28"/>
          <w:szCs w:val="28"/>
          <w:rtl/>
          <w:lang w:val="en-AE" w:bidi="ar-JO"/>
        </w:rPr>
        <w:t xml:space="preserve"> أو إثبات مقتضى قاعدةٍ شرعيةٍ ثبتت بنصٍّ</w:t>
      </w:r>
      <w:r w:rsidR="00CB3FA9">
        <w:rPr>
          <w:rFonts w:ascii="Arabic Transparent" w:hAnsi="Arabic Transparent" w:cs="Arabic Transparent" w:hint="cs"/>
          <w:sz w:val="28"/>
          <w:szCs w:val="28"/>
          <w:rtl/>
          <w:lang w:val="en-AE" w:bidi="ar-JO"/>
        </w:rPr>
        <w:t>،</w:t>
      </w:r>
      <w:r w:rsidR="000C0813" w:rsidRPr="00B529EB">
        <w:rPr>
          <w:rFonts w:ascii="Arabic Transparent" w:hAnsi="Arabic Transparent" w:cs="Arabic Transparent" w:hint="cs"/>
          <w:sz w:val="28"/>
          <w:szCs w:val="28"/>
          <w:rtl/>
          <w:lang w:val="en-AE" w:bidi="ar-JO"/>
        </w:rPr>
        <w:t xml:space="preserve"> أو إجماعٍ</w:t>
      </w:r>
      <w:r w:rsidR="00CB3FA9">
        <w:rPr>
          <w:rFonts w:ascii="Arabic Transparent" w:hAnsi="Arabic Transparent" w:cs="Arabic Transparent" w:hint="cs"/>
          <w:sz w:val="28"/>
          <w:szCs w:val="28"/>
          <w:rtl/>
          <w:lang w:val="en-AE" w:bidi="ar-JO"/>
        </w:rPr>
        <w:t>،</w:t>
      </w:r>
      <w:r w:rsidR="000C0813" w:rsidRPr="00B529EB">
        <w:rPr>
          <w:rFonts w:ascii="Arabic Transparent" w:hAnsi="Arabic Transparent" w:cs="Arabic Transparent" w:hint="cs"/>
          <w:sz w:val="28"/>
          <w:szCs w:val="28"/>
          <w:rtl/>
          <w:lang w:val="en-AE" w:bidi="ar-JO"/>
        </w:rPr>
        <w:t xml:space="preserve"> أو استنباطٍ في بعض جزئياتها</w:t>
      </w:r>
      <w:r w:rsidR="00651804">
        <w:rPr>
          <w:rFonts w:ascii="Arabic Transparent" w:hAnsi="Arabic Transparent" w:cs="Arabic Transparent" w:hint="cs"/>
          <w:sz w:val="28"/>
          <w:szCs w:val="28"/>
          <w:rtl/>
          <w:lang w:val="en-AE" w:bidi="ar-JO"/>
        </w:rPr>
        <w:t>"</w:t>
      </w:r>
      <w:r w:rsidR="00651804" w:rsidRPr="002E1453">
        <w:rPr>
          <w:rFonts w:ascii="Arabic Transparent" w:hAnsi="Arabic Transparent" w:cs="Arabic Transparent" w:hint="cs"/>
          <w:sz w:val="28"/>
          <w:szCs w:val="28"/>
          <w:vertAlign w:val="superscript"/>
          <w:rtl/>
          <w:lang w:val="en-AE" w:bidi="ar-JO"/>
        </w:rPr>
        <w:t>(</w:t>
      </w:r>
      <w:r w:rsidR="00651804" w:rsidRPr="002E1453">
        <w:rPr>
          <w:rStyle w:val="FootnoteReference"/>
          <w:rFonts w:ascii="Arabic Transparent" w:hAnsi="Arabic Transparent" w:cs="Arabic Transparent" w:hint="cs"/>
          <w:sz w:val="28"/>
          <w:szCs w:val="28"/>
          <w:rtl/>
          <w:lang w:val="en-AE" w:bidi="ar-JO"/>
        </w:rPr>
        <w:footnoteReference w:id="37"/>
      </w:r>
      <w:r w:rsidR="00651804" w:rsidRPr="002E1453">
        <w:rPr>
          <w:rFonts w:ascii="Arabic Transparent" w:hAnsi="Arabic Transparent" w:cs="Arabic Transparent" w:hint="cs"/>
          <w:sz w:val="28"/>
          <w:szCs w:val="28"/>
          <w:vertAlign w:val="superscript"/>
          <w:rtl/>
          <w:lang w:val="en-AE" w:bidi="ar-JO"/>
        </w:rPr>
        <w:t>)</w:t>
      </w:r>
      <w:r w:rsidR="00651804">
        <w:rPr>
          <w:rFonts w:ascii="Arabic Transparent" w:hAnsi="Arabic Transparent" w:cs="Arabic Transparent" w:hint="cs"/>
          <w:sz w:val="28"/>
          <w:szCs w:val="28"/>
          <w:rtl/>
          <w:lang w:val="en-AE" w:bidi="ar-JO"/>
        </w:rPr>
        <w:t xml:space="preserve">، </w:t>
      </w:r>
      <w:r w:rsidR="001E1758" w:rsidRPr="00B529EB">
        <w:rPr>
          <w:rFonts w:ascii="Arabic Transparent" w:hAnsi="Arabic Transparent" w:cs="Arabic Transparent" w:hint="cs"/>
          <w:sz w:val="28"/>
          <w:szCs w:val="28"/>
          <w:rtl/>
          <w:lang w:val="en-AE" w:bidi="ar-JO"/>
        </w:rPr>
        <w:t>وهذا ا</w:t>
      </w:r>
      <w:r w:rsidR="00570CEC" w:rsidRPr="00B529EB">
        <w:rPr>
          <w:rFonts w:ascii="Arabic Transparent" w:hAnsi="Arabic Transparent" w:cs="Arabic Transparent" w:hint="cs"/>
          <w:sz w:val="28"/>
          <w:szCs w:val="28"/>
          <w:rtl/>
          <w:lang w:val="en-AE" w:bidi="ar-JO"/>
        </w:rPr>
        <w:t>لمعنى</w:t>
      </w:r>
      <w:r w:rsidR="001E1758" w:rsidRPr="00B529EB">
        <w:rPr>
          <w:rFonts w:ascii="Arabic Transparent" w:hAnsi="Arabic Transparent" w:cs="Arabic Transparent" w:hint="cs"/>
          <w:sz w:val="28"/>
          <w:szCs w:val="28"/>
          <w:rtl/>
          <w:lang w:val="en-AE" w:bidi="ar-JO"/>
        </w:rPr>
        <w:t xml:space="preserve"> الأكثر شهرة لدى الأصوليين.</w:t>
      </w:r>
    </w:p>
    <w:p w14:paraId="680E3E00" w14:textId="2811B9EC" w:rsidR="00B15CC5" w:rsidRDefault="000F4DC2" w:rsidP="000C0813">
      <w:pPr>
        <w:spacing w:after="0" w:line="360" w:lineRule="auto"/>
        <w:jc w:val="both"/>
        <w:rPr>
          <w:rFonts w:ascii="Arabic Transparent" w:hAnsi="Arabic Transparent" w:cs="Arabic Transparent"/>
          <w:sz w:val="28"/>
          <w:szCs w:val="28"/>
          <w:rtl/>
          <w:lang w:val="en-AE" w:bidi="ar-JO"/>
        </w:rPr>
      </w:pPr>
      <w:r>
        <w:rPr>
          <w:rFonts w:ascii="Arabic Transparent" w:hAnsi="Arabic Transparent" w:cs="Arabic Transparent" w:hint="cs"/>
          <w:sz w:val="28"/>
          <w:szCs w:val="28"/>
          <w:rtl/>
          <w:lang w:val="en-AE" w:bidi="ar-JO"/>
        </w:rPr>
        <w:t xml:space="preserve">     </w:t>
      </w:r>
      <w:r w:rsidR="00D90CFE" w:rsidRPr="00B529EB">
        <w:rPr>
          <w:rFonts w:ascii="Arabic Transparent" w:hAnsi="Arabic Transparent" w:cs="Arabic Transparent" w:hint="cs"/>
          <w:sz w:val="28"/>
          <w:szCs w:val="28"/>
          <w:rtl/>
          <w:lang w:val="en-AE" w:bidi="ar-JO"/>
        </w:rPr>
        <w:t>كما قال ابن السبكي</w:t>
      </w:r>
      <w:r w:rsidR="00CB3FA9">
        <w:rPr>
          <w:rFonts w:ascii="Arabic Transparent" w:hAnsi="Arabic Transparent" w:cs="Arabic Transparent" w:hint="cs"/>
          <w:sz w:val="28"/>
          <w:szCs w:val="28"/>
          <w:rtl/>
          <w:lang w:val="en-AE" w:bidi="ar-JO"/>
        </w:rPr>
        <w:t>،</w:t>
      </w:r>
      <w:r w:rsidR="00D90CFE" w:rsidRPr="00B529EB">
        <w:rPr>
          <w:rFonts w:ascii="Arabic Transparent" w:hAnsi="Arabic Transparent" w:cs="Arabic Transparent" w:hint="cs"/>
          <w:sz w:val="28"/>
          <w:szCs w:val="28"/>
          <w:rtl/>
          <w:lang w:val="en-AE" w:bidi="ar-JO"/>
        </w:rPr>
        <w:t xml:space="preserve"> والزركشي</w:t>
      </w:r>
      <w:r w:rsidR="00CB3FA9">
        <w:rPr>
          <w:rFonts w:ascii="Arabic Transparent" w:hAnsi="Arabic Transparent" w:cs="Arabic Transparent" w:hint="cs"/>
          <w:sz w:val="28"/>
          <w:szCs w:val="28"/>
          <w:rtl/>
          <w:lang w:val="en-AE" w:bidi="ar-JO"/>
        </w:rPr>
        <w:t>،</w:t>
      </w:r>
      <w:r w:rsidR="00D90CFE" w:rsidRPr="00B529EB">
        <w:rPr>
          <w:rFonts w:ascii="Arabic Transparent" w:hAnsi="Arabic Transparent" w:cs="Arabic Transparent" w:hint="cs"/>
          <w:sz w:val="28"/>
          <w:szCs w:val="28"/>
          <w:rtl/>
          <w:lang w:val="en-AE" w:bidi="ar-JO"/>
        </w:rPr>
        <w:t xml:space="preserve"> والشوكاني:</w:t>
      </w:r>
      <w:r w:rsidR="00151AED">
        <w:rPr>
          <w:rFonts w:ascii="Arabic Transparent" w:hAnsi="Arabic Transparent" w:cs="Arabic Transparent" w:hint="cs"/>
          <w:sz w:val="28"/>
          <w:szCs w:val="28"/>
          <w:rtl/>
          <w:lang w:val="en-AE" w:bidi="ar-JO"/>
        </w:rPr>
        <w:t xml:space="preserve"> </w:t>
      </w:r>
      <w:r w:rsidR="00151AED">
        <w:rPr>
          <w:rFonts w:ascii="Arabic Transparent" w:hAnsi="Arabic Transparent" w:cs="Arabic Transparent"/>
          <w:sz w:val="28"/>
          <w:szCs w:val="28"/>
          <w:rtl/>
          <w:lang w:val="en-AE" w:bidi="ar-JO"/>
        </w:rPr>
        <w:t>"</w:t>
      </w:r>
      <w:r w:rsidR="00D90CFE" w:rsidRPr="00B529EB">
        <w:rPr>
          <w:rFonts w:ascii="Arabic Transparent" w:hAnsi="Arabic Transparent" w:cs="Arabic Transparent" w:hint="cs"/>
          <w:sz w:val="28"/>
          <w:szCs w:val="28"/>
          <w:rtl/>
          <w:lang w:val="en-AE" w:bidi="ar-JO"/>
        </w:rPr>
        <w:t>أن يُتفق على عِلية وصف بنصٍ أو إجماعٍ، ويُجتهَد في وجودها في صورة النزاع"</w:t>
      </w:r>
      <w:r w:rsidR="00D90CFE" w:rsidRPr="00B529EB">
        <w:rPr>
          <w:rFonts w:ascii="Arabic Transparent" w:hAnsi="Arabic Transparent" w:cs="Arabic Transparent" w:hint="cs"/>
          <w:sz w:val="28"/>
          <w:szCs w:val="28"/>
          <w:vertAlign w:val="superscript"/>
          <w:rtl/>
          <w:lang w:val="en-AE" w:bidi="ar-JO"/>
        </w:rPr>
        <w:t>(</w:t>
      </w:r>
      <w:r w:rsidR="00D90CFE" w:rsidRPr="00B529EB">
        <w:rPr>
          <w:rStyle w:val="FootnoteReference"/>
          <w:rFonts w:ascii="Arabic Transparent" w:hAnsi="Arabic Transparent" w:cs="Arabic Transparent" w:hint="cs"/>
          <w:sz w:val="28"/>
          <w:szCs w:val="28"/>
          <w:rtl/>
          <w:lang w:val="en-AE" w:bidi="ar-JO"/>
        </w:rPr>
        <w:footnoteReference w:id="38"/>
      </w:r>
      <w:r w:rsidR="00D90CFE" w:rsidRPr="00B529EB">
        <w:rPr>
          <w:rFonts w:ascii="Arabic Transparent" w:hAnsi="Arabic Transparent" w:cs="Arabic Transparent" w:hint="cs"/>
          <w:sz w:val="28"/>
          <w:szCs w:val="28"/>
          <w:vertAlign w:val="superscript"/>
          <w:rtl/>
          <w:lang w:val="en-AE" w:bidi="ar-JO"/>
        </w:rPr>
        <w:t>)</w:t>
      </w:r>
      <w:r w:rsidR="000E1385">
        <w:rPr>
          <w:rFonts w:ascii="Arabic Transparent" w:hAnsi="Arabic Transparent" w:cs="Arabic Transparent" w:hint="cs"/>
          <w:sz w:val="28"/>
          <w:szCs w:val="28"/>
          <w:rtl/>
          <w:lang w:val="en-AE" w:bidi="ar-JO"/>
        </w:rPr>
        <w:t>.</w:t>
      </w:r>
    </w:p>
    <w:p w14:paraId="090DF468" w14:textId="77777777" w:rsidR="00B15CC5" w:rsidRDefault="00B15CC5">
      <w:pPr>
        <w:bidi w:val="0"/>
        <w:spacing w:after="0" w:line="240" w:lineRule="auto"/>
        <w:rPr>
          <w:rFonts w:ascii="Arabic Transparent" w:hAnsi="Arabic Transparent" w:cs="Arabic Transparent"/>
          <w:sz w:val="28"/>
          <w:szCs w:val="28"/>
          <w:rtl/>
          <w:lang w:val="en-AE" w:bidi="ar-JO"/>
        </w:rPr>
      </w:pPr>
      <w:r>
        <w:rPr>
          <w:rFonts w:ascii="Arabic Transparent" w:hAnsi="Arabic Transparent" w:cs="Arabic Transparent"/>
          <w:sz w:val="28"/>
          <w:szCs w:val="28"/>
          <w:rtl/>
          <w:lang w:val="en-AE" w:bidi="ar-JO"/>
        </w:rPr>
        <w:br w:type="page"/>
      </w:r>
    </w:p>
    <w:p w14:paraId="53C177A8" w14:textId="3354ADC6" w:rsidR="00F55CF4" w:rsidRPr="00B15CC5" w:rsidRDefault="000F4DC2" w:rsidP="00B15CC5">
      <w:pPr>
        <w:spacing w:after="0" w:line="360" w:lineRule="auto"/>
        <w:jc w:val="both"/>
        <w:rPr>
          <w:rFonts w:ascii="Arabic Transparent" w:hAnsi="Arabic Transparent" w:cs="Arabic Transparent"/>
          <w:sz w:val="28"/>
          <w:szCs w:val="28"/>
          <w:lang w:bidi="ar-JO"/>
        </w:rPr>
      </w:pPr>
      <w:r>
        <w:rPr>
          <w:rFonts w:ascii="Arabic Transparent" w:hAnsi="Arabic Transparent" w:cs="Arabic Transparent" w:hint="cs"/>
          <w:sz w:val="28"/>
          <w:szCs w:val="28"/>
          <w:rtl/>
          <w:lang w:val="en-AE" w:bidi="ar-JO"/>
        </w:rPr>
        <w:t xml:space="preserve">     </w:t>
      </w:r>
      <w:r w:rsidR="002F3D38" w:rsidRPr="00B529EB">
        <w:rPr>
          <w:rFonts w:ascii="Arabic Transparent" w:hAnsi="Arabic Transparent" w:cs="Arabic Transparent" w:hint="cs"/>
          <w:sz w:val="28"/>
          <w:szCs w:val="28"/>
          <w:rtl/>
          <w:lang w:val="en-AE" w:bidi="ar-JO"/>
        </w:rPr>
        <w:t>وكما عرّف</w:t>
      </w:r>
      <w:r w:rsidR="00CB3FA9">
        <w:rPr>
          <w:rFonts w:ascii="Arabic Transparent" w:hAnsi="Arabic Transparent" w:cs="Arabic Transparent" w:hint="cs"/>
          <w:sz w:val="28"/>
          <w:szCs w:val="28"/>
          <w:rtl/>
          <w:lang w:val="en-AE" w:bidi="ar-JO"/>
        </w:rPr>
        <w:t>ه</w:t>
      </w:r>
      <w:r w:rsidR="002F3D38" w:rsidRPr="00B529EB">
        <w:rPr>
          <w:rFonts w:ascii="Arabic Transparent" w:hAnsi="Arabic Transparent" w:cs="Arabic Transparent" w:hint="cs"/>
          <w:sz w:val="28"/>
          <w:szCs w:val="28"/>
          <w:rtl/>
          <w:lang w:val="en-AE" w:bidi="ar-JO"/>
        </w:rPr>
        <w:t xml:space="preserve"> الطوفي </w:t>
      </w:r>
      <w:r w:rsidR="00C04E36" w:rsidRPr="00B529EB">
        <w:rPr>
          <w:rFonts w:ascii="Arabic Transparent" w:hAnsi="Arabic Transparent" w:cs="Arabic Transparent" w:hint="cs"/>
          <w:sz w:val="28"/>
          <w:szCs w:val="28"/>
          <w:rtl/>
          <w:lang w:val="en-AE" w:bidi="ar-JO"/>
        </w:rPr>
        <w:t>بأنّه:</w:t>
      </w:r>
      <w:r w:rsidR="002F3D38" w:rsidRPr="00B529EB">
        <w:rPr>
          <w:rFonts w:ascii="Arabic Transparent" w:hAnsi="Arabic Transparent" w:cs="Arabic Transparent" w:hint="cs"/>
          <w:sz w:val="28"/>
          <w:szCs w:val="28"/>
          <w:rtl/>
          <w:lang w:val="en-AE" w:bidi="ar-JO"/>
        </w:rPr>
        <w:t xml:space="preserve"> "إثبات عِلَّة حُكم الأصل في الفرع، أو إثبات معنىً معلوم في محلٍّ خَفِيَ فيه ثبوت ذلك المعنى"</w:t>
      </w:r>
      <w:r w:rsidR="002F3D38" w:rsidRPr="00B529EB">
        <w:rPr>
          <w:rFonts w:ascii="Arabic Transparent" w:hAnsi="Arabic Transparent" w:cs="Arabic Transparent" w:hint="cs"/>
          <w:sz w:val="28"/>
          <w:szCs w:val="28"/>
          <w:vertAlign w:val="superscript"/>
          <w:rtl/>
          <w:lang w:val="en-AE" w:bidi="ar-JO"/>
        </w:rPr>
        <w:t>(</w:t>
      </w:r>
      <w:r w:rsidR="002F3D38" w:rsidRPr="00B529EB">
        <w:rPr>
          <w:rStyle w:val="FootnoteReference"/>
          <w:rFonts w:ascii="Arabic Transparent" w:hAnsi="Arabic Transparent" w:cs="Arabic Transparent" w:hint="cs"/>
          <w:sz w:val="28"/>
          <w:szCs w:val="28"/>
          <w:rtl/>
          <w:lang w:val="en-AE" w:bidi="ar-JO"/>
        </w:rPr>
        <w:footnoteReference w:id="39"/>
      </w:r>
      <w:r w:rsidR="002F3D38" w:rsidRPr="00B529EB">
        <w:rPr>
          <w:rFonts w:ascii="Arabic Transparent" w:hAnsi="Arabic Transparent" w:cs="Arabic Transparent" w:hint="cs"/>
          <w:sz w:val="28"/>
          <w:szCs w:val="28"/>
          <w:vertAlign w:val="superscript"/>
          <w:rtl/>
          <w:lang w:val="en-AE" w:bidi="ar-JO"/>
        </w:rPr>
        <w:t>)</w:t>
      </w:r>
      <w:r w:rsidR="005A4F31">
        <w:rPr>
          <w:rFonts w:ascii="Arabic Transparent" w:hAnsi="Arabic Transparent" w:cs="Arabic Transparent" w:hint="cs"/>
          <w:sz w:val="28"/>
          <w:szCs w:val="28"/>
          <w:rtl/>
          <w:lang w:val="en-AE" w:bidi="ar-JO"/>
        </w:rPr>
        <w:t>.</w:t>
      </w:r>
    </w:p>
    <w:p w14:paraId="51C2F89A" w14:textId="2D629579" w:rsidR="001E1758" w:rsidRPr="00B529EB" w:rsidRDefault="000C0813" w:rsidP="000C0813">
      <w:pPr>
        <w:spacing w:after="0" w:line="360" w:lineRule="auto"/>
        <w:jc w:val="both"/>
        <w:rPr>
          <w:rFonts w:ascii="Arabic Transparent" w:hAnsi="Arabic Transparent" w:cs="Arabic Transparent"/>
          <w:sz w:val="28"/>
          <w:szCs w:val="28"/>
          <w:rtl/>
          <w:lang w:val="en-AE" w:bidi="ar-JO"/>
        </w:rPr>
      </w:pPr>
      <w:r w:rsidRPr="00B529EB">
        <w:rPr>
          <w:rFonts w:ascii="Arabic Transparent" w:hAnsi="Arabic Transparent" w:cs="Arabic Transparent" w:hint="cs"/>
          <w:sz w:val="28"/>
          <w:szCs w:val="28"/>
          <w:rtl/>
          <w:lang w:val="en-AE" w:bidi="ar-JO"/>
        </w:rPr>
        <w:t>2</w:t>
      </w:r>
      <w:r w:rsidR="001E1758" w:rsidRPr="00B529EB">
        <w:rPr>
          <w:rFonts w:ascii="Arabic Transparent" w:hAnsi="Arabic Transparent" w:cs="Arabic Transparent" w:hint="cs"/>
          <w:sz w:val="28"/>
          <w:szCs w:val="28"/>
          <w:rtl/>
          <w:lang w:val="en-AE" w:bidi="ar-JO"/>
        </w:rPr>
        <w:t>- وبعض</w:t>
      </w:r>
      <w:r w:rsidR="00CB3FA9">
        <w:rPr>
          <w:rFonts w:ascii="Arabic Transparent" w:hAnsi="Arabic Transparent" w:cs="Arabic Transparent" w:hint="cs"/>
          <w:sz w:val="28"/>
          <w:szCs w:val="28"/>
          <w:rtl/>
          <w:lang w:val="en-AE" w:bidi="ar-JO"/>
        </w:rPr>
        <w:t xml:space="preserve"> التعريفات</w:t>
      </w:r>
      <w:r w:rsidR="001E1758" w:rsidRPr="00B529EB">
        <w:rPr>
          <w:rFonts w:ascii="Arabic Transparent" w:hAnsi="Arabic Transparent" w:cs="Arabic Transparent" w:hint="cs"/>
          <w:sz w:val="28"/>
          <w:szCs w:val="28"/>
          <w:rtl/>
          <w:lang w:val="en-AE" w:bidi="ar-JO"/>
        </w:rPr>
        <w:t xml:space="preserve"> أشار</w:t>
      </w:r>
      <w:r w:rsidR="00CB3FA9">
        <w:rPr>
          <w:rFonts w:ascii="Arabic Transparent" w:hAnsi="Arabic Transparent" w:cs="Arabic Transparent" w:hint="cs"/>
          <w:sz w:val="28"/>
          <w:szCs w:val="28"/>
          <w:rtl/>
          <w:lang w:val="en-AE" w:bidi="ar-JO"/>
        </w:rPr>
        <w:t>ت</w:t>
      </w:r>
      <w:r w:rsidR="001E1758" w:rsidRPr="00B529EB">
        <w:rPr>
          <w:rFonts w:ascii="Arabic Transparent" w:hAnsi="Arabic Transparent" w:cs="Arabic Transparent" w:hint="cs"/>
          <w:sz w:val="28"/>
          <w:szCs w:val="28"/>
          <w:rtl/>
          <w:lang w:val="en-AE" w:bidi="ar-JO"/>
        </w:rPr>
        <w:t xml:space="preserve"> إلى</w:t>
      </w:r>
      <w:r w:rsidR="00C04E36" w:rsidRPr="00B529EB">
        <w:rPr>
          <w:rFonts w:ascii="Arabic Transparent" w:hAnsi="Arabic Transparent" w:cs="Arabic Transparent" w:hint="cs"/>
          <w:sz w:val="28"/>
          <w:szCs w:val="28"/>
          <w:rtl/>
          <w:lang w:val="en-AE" w:bidi="ar-JO"/>
        </w:rPr>
        <w:t>:</w:t>
      </w:r>
      <w:r w:rsidR="001E1758" w:rsidRPr="00B529EB">
        <w:rPr>
          <w:rFonts w:ascii="Arabic Transparent" w:hAnsi="Arabic Transparent" w:cs="Arabic Transparent" w:hint="cs"/>
          <w:sz w:val="28"/>
          <w:szCs w:val="28"/>
          <w:rtl/>
          <w:lang w:val="en-AE" w:bidi="ar-JO"/>
        </w:rPr>
        <w:t xml:space="preserve"> إثبات معنى</w:t>
      </w:r>
      <w:r w:rsidR="003201E8" w:rsidRPr="00B529EB">
        <w:rPr>
          <w:rFonts w:ascii="Arabic Transparent" w:hAnsi="Arabic Transparent" w:cs="Arabic Transparent" w:hint="cs"/>
          <w:sz w:val="28"/>
          <w:szCs w:val="28"/>
          <w:rtl/>
          <w:lang w:val="en-AE" w:bidi="ar-JO"/>
        </w:rPr>
        <w:t xml:space="preserve"> </w:t>
      </w:r>
      <w:r w:rsidR="001E1758" w:rsidRPr="00B529EB">
        <w:rPr>
          <w:rFonts w:ascii="Arabic Transparent" w:hAnsi="Arabic Transparent" w:cs="Arabic Transparent" w:hint="cs"/>
          <w:sz w:val="28"/>
          <w:szCs w:val="28"/>
          <w:rtl/>
          <w:lang w:val="en-AE" w:bidi="ar-JO"/>
        </w:rPr>
        <w:t>عامٍّ</w:t>
      </w:r>
      <w:r w:rsidR="005A4F31">
        <w:rPr>
          <w:rFonts w:ascii="Arabic Transparent" w:hAnsi="Arabic Transparent" w:cs="Arabic Transparent" w:hint="cs"/>
          <w:sz w:val="28"/>
          <w:szCs w:val="28"/>
          <w:rtl/>
          <w:lang w:val="en-AE" w:bidi="ar-JO"/>
        </w:rPr>
        <w:t>،</w:t>
      </w:r>
      <w:r w:rsidR="001E1758" w:rsidRPr="00B529EB">
        <w:rPr>
          <w:rFonts w:ascii="Arabic Transparent" w:hAnsi="Arabic Transparent" w:cs="Arabic Transparent" w:hint="cs"/>
          <w:sz w:val="28"/>
          <w:szCs w:val="28"/>
          <w:rtl/>
          <w:lang w:val="en-AE" w:bidi="ar-JO"/>
        </w:rPr>
        <w:t xml:space="preserve"> أو مطلقٍ تعلق به حكمٌ شرعيٌّ في بعض أفراده.</w:t>
      </w:r>
    </w:p>
    <w:p w14:paraId="090FB4B4" w14:textId="426C51C0" w:rsidR="00B74950" w:rsidRDefault="000F4DC2" w:rsidP="009C4287">
      <w:pPr>
        <w:spacing w:after="0" w:line="360" w:lineRule="auto"/>
        <w:jc w:val="both"/>
        <w:rPr>
          <w:rFonts w:ascii="Arabic Transparent" w:hAnsi="Arabic Transparent" w:cs="Arabic Transparent"/>
          <w:sz w:val="28"/>
          <w:szCs w:val="28"/>
          <w:rtl/>
          <w:lang w:val="en-AE" w:bidi="ar-JO"/>
        </w:rPr>
      </w:pPr>
      <w:r>
        <w:rPr>
          <w:rFonts w:ascii="Arabic Transparent" w:hAnsi="Arabic Transparent" w:cs="Arabic Transparent" w:hint="cs"/>
          <w:sz w:val="28"/>
          <w:szCs w:val="28"/>
          <w:rtl/>
          <w:lang w:val="en-AE" w:bidi="ar-JO"/>
        </w:rPr>
        <w:t xml:space="preserve">     </w:t>
      </w:r>
      <w:r w:rsidR="0068674C" w:rsidRPr="00B529EB">
        <w:rPr>
          <w:rFonts w:ascii="Arabic Transparent" w:hAnsi="Arabic Transparent" w:cs="Arabic Transparent" w:hint="cs"/>
          <w:sz w:val="28"/>
          <w:szCs w:val="28"/>
          <w:rtl/>
          <w:lang w:val="en-AE" w:bidi="ar-JO"/>
        </w:rPr>
        <w:t>حيث عرّف الشاطبي تحقيق المناط: "أن يثبت الحُكم بمُدرَكِه الشرعي لكن يبقى النظر في تعيين محلِّه"</w:t>
      </w:r>
      <w:r w:rsidR="0068674C" w:rsidRPr="00B529EB">
        <w:rPr>
          <w:rFonts w:ascii="Arabic Transparent" w:hAnsi="Arabic Transparent" w:cs="Arabic Transparent" w:hint="cs"/>
          <w:sz w:val="28"/>
          <w:szCs w:val="28"/>
          <w:vertAlign w:val="superscript"/>
          <w:rtl/>
          <w:lang w:val="en-AE" w:bidi="ar-JO"/>
        </w:rPr>
        <w:t>(</w:t>
      </w:r>
      <w:r w:rsidR="0068674C" w:rsidRPr="00B529EB">
        <w:rPr>
          <w:rStyle w:val="FootnoteReference"/>
          <w:rFonts w:ascii="Arabic Transparent" w:hAnsi="Arabic Transparent" w:cs="Arabic Transparent" w:hint="cs"/>
          <w:sz w:val="28"/>
          <w:szCs w:val="28"/>
          <w:rtl/>
          <w:lang w:val="en-AE" w:bidi="ar-JO"/>
        </w:rPr>
        <w:footnoteReference w:id="40"/>
      </w:r>
      <w:r w:rsidR="0068674C" w:rsidRPr="00B529EB">
        <w:rPr>
          <w:rFonts w:ascii="Arabic Transparent" w:hAnsi="Arabic Transparent" w:cs="Arabic Transparent" w:hint="cs"/>
          <w:sz w:val="28"/>
          <w:szCs w:val="28"/>
          <w:vertAlign w:val="superscript"/>
          <w:rtl/>
          <w:lang w:val="en-AE" w:bidi="ar-JO"/>
        </w:rPr>
        <w:t>)</w:t>
      </w:r>
      <w:r w:rsidR="009C4287">
        <w:rPr>
          <w:rFonts w:ascii="Arabic Transparent" w:hAnsi="Arabic Transparent" w:cs="Arabic Transparent" w:hint="cs"/>
          <w:sz w:val="28"/>
          <w:szCs w:val="28"/>
          <w:rtl/>
          <w:lang w:val="en-AE" w:bidi="ar-JO"/>
        </w:rPr>
        <w:t>.</w:t>
      </w:r>
    </w:p>
    <w:p w14:paraId="78E5F26E" w14:textId="5A7F45C9" w:rsidR="000C0813" w:rsidRPr="00B529EB" w:rsidRDefault="000F4DC2" w:rsidP="000C0813">
      <w:pPr>
        <w:spacing w:after="0" w:line="360" w:lineRule="auto"/>
        <w:jc w:val="both"/>
        <w:rPr>
          <w:rFonts w:ascii="Arabic Transparent" w:hAnsi="Arabic Transparent" w:cs="Arabic Transparent"/>
          <w:sz w:val="28"/>
          <w:szCs w:val="28"/>
          <w:rtl/>
          <w:lang w:val="en-AE" w:bidi="ar-JO"/>
        </w:rPr>
      </w:pPr>
      <w:r>
        <w:rPr>
          <w:rFonts w:ascii="Arabic Transparent" w:hAnsi="Arabic Transparent" w:cs="Arabic Transparent" w:hint="cs"/>
          <w:sz w:val="28"/>
          <w:szCs w:val="28"/>
          <w:rtl/>
          <w:lang w:val="en-AE" w:bidi="ar-JO"/>
        </w:rPr>
        <w:t xml:space="preserve">     </w:t>
      </w:r>
      <w:r w:rsidR="0068674C" w:rsidRPr="00B529EB">
        <w:rPr>
          <w:rFonts w:ascii="Arabic Transparent" w:hAnsi="Arabic Transparent" w:cs="Arabic Transparent" w:hint="cs"/>
          <w:sz w:val="28"/>
          <w:szCs w:val="28"/>
          <w:rtl/>
          <w:lang w:val="en-AE" w:bidi="ar-JO"/>
        </w:rPr>
        <w:t>وكما عرّف</w:t>
      </w:r>
      <w:r w:rsidR="00CB3FA9">
        <w:rPr>
          <w:rFonts w:ascii="Arabic Transparent" w:hAnsi="Arabic Transparent" w:cs="Arabic Transparent" w:hint="cs"/>
          <w:sz w:val="28"/>
          <w:szCs w:val="28"/>
          <w:rtl/>
          <w:lang w:val="en-AE" w:bidi="ar-JO"/>
        </w:rPr>
        <w:t>ه</w:t>
      </w:r>
      <w:r w:rsidR="0068674C" w:rsidRPr="00B529EB">
        <w:rPr>
          <w:rFonts w:ascii="Arabic Transparent" w:hAnsi="Arabic Transparent" w:cs="Arabic Transparent" w:hint="cs"/>
          <w:sz w:val="28"/>
          <w:szCs w:val="28"/>
          <w:rtl/>
          <w:lang w:val="en-AE" w:bidi="ar-JO"/>
        </w:rPr>
        <w:t xml:space="preserve"> ابن تيمية</w:t>
      </w:r>
      <w:r w:rsidR="005A4F31">
        <w:rPr>
          <w:rFonts w:ascii="Arabic Transparent" w:hAnsi="Arabic Transparent" w:cs="Arabic Transparent" w:hint="cs"/>
          <w:sz w:val="28"/>
          <w:szCs w:val="28"/>
          <w:rtl/>
          <w:lang w:val="en-AE" w:bidi="ar-JO"/>
        </w:rPr>
        <w:t>، بقوله</w:t>
      </w:r>
      <w:r w:rsidR="0068674C" w:rsidRPr="00B529EB">
        <w:rPr>
          <w:rFonts w:ascii="Arabic Transparent" w:hAnsi="Arabic Transparent" w:cs="Arabic Transparent" w:hint="cs"/>
          <w:sz w:val="28"/>
          <w:szCs w:val="28"/>
          <w:rtl/>
          <w:lang w:val="en-AE" w:bidi="ar-JO"/>
        </w:rPr>
        <w:t>: "أن ينص الله على تعليق الحكم بمعنى عام كلي فينظر في ثبوته في آحاد الصور"</w:t>
      </w:r>
      <w:r w:rsidR="0068674C" w:rsidRPr="00B529EB">
        <w:rPr>
          <w:rFonts w:ascii="Arabic Transparent" w:hAnsi="Arabic Transparent" w:cs="Arabic Transparent" w:hint="cs"/>
          <w:sz w:val="28"/>
          <w:szCs w:val="28"/>
          <w:vertAlign w:val="superscript"/>
          <w:rtl/>
          <w:lang w:val="en-AE" w:bidi="ar-JO"/>
        </w:rPr>
        <w:t>(</w:t>
      </w:r>
      <w:r w:rsidR="0068674C" w:rsidRPr="00B529EB">
        <w:rPr>
          <w:rStyle w:val="FootnoteReference"/>
          <w:rFonts w:ascii="Arabic Transparent" w:hAnsi="Arabic Transparent" w:cs="Arabic Transparent" w:hint="cs"/>
          <w:sz w:val="28"/>
          <w:szCs w:val="28"/>
          <w:rtl/>
          <w:lang w:val="en-AE" w:bidi="ar-JO"/>
        </w:rPr>
        <w:footnoteReference w:id="41"/>
      </w:r>
      <w:r w:rsidR="0068674C" w:rsidRPr="00B529EB">
        <w:rPr>
          <w:rFonts w:ascii="Arabic Transparent" w:hAnsi="Arabic Transparent" w:cs="Arabic Transparent" w:hint="cs"/>
          <w:sz w:val="28"/>
          <w:szCs w:val="28"/>
          <w:vertAlign w:val="superscript"/>
          <w:rtl/>
          <w:lang w:val="en-AE" w:bidi="ar-JO"/>
        </w:rPr>
        <w:t>)</w:t>
      </w:r>
      <w:r w:rsidR="009C4287">
        <w:rPr>
          <w:rFonts w:ascii="Arabic Transparent" w:hAnsi="Arabic Transparent" w:cs="Arabic Transparent" w:hint="cs"/>
          <w:sz w:val="28"/>
          <w:szCs w:val="28"/>
          <w:rtl/>
          <w:lang w:val="en-AE" w:bidi="ar-JO"/>
        </w:rPr>
        <w:t>.</w:t>
      </w:r>
    </w:p>
    <w:p w14:paraId="28924BCA" w14:textId="7692BF59" w:rsidR="00E07CD8" w:rsidRPr="00B529EB" w:rsidRDefault="000F4DC2" w:rsidP="00E07CD8">
      <w:pPr>
        <w:spacing w:after="0" w:line="360" w:lineRule="auto"/>
        <w:jc w:val="both"/>
        <w:rPr>
          <w:rFonts w:ascii="Arabic Transparent" w:hAnsi="Arabic Transparent" w:cs="Arabic Transparent"/>
          <w:sz w:val="28"/>
          <w:szCs w:val="28"/>
          <w:rtl/>
          <w:lang w:val="en-AE" w:bidi="ar-JO"/>
        </w:rPr>
      </w:pPr>
      <w:r>
        <w:rPr>
          <w:rFonts w:ascii="Arabic Transparent" w:hAnsi="Arabic Transparent" w:cs="Arabic Transparent" w:hint="cs"/>
          <w:sz w:val="28"/>
          <w:szCs w:val="28"/>
          <w:rtl/>
          <w:lang w:val="en-AE" w:bidi="ar-JO"/>
        </w:rPr>
        <w:t xml:space="preserve">     </w:t>
      </w:r>
      <w:r w:rsidR="00E07CD8" w:rsidRPr="00B529EB">
        <w:rPr>
          <w:rFonts w:ascii="Arabic Transparent" w:hAnsi="Arabic Transparent" w:cs="Arabic Transparent" w:hint="cs"/>
          <w:sz w:val="28"/>
          <w:szCs w:val="28"/>
          <w:rtl/>
          <w:lang w:val="en-AE" w:bidi="ar-JO"/>
        </w:rPr>
        <w:t>ومن المعاصرين عرّفه الدريني بقوله: "إثبات مضمون القاعدة العامة</w:t>
      </w:r>
      <w:r w:rsidR="005A4F31">
        <w:rPr>
          <w:rFonts w:ascii="Arabic Transparent" w:hAnsi="Arabic Transparent" w:cs="Arabic Transparent" w:hint="cs"/>
          <w:sz w:val="28"/>
          <w:szCs w:val="28"/>
          <w:rtl/>
          <w:lang w:val="en-AE" w:bidi="ar-JO"/>
        </w:rPr>
        <w:t>،</w:t>
      </w:r>
      <w:r w:rsidR="00E07CD8" w:rsidRPr="00B529EB">
        <w:rPr>
          <w:rFonts w:ascii="Arabic Transparent" w:hAnsi="Arabic Transparent" w:cs="Arabic Transparent" w:hint="cs"/>
          <w:sz w:val="28"/>
          <w:szCs w:val="28"/>
          <w:rtl/>
          <w:lang w:val="en-AE" w:bidi="ar-JO"/>
        </w:rPr>
        <w:t xml:space="preserve"> أو الأصل الكلي</w:t>
      </w:r>
      <w:r w:rsidR="005A4F31">
        <w:rPr>
          <w:rFonts w:ascii="Arabic Transparent" w:hAnsi="Arabic Transparent" w:cs="Arabic Transparent" w:hint="cs"/>
          <w:sz w:val="28"/>
          <w:szCs w:val="28"/>
          <w:rtl/>
          <w:lang w:val="en-AE" w:bidi="ar-JO"/>
        </w:rPr>
        <w:t>،</w:t>
      </w:r>
      <w:r w:rsidR="00E07CD8" w:rsidRPr="00B529EB">
        <w:rPr>
          <w:rFonts w:ascii="Arabic Transparent" w:hAnsi="Arabic Transparent" w:cs="Arabic Transparent" w:hint="cs"/>
          <w:sz w:val="28"/>
          <w:szCs w:val="28"/>
          <w:rtl/>
          <w:lang w:val="en-AE" w:bidi="ar-JO"/>
        </w:rPr>
        <w:t xml:space="preserve"> أو العلة في الجزئيات</w:t>
      </w:r>
      <w:r w:rsidR="005A4F31">
        <w:rPr>
          <w:rFonts w:ascii="Arabic Transparent" w:hAnsi="Arabic Transparent" w:cs="Arabic Transparent" w:hint="cs"/>
          <w:sz w:val="28"/>
          <w:szCs w:val="28"/>
          <w:rtl/>
          <w:lang w:val="en-AE" w:bidi="ar-JO"/>
        </w:rPr>
        <w:t>،</w:t>
      </w:r>
      <w:r w:rsidR="00E07CD8" w:rsidRPr="00B529EB">
        <w:rPr>
          <w:rFonts w:ascii="Arabic Transparent" w:hAnsi="Arabic Transparent" w:cs="Arabic Transparent" w:hint="cs"/>
          <w:sz w:val="28"/>
          <w:szCs w:val="28"/>
          <w:rtl/>
          <w:lang w:val="en-AE" w:bidi="ar-JO"/>
        </w:rPr>
        <w:t xml:space="preserve"> والفروع إبان التطبيق، بشرط أن يكون كل من المضمون</w:t>
      </w:r>
      <w:r w:rsidR="005A4F31">
        <w:rPr>
          <w:rFonts w:ascii="Arabic Transparent" w:hAnsi="Arabic Transparent" w:cs="Arabic Transparent" w:hint="cs"/>
          <w:sz w:val="28"/>
          <w:szCs w:val="28"/>
          <w:rtl/>
          <w:lang w:val="en-AE" w:bidi="ar-JO"/>
        </w:rPr>
        <w:t>،</w:t>
      </w:r>
      <w:r w:rsidR="00E07CD8" w:rsidRPr="00B529EB">
        <w:rPr>
          <w:rFonts w:ascii="Arabic Transparent" w:hAnsi="Arabic Transparent" w:cs="Arabic Transparent" w:hint="cs"/>
          <w:sz w:val="28"/>
          <w:szCs w:val="28"/>
          <w:rtl/>
          <w:lang w:val="en-AE" w:bidi="ar-JO"/>
        </w:rPr>
        <w:t xml:space="preserve"> والعلة متفقا عليه"</w:t>
      </w:r>
      <w:r w:rsidR="00E07CD8" w:rsidRPr="00B529EB">
        <w:rPr>
          <w:rFonts w:ascii="Arabic Transparent" w:hAnsi="Arabic Transparent" w:cs="Arabic Transparent" w:hint="cs"/>
          <w:sz w:val="28"/>
          <w:szCs w:val="28"/>
          <w:vertAlign w:val="superscript"/>
          <w:rtl/>
          <w:lang w:val="en-AE" w:bidi="ar-JO"/>
        </w:rPr>
        <w:t>(</w:t>
      </w:r>
      <w:r w:rsidR="00E07CD8" w:rsidRPr="00B529EB">
        <w:rPr>
          <w:rStyle w:val="FootnoteReference"/>
          <w:rFonts w:ascii="Arabic Transparent" w:hAnsi="Arabic Transparent" w:cs="Arabic Transparent" w:hint="cs"/>
          <w:sz w:val="28"/>
          <w:szCs w:val="28"/>
          <w:rtl/>
          <w:lang w:val="en-AE" w:bidi="ar-JO"/>
        </w:rPr>
        <w:footnoteReference w:id="42"/>
      </w:r>
      <w:r w:rsidR="00E07CD8" w:rsidRPr="00B529EB">
        <w:rPr>
          <w:rFonts w:ascii="Arabic Transparent" w:hAnsi="Arabic Transparent" w:cs="Arabic Transparent" w:hint="cs"/>
          <w:sz w:val="28"/>
          <w:szCs w:val="28"/>
          <w:vertAlign w:val="superscript"/>
          <w:rtl/>
          <w:lang w:val="en-AE" w:bidi="ar-JO"/>
        </w:rPr>
        <w:t>)</w:t>
      </w:r>
      <w:r w:rsidR="00E07CD8" w:rsidRPr="00B529EB">
        <w:rPr>
          <w:rFonts w:ascii="Arabic Transparent" w:hAnsi="Arabic Transparent" w:cs="Arabic Transparent" w:hint="cs"/>
          <w:sz w:val="28"/>
          <w:szCs w:val="28"/>
          <w:rtl/>
          <w:lang w:val="en-AE" w:bidi="ar-JO"/>
        </w:rPr>
        <w:t>.</w:t>
      </w:r>
    </w:p>
    <w:p w14:paraId="0F725888" w14:textId="169DF6AC" w:rsidR="000C0813" w:rsidRPr="00B529EB" w:rsidRDefault="00C04E36" w:rsidP="00E15539">
      <w:pPr>
        <w:spacing w:after="0" w:line="360" w:lineRule="auto"/>
        <w:ind w:firstLine="332"/>
        <w:jc w:val="both"/>
        <w:rPr>
          <w:rFonts w:ascii="Arabic Transparent" w:hAnsi="Arabic Transparent" w:cs="Arabic Transparent"/>
          <w:sz w:val="28"/>
          <w:szCs w:val="28"/>
          <w:rtl/>
          <w:lang w:val="en-AE" w:bidi="ar-JO"/>
        </w:rPr>
      </w:pPr>
      <w:r w:rsidRPr="00B529EB">
        <w:rPr>
          <w:rFonts w:ascii="Arabic Transparent" w:hAnsi="Arabic Transparent" w:cs="Arabic Transparent" w:hint="cs"/>
          <w:sz w:val="28"/>
          <w:szCs w:val="28"/>
          <w:rtl/>
          <w:lang w:val="en-AE" w:bidi="ar-JO"/>
        </w:rPr>
        <w:t xml:space="preserve">وهذه التعريفات </w:t>
      </w:r>
      <w:r w:rsidR="005A4F31">
        <w:rPr>
          <w:rFonts w:ascii="Arabic Transparent" w:hAnsi="Arabic Transparent" w:cs="Arabic Transparent" w:hint="cs"/>
          <w:sz w:val="28"/>
          <w:szCs w:val="28"/>
          <w:rtl/>
          <w:lang w:val="en-AE" w:bidi="ar-JO"/>
        </w:rPr>
        <w:t xml:space="preserve">الأخيرة </w:t>
      </w:r>
      <w:r w:rsidRPr="00B529EB">
        <w:rPr>
          <w:rFonts w:ascii="Arabic Transparent" w:hAnsi="Arabic Transparent" w:cs="Arabic Transparent" w:hint="cs"/>
          <w:sz w:val="28"/>
          <w:szCs w:val="28"/>
          <w:rtl/>
          <w:lang w:val="en-AE" w:bidi="ar-JO"/>
        </w:rPr>
        <w:t xml:space="preserve">أكثر شمولاً من </w:t>
      </w:r>
      <w:r w:rsidR="005A4F31">
        <w:rPr>
          <w:rFonts w:ascii="Arabic Transparent" w:hAnsi="Arabic Transparent" w:cs="Arabic Transparent" w:hint="cs"/>
          <w:sz w:val="28"/>
          <w:szCs w:val="28"/>
          <w:rtl/>
          <w:lang w:val="en-AE" w:bidi="ar-JO"/>
        </w:rPr>
        <w:t>القسم</w:t>
      </w:r>
      <w:r w:rsidRPr="00B529EB">
        <w:rPr>
          <w:rFonts w:ascii="Arabic Transparent" w:hAnsi="Arabic Transparent" w:cs="Arabic Transparent" w:hint="cs"/>
          <w:sz w:val="28"/>
          <w:szCs w:val="28"/>
          <w:rtl/>
          <w:lang w:val="en-AE" w:bidi="ar-JO"/>
        </w:rPr>
        <w:t xml:space="preserve"> الأول</w:t>
      </w:r>
      <w:r w:rsidR="00CB3FA9">
        <w:rPr>
          <w:rFonts w:ascii="Arabic Transparent" w:hAnsi="Arabic Transparent" w:cs="Arabic Transparent" w:hint="cs"/>
          <w:sz w:val="28"/>
          <w:szCs w:val="28"/>
          <w:rtl/>
          <w:lang w:val="en-AE" w:bidi="ar-JO"/>
        </w:rPr>
        <w:t>،</w:t>
      </w:r>
      <w:r w:rsidRPr="00B529EB">
        <w:rPr>
          <w:rFonts w:ascii="Arabic Transparent" w:hAnsi="Arabic Transparent" w:cs="Arabic Transparent" w:hint="cs"/>
          <w:sz w:val="28"/>
          <w:szCs w:val="28"/>
          <w:rtl/>
          <w:lang w:val="en-AE" w:bidi="ar-JO"/>
        </w:rPr>
        <w:t xml:space="preserve"> </w:t>
      </w:r>
      <w:r w:rsidR="00DF2979">
        <w:rPr>
          <w:rFonts w:ascii="Arabic Transparent" w:hAnsi="Arabic Transparent" w:cs="Arabic Transparent" w:hint="cs"/>
          <w:sz w:val="28"/>
          <w:szCs w:val="28"/>
          <w:rtl/>
          <w:lang w:val="en-AE" w:bidi="ar-JO"/>
        </w:rPr>
        <w:t>حيث إنَّ</w:t>
      </w:r>
      <w:r w:rsidR="003201E8" w:rsidRPr="00B529EB">
        <w:rPr>
          <w:rFonts w:ascii="Arabic Transparent" w:hAnsi="Arabic Transparent" w:cs="Arabic Transparent" w:hint="cs"/>
          <w:sz w:val="28"/>
          <w:szCs w:val="28"/>
          <w:rtl/>
          <w:lang w:val="en-AE" w:bidi="ar-JO"/>
        </w:rPr>
        <w:t xml:space="preserve"> لكل تحقيق مناط مقدمتين الأولى: تتعلق باستنباط الحكم من دليله الشرعي</w:t>
      </w:r>
      <w:r w:rsidR="00CB3FA9">
        <w:rPr>
          <w:rFonts w:ascii="Arabic Transparent" w:hAnsi="Arabic Transparent" w:cs="Arabic Transparent" w:hint="cs"/>
          <w:sz w:val="28"/>
          <w:szCs w:val="28"/>
          <w:rtl/>
          <w:lang w:val="en-AE" w:bidi="ar-JO"/>
        </w:rPr>
        <w:t>،</w:t>
      </w:r>
      <w:r w:rsidR="003201E8" w:rsidRPr="00B529EB">
        <w:rPr>
          <w:rFonts w:ascii="Arabic Transparent" w:hAnsi="Arabic Transparent" w:cs="Arabic Transparent" w:hint="cs"/>
          <w:sz w:val="28"/>
          <w:szCs w:val="28"/>
          <w:rtl/>
          <w:lang w:val="en-AE" w:bidi="ar-JO"/>
        </w:rPr>
        <w:t xml:space="preserve"> والثانية تتعلق بتعيين محل الحكم أي تطبيقه على الوقائع الجزئيات التي يشملها الحكم.</w:t>
      </w:r>
    </w:p>
    <w:p w14:paraId="30BB0C35" w14:textId="6BF93A52" w:rsidR="0068674C" w:rsidRPr="00B529EB" w:rsidRDefault="003201E8" w:rsidP="00E15539">
      <w:pPr>
        <w:spacing w:after="0" w:line="360" w:lineRule="auto"/>
        <w:ind w:firstLine="332"/>
        <w:jc w:val="both"/>
        <w:rPr>
          <w:rFonts w:ascii="Arabic Transparent" w:hAnsi="Arabic Transparent" w:cs="Arabic Transparent"/>
          <w:sz w:val="28"/>
          <w:szCs w:val="28"/>
          <w:rtl/>
          <w:lang w:val="en-AE" w:bidi="ar-JO"/>
        </w:rPr>
      </w:pPr>
      <w:r w:rsidRPr="00B529EB">
        <w:rPr>
          <w:rFonts w:ascii="Arabic Transparent" w:hAnsi="Arabic Transparent" w:cs="Arabic Transparent" w:hint="cs"/>
          <w:sz w:val="28"/>
          <w:szCs w:val="28"/>
          <w:rtl/>
          <w:lang w:val="en-AE" w:bidi="ar-JO"/>
        </w:rPr>
        <w:t>فالمقدمة الأولى</w:t>
      </w:r>
      <w:r w:rsidR="005A4F31">
        <w:rPr>
          <w:rFonts w:ascii="Arabic Transparent" w:hAnsi="Arabic Transparent" w:cs="Arabic Transparent" w:hint="cs"/>
          <w:sz w:val="28"/>
          <w:szCs w:val="28"/>
          <w:rtl/>
          <w:lang w:val="en-AE" w:bidi="ar-JO"/>
        </w:rPr>
        <w:t>،</w:t>
      </w:r>
      <w:r w:rsidRPr="00B529EB">
        <w:rPr>
          <w:rFonts w:ascii="Arabic Transparent" w:hAnsi="Arabic Transparent" w:cs="Arabic Transparent" w:hint="cs"/>
          <w:sz w:val="28"/>
          <w:szCs w:val="28"/>
          <w:rtl/>
          <w:lang w:val="en-AE" w:bidi="ar-JO"/>
        </w:rPr>
        <w:t xml:space="preserve"> </w:t>
      </w:r>
      <w:r w:rsidR="0048328B">
        <w:rPr>
          <w:rFonts w:ascii="Arabic Transparent" w:hAnsi="Arabic Transparent" w:cs="Arabic Transparent" w:hint="cs"/>
          <w:sz w:val="28"/>
          <w:szCs w:val="28"/>
          <w:rtl/>
          <w:lang w:val="en-AE" w:bidi="ar-JO"/>
        </w:rPr>
        <w:t>تشمل</w:t>
      </w:r>
      <w:r w:rsidRPr="00B529EB">
        <w:rPr>
          <w:rFonts w:ascii="Arabic Transparent" w:hAnsi="Arabic Transparent" w:cs="Arabic Transparent" w:hint="cs"/>
          <w:sz w:val="28"/>
          <w:szCs w:val="28"/>
          <w:rtl/>
          <w:lang w:val="en-AE" w:bidi="ar-JO"/>
        </w:rPr>
        <w:t xml:space="preserve"> كل دليل شرعي سواء </w:t>
      </w:r>
      <w:r w:rsidR="005A4F31">
        <w:rPr>
          <w:rFonts w:ascii="Arabic Transparent" w:hAnsi="Arabic Transparent" w:cs="Arabic Transparent" w:hint="cs"/>
          <w:sz w:val="28"/>
          <w:szCs w:val="28"/>
          <w:rtl/>
          <w:lang w:val="en-AE" w:bidi="ar-JO"/>
        </w:rPr>
        <w:t xml:space="preserve">أكان </w:t>
      </w:r>
      <w:r w:rsidRPr="00B529EB">
        <w:rPr>
          <w:rFonts w:ascii="Arabic Transparent" w:hAnsi="Arabic Transparent" w:cs="Arabic Transparent" w:hint="cs"/>
          <w:sz w:val="28"/>
          <w:szCs w:val="28"/>
          <w:rtl/>
          <w:lang w:val="en-AE" w:bidi="ar-JO"/>
        </w:rPr>
        <w:t>نص</w:t>
      </w:r>
      <w:r w:rsidR="005A4F31">
        <w:rPr>
          <w:rFonts w:ascii="Arabic Transparent" w:hAnsi="Arabic Transparent" w:cs="Arabic Transparent" w:hint="cs"/>
          <w:sz w:val="28"/>
          <w:szCs w:val="28"/>
          <w:rtl/>
          <w:lang w:val="en-AE" w:bidi="ar-JO"/>
        </w:rPr>
        <w:t>اً،</w:t>
      </w:r>
      <w:r w:rsidRPr="00B529EB">
        <w:rPr>
          <w:rFonts w:ascii="Arabic Transparent" w:hAnsi="Arabic Transparent" w:cs="Arabic Transparent" w:hint="cs"/>
          <w:sz w:val="28"/>
          <w:szCs w:val="28"/>
          <w:rtl/>
          <w:lang w:val="en-AE" w:bidi="ar-JO"/>
        </w:rPr>
        <w:t xml:space="preserve"> أو إجماع</w:t>
      </w:r>
      <w:r w:rsidR="005A4F31">
        <w:rPr>
          <w:rFonts w:ascii="Arabic Transparent" w:hAnsi="Arabic Transparent" w:cs="Arabic Transparent" w:hint="cs"/>
          <w:sz w:val="28"/>
          <w:szCs w:val="28"/>
          <w:rtl/>
          <w:lang w:val="en-AE" w:bidi="ar-JO"/>
        </w:rPr>
        <w:t>اً</w:t>
      </w:r>
      <w:r w:rsidR="000F026C">
        <w:rPr>
          <w:rFonts w:ascii="Arabic Transparent" w:hAnsi="Arabic Transparent" w:cs="Arabic Transparent" w:hint="cs"/>
          <w:sz w:val="28"/>
          <w:szCs w:val="28"/>
          <w:rtl/>
          <w:lang w:val="en-AE" w:bidi="ar-JO"/>
        </w:rPr>
        <w:t xml:space="preserve">، </w:t>
      </w:r>
      <w:r w:rsidRPr="00B529EB">
        <w:rPr>
          <w:rFonts w:ascii="Arabic Transparent" w:hAnsi="Arabic Transparent" w:cs="Arabic Transparent" w:hint="cs"/>
          <w:sz w:val="28"/>
          <w:szCs w:val="28"/>
          <w:rtl/>
          <w:lang w:val="en-AE" w:bidi="ar-JO"/>
        </w:rPr>
        <w:t>أو استنباط</w:t>
      </w:r>
      <w:r w:rsidR="005A4F31">
        <w:rPr>
          <w:rFonts w:ascii="Arabic Transparent" w:hAnsi="Arabic Transparent" w:cs="Arabic Transparent" w:hint="cs"/>
          <w:sz w:val="28"/>
          <w:szCs w:val="28"/>
          <w:rtl/>
          <w:lang w:val="en-AE" w:bidi="ar-JO"/>
        </w:rPr>
        <w:t>اً،</w:t>
      </w:r>
      <w:r w:rsidRPr="00B529EB">
        <w:rPr>
          <w:rFonts w:ascii="Arabic Transparent" w:hAnsi="Arabic Transparent" w:cs="Arabic Transparent" w:hint="cs"/>
          <w:sz w:val="28"/>
          <w:szCs w:val="28"/>
          <w:rtl/>
          <w:lang w:val="en-AE" w:bidi="ar-JO"/>
        </w:rPr>
        <w:t xml:space="preserve"> والمقدمة الثانية تشمل ما عُلِّق به الحكم سواء أكان </w:t>
      </w:r>
      <w:r w:rsidR="005944F3" w:rsidRPr="00B529EB">
        <w:rPr>
          <w:rFonts w:ascii="Arabic Transparent" w:hAnsi="Arabic Transparent" w:cs="Arabic Transparent" w:hint="cs"/>
          <w:sz w:val="28"/>
          <w:szCs w:val="28"/>
          <w:rtl/>
          <w:lang w:val="en-AE" w:bidi="ar-JO"/>
        </w:rPr>
        <w:t>علة</w:t>
      </w:r>
      <w:r w:rsidR="005A4F31">
        <w:rPr>
          <w:rFonts w:ascii="Arabic Transparent" w:hAnsi="Arabic Transparent" w:cs="Arabic Transparent" w:hint="cs"/>
          <w:sz w:val="28"/>
          <w:szCs w:val="28"/>
          <w:rtl/>
          <w:lang w:val="en-AE" w:bidi="ar-JO"/>
        </w:rPr>
        <w:t>ً</w:t>
      </w:r>
      <w:r w:rsidR="005944F3" w:rsidRPr="00B529EB">
        <w:rPr>
          <w:rFonts w:ascii="Arabic Transparent" w:hAnsi="Arabic Transparent" w:cs="Arabic Transparent" w:hint="eastAsia"/>
          <w:sz w:val="28"/>
          <w:szCs w:val="28"/>
          <w:rtl/>
          <w:lang w:val="en-AE" w:bidi="ar-JO"/>
        </w:rPr>
        <w:t>،</w:t>
      </w:r>
      <w:r w:rsidRPr="00B529EB">
        <w:rPr>
          <w:rFonts w:ascii="Arabic Transparent" w:hAnsi="Arabic Transparent" w:cs="Arabic Transparent" w:hint="cs"/>
          <w:sz w:val="28"/>
          <w:szCs w:val="28"/>
          <w:rtl/>
          <w:lang w:val="en-AE" w:bidi="ar-JO"/>
        </w:rPr>
        <w:t xml:space="preserve"> أو </w:t>
      </w:r>
      <w:r w:rsidR="00DD514C" w:rsidRPr="00B529EB">
        <w:rPr>
          <w:rFonts w:ascii="Arabic Transparent" w:hAnsi="Arabic Transparent" w:cs="Arabic Transparent" w:hint="cs"/>
          <w:sz w:val="28"/>
          <w:szCs w:val="28"/>
          <w:rtl/>
          <w:lang w:val="en-AE" w:bidi="ar-JO"/>
        </w:rPr>
        <w:t>قاعدة</w:t>
      </w:r>
      <w:r w:rsidR="005A4F31">
        <w:rPr>
          <w:rFonts w:ascii="Arabic Transparent" w:hAnsi="Arabic Transparent" w:cs="Arabic Transparent" w:hint="cs"/>
          <w:sz w:val="28"/>
          <w:szCs w:val="28"/>
          <w:rtl/>
          <w:lang w:val="en-AE" w:bidi="ar-JO"/>
        </w:rPr>
        <w:t>ً</w:t>
      </w:r>
      <w:r w:rsidR="00DD514C" w:rsidRPr="00B529EB">
        <w:rPr>
          <w:rFonts w:ascii="Arabic Transparent" w:hAnsi="Arabic Transparent" w:cs="Arabic Transparent" w:hint="cs"/>
          <w:sz w:val="28"/>
          <w:szCs w:val="28"/>
          <w:rtl/>
          <w:lang w:val="en-AE" w:bidi="ar-JO"/>
        </w:rPr>
        <w:t xml:space="preserve"> عامة</w:t>
      </w:r>
      <w:r w:rsidR="005A4F31">
        <w:rPr>
          <w:rFonts w:ascii="Arabic Transparent" w:hAnsi="Arabic Transparent" w:cs="Arabic Transparent" w:hint="cs"/>
          <w:sz w:val="28"/>
          <w:szCs w:val="28"/>
          <w:rtl/>
          <w:lang w:val="en-AE" w:bidi="ar-JO"/>
        </w:rPr>
        <w:t>ً</w:t>
      </w:r>
      <w:r w:rsidR="00DD514C" w:rsidRPr="00B529EB">
        <w:rPr>
          <w:rFonts w:ascii="Arabic Transparent" w:hAnsi="Arabic Transparent" w:cs="Arabic Transparent" w:hint="eastAsia"/>
          <w:sz w:val="28"/>
          <w:szCs w:val="28"/>
          <w:rtl/>
          <w:lang w:val="en-AE" w:bidi="ar-JO"/>
        </w:rPr>
        <w:t>،</w:t>
      </w:r>
      <w:r w:rsidR="00DD514C">
        <w:rPr>
          <w:rFonts w:ascii="Arabic Transparent" w:hAnsi="Arabic Transparent" w:cs="Arabic Transparent" w:hint="cs"/>
          <w:sz w:val="28"/>
          <w:szCs w:val="28"/>
          <w:rtl/>
          <w:lang w:val="en-AE" w:bidi="ar-JO"/>
        </w:rPr>
        <w:t xml:space="preserve"> </w:t>
      </w:r>
      <w:r w:rsidRPr="00B529EB">
        <w:rPr>
          <w:rFonts w:ascii="Arabic Transparent" w:hAnsi="Arabic Transparent" w:cs="Arabic Transparent" w:hint="cs"/>
          <w:sz w:val="28"/>
          <w:szCs w:val="28"/>
          <w:rtl/>
          <w:lang w:val="en-AE" w:bidi="ar-JO"/>
        </w:rPr>
        <w:t xml:space="preserve">أو </w:t>
      </w:r>
      <w:r w:rsidR="00CB3FA9" w:rsidRPr="00B529EB">
        <w:rPr>
          <w:rFonts w:ascii="Arabic Transparent" w:hAnsi="Arabic Transparent" w:cs="Arabic Transparent" w:hint="cs"/>
          <w:sz w:val="28"/>
          <w:szCs w:val="28"/>
          <w:rtl/>
          <w:lang w:val="en-AE" w:bidi="ar-JO"/>
        </w:rPr>
        <w:t>معن</w:t>
      </w:r>
      <w:r w:rsidR="005A4F31">
        <w:rPr>
          <w:rFonts w:ascii="Arabic Transparent" w:hAnsi="Arabic Transparent" w:cs="Arabic Transparent" w:hint="cs"/>
          <w:sz w:val="28"/>
          <w:szCs w:val="28"/>
          <w:rtl/>
          <w:lang w:val="en-AE" w:bidi="ar-JO"/>
        </w:rPr>
        <w:t>ً</w:t>
      </w:r>
      <w:r w:rsidR="00CB3FA9" w:rsidRPr="00B529EB">
        <w:rPr>
          <w:rFonts w:ascii="Arabic Transparent" w:hAnsi="Arabic Transparent" w:cs="Arabic Transparent" w:hint="cs"/>
          <w:sz w:val="28"/>
          <w:szCs w:val="28"/>
          <w:rtl/>
          <w:lang w:val="en-AE" w:bidi="ar-JO"/>
        </w:rPr>
        <w:t>ى عام</w:t>
      </w:r>
      <w:r w:rsidR="005A4F31">
        <w:rPr>
          <w:rFonts w:ascii="Arabic Transparent" w:hAnsi="Arabic Transparent" w:cs="Arabic Transparent" w:hint="cs"/>
          <w:sz w:val="28"/>
          <w:szCs w:val="28"/>
          <w:rtl/>
          <w:lang w:val="en-AE" w:bidi="ar-JO"/>
        </w:rPr>
        <w:t>اً</w:t>
      </w:r>
      <w:r w:rsidR="00CB3FA9" w:rsidRPr="00B529EB">
        <w:rPr>
          <w:rFonts w:ascii="Arabic Transparent" w:hAnsi="Arabic Transparent" w:cs="Arabic Transparent" w:hint="cs"/>
          <w:sz w:val="28"/>
          <w:szCs w:val="28"/>
          <w:rtl/>
          <w:lang w:val="en-AE" w:bidi="ar-JO"/>
        </w:rPr>
        <w:t xml:space="preserve"> كلياً</w:t>
      </w:r>
      <w:r w:rsidR="00CB3FA9" w:rsidRPr="00B529EB">
        <w:rPr>
          <w:rFonts w:ascii="Arabic Transparent" w:hAnsi="Arabic Transparent" w:cs="Arabic Transparent" w:hint="eastAsia"/>
          <w:sz w:val="28"/>
          <w:szCs w:val="28"/>
          <w:rtl/>
          <w:lang w:val="en-AE" w:bidi="ar-JO"/>
        </w:rPr>
        <w:t>،</w:t>
      </w:r>
      <w:r w:rsidR="00CB3FA9">
        <w:rPr>
          <w:rFonts w:ascii="Arabic Transparent" w:hAnsi="Arabic Transparent" w:cs="Arabic Transparent" w:hint="cs"/>
          <w:sz w:val="28"/>
          <w:szCs w:val="28"/>
          <w:rtl/>
          <w:lang w:val="en-AE" w:bidi="ar-JO"/>
        </w:rPr>
        <w:t xml:space="preserve"> </w:t>
      </w:r>
      <w:r w:rsidRPr="00B529EB">
        <w:rPr>
          <w:rFonts w:ascii="Arabic Transparent" w:hAnsi="Arabic Transparent" w:cs="Arabic Transparent" w:hint="cs"/>
          <w:sz w:val="28"/>
          <w:szCs w:val="28"/>
          <w:rtl/>
          <w:lang w:val="en-AE" w:bidi="ar-JO"/>
        </w:rPr>
        <w:t>أو جزئيا</w:t>
      </w:r>
      <w:r w:rsidR="005A4F31">
        <w:rPr>
          <w:rFonts w:ascii="Arabic Transparent" w:hAnsi="Arabic Transparent" w:cs="Arabic Transparent" w:hint="cs"/>
          <w:sz w:val="28"/>
          <w:szCs w:val="28"/>
          <w:rtl/>
          <w:lang w:val="en-AE" w:bidi="ar-JO"/>
        </w:rPr>
        <w:t>ً</w:t>
      </w:r>
      <w:r w:rsidRPr="00B529EB">
        <w:rPr>
          <w:rFonts w:ascii="Arabic Transparent" w:hAnsi="Arabic Transparent" w:cs="Arabic Transparent" w:hint="cs"/>
          <w:sz w:val="28"/>
          <w:szCs w:val="28"/>
          <w:rtl/>
          <w:lang w:val="en-AE" w:bidi="ar-JO"/>
        </w:rPr>
        <w:t xml:space="preserve"> ثبت بالنصِّ</w:t>
      </w:r>
      <w:r w:rsidR="00CB3FA9">
        <w:rPr>
          <w:rFonts w:ascii="Arabic Transparent" w:hAnsi="Arabic Transparent" w:cs="Arabic Transparent" w:hint="cs"/>
          <w:sz w:val="28"/>
          <w:szCs w:val="28"/>
          <w:rtl/>
          <w:lang w:val="en-AE" w:bidi="ar-JO"/>
        </w:rPr>
        <w:t>،</w:t>
      </w:r>
      <w:r w:rsidRPr="00B529EB">
        <w:rPr>
          <w:rFonts w:ascii="Arabic Transparent" w:hAnsi="Arabic Transparent" w:cs="Arabic Transparent" w:hint="cs"/>
          <w:sz w:val="28"/>
          <w:szCs w:val="28"/>
          <w:rtl/>
          <w:lang w:val="en-AE" w:bidi="ar-JO"/>
        </w:rPr>
        <w:t xml:space="preserve"> أو الإجماعِ</w:t>
      </w:r>
      <w:r w:rsidR="00CB3FA9">
        <w:rPr>
          <w:rFonts w:ascii="Arabic Transparent" w:hAnsi="Arabic Transparent" w:cs="Arabic Transparent" w:hint="cs"/>
          <w:sz w:val="28"/>
          <w:szCs w:val="28"/>
          <w:rtl/>
          <w:lang w:val="en-AE" w:bidi="ar-JO"/>
        </w:rPr>
        <w:t>،</w:t>
      </w:r>
      <w:r w:rsidRPr="00B529EB">
        <w:rPr>
          <w:rFonts w:ascii="Arabic Transparent" w:hAnsi="Arabic Transparent" w:cs="Arabic Transparent" w:hint="cs"/>
          <w:sz w:val="28"/>
          <w:szCs w:val="28"/>
          <w:rtl/>
          <w:lang w:val="en-AE" w:bidi="ar-JO"/>
        </w:rPr>
        <w:t xml:space="preserve"> أو الاستقراءِ</w:t>
      </w:r>
      <w:r w:rsidR="004D7C4B" w:rsidRPr="00B529EB">
        <w:rPr>
          <w:rFonts w:ascii="Arabic Transparent" w:hAnsi="Arabic Transparent" w:cs="Arabic Transparent" w:hint="cs"/>
          <w:sz w:val="28"/>
          <w:szCs w:val="28"/>
          <w:vertAlign w:val="superscript"/>
          <w:rtl/>
          <w:lang w:val="en-AE" w:bidi="ar-JO"/>
        </w:rPr>
        <w:t>(</w:t>
      </w:r>
      <w:r w:rsidR="004D7C4B" w:rsidRPr="00B529EB">
        <w:rPr>
          <w:rStyle w:val="FootnoteReference"/>
          <w:rFonts w:ascii="Arabic Transparent" w:hAnsi="Arabic Transparent" w:cs="Arabic Transparent" w:hint="cs"/>
          <w:sz w:val="28"/>
          <w:szCs w:val="28"/>
          <w:rtl/>
          <w:lang w:val="en-AE" w:bidi="ar-JO"/>
        </w:rPr>
        <w:footnoteReference w:id="43"/>
      </w:r>
      <w:r w:rsidR="004D7C4B" w:rsidRPr="00B529EB">
        <w:rPr>
          <w:rFonts w:ascii="Arabic Transparent" w:hAnsi="Arabic Transparent" w:cs="Arabic Transparent" w:hint="cs"/>
          <w:sz w:val="28"/>
          <w:szCs w:val="28"/>
          <w:vertAlign w:val="superscript"/>
          <w:rtl/>
          <w:lang w:val="en-AE" w:bidi="ar-JO"/>
        </w:rPr>
        <w:t>)</w:t>
      </w:r>
      <w:r w:rsidRPr="00B529EB">
        <w:rPr>
          <w:rFonts w:ascii="Arabic Transparent" w:hAnsi="Arabic Transparent" w:cs="Arabic Transparent" w:hint="cs"/>
          <w:sz w:val="28"/>
          <w:szCs w:val="28"/>
          <w:rtl/>
          <w:lang w:val="en-AE" w:bidi="ar-JO"/>
        </w:rPr>
        <w:t>.</w:t>
      </w:r>
    </w:p>
    <w:p w14:paraId="12D02CF1" w14:textId="33FAF8CC" w:rsidR="003201E8" w:rsidRPr="00B529EB" w:rsidRDefault="003201E8" w:rsidP="00E15539">
      <w:pPr>
        <w:spacing w:after="0" w:line="360" w:lineRule="auto"/>
        <w:ind w:firstLine="332"/>
        <w:jc w:val="both"/>
        <w:rPr>
          <w:rFonts w:ascii="Arabic Transparent" w:hAnsi="Arabic Transparent" w:cs="Arabic Transparent"/>
          <w:sz w:val="28"/>
          <w:szCs w:val="28"/>
          <w:rtl/>
          <w:lang w:val="en-AE" w:bidi="ar-JO"/>
        </w:rPr>
      </w:pPr>
      <w:r w:rsidRPr="00B529EB">
        <w:rPr>
          <w:rFonts w:ascii="Arabic Transparent" w:hAnsi="Arabic Transparent" w:cs="Arabic Transparent" w:hint="cs"/>
          <w:sz w:val="28"/>
          <w:szCs w:val="28"/>
          <w:rtl/>
          <w:lang w:val="en-AE" w:bidi="ar-JO"/>
        </w:rPr>
        <w:t xml:space="preserve">ومن خلال التأمل في التعريفات السابقة </w:t>
      </w:r>
      <w:r w:rsidR="00C91C62">
        <w:rPr>
          <w:rFonts w:ascii="Arabic Transparent" w:hAnsi="Arabic Transparent" w:cs="Arabic Transparent" w:hint="cs"/>
          <w:sz w:val="28"/>
          <w:szCs w:val="28"/>
          <w:rtl/>
          <w:lang w:val="en-AE" w:bidi="ar-JO"/>
        </w:rPr>
        <w:t>يرى</w:t>
      </w:r>
      <w:r w:rsidR="005A4F31">
        <w:rPr>
          <w:rFonts w:ascii="Arabic Transparent" w:hAnsi="Arabic Transparent" w:cs="Arabic Transparent" w:hint="cs"/>
          <w:sz w:val="28"/>
          <w:szCs w:val="28"/>
          <w:rtl/>
          <w:lang w:val="en-AE" w:bidi="ar-JO"/>
        </w:rPr>
        <w:t xml:space="preserve"> </w:t>
      </w:r>
      <w:r w:rsidR="001E55BD" w:rsidRPr="00B529EB">
        <w:rPr>
          <w:rFonts w:ascii="Arabic Transparent" w:hAnsi="Arabic Transparent" w:cs="Arabic Transparent" w:hint="cs"/>
          <w:sz w:val="28"/>
          <w:szCs w:val="28"/>
          <w:rtl/>
          <w:lang w:val="en-AE" w:bidi="ar-JO"/>
        </w:rPr>
        <w:t xml:space="preserve">الباحث أن تحقيق المناط يعني: </w:t>
      </w:r>
      <w:r w:rsidR="0079474A" w:rsidRPr="00B529EB">
        <w:rPr>
          <w:rFonts w:ascii="Arabic Transparent" w:hAnsi="Arabic Transparent" w:cs="Arabic Transparent" w:hint="cs"/>
          <w:sz w:val="28"/>
          <w:szCs w:val="28"/>
          <w:rtl/>
          <w:lang w:val="en-AE" w:bidi="ar-JO"/>
        </w:rPr>
        <w:t>إثبات ما عُلِّق به الحكم الشرعي من وصفٍ مؤثرٍ عند تطبيقه على بعض أفراده</w:t>
      </w:r>
      <w:r w:rsidR="000F6612" w:rsidRPr="00B529EB">
        <w:rPr>
          <w:rFonts w:ascii="Arabic Transparent" w:hAnsi="Arabic Transparent" w:cs="Arabic Transparent" w:hint="cs"/>
          <w:sz w:val="28"/>
          <w:szCs w:val="28"/>
          <w:rtl/>
          <w:lang w:val="en-AE" w:bidi="ar-JO"/>
        </w:rPr>
        <w:t>.</w:t>
      </w:r>
    </w:p>
    <w:p w14:paraId="363CBAEE" w14:textId="77777777" w:rsidR="001D6980" w:rsidRDefault="00E7783E" w:rsidP="00B74950">
      <w:pPr>
        <w:spacing w:after="0" w:line="360" w:lineRule="auto"/>
        <w:ind w:firstLine="332"/>
        <w:jc w:val="both"/>
        <w:rPr>
          <w:rFonts w:ascii="Arabic Transparent" w:hAnsi="Arabic Transparent" w:cs="Arabic Transparent"/>
          <w:sz w:val="28"/>
          <w:szCs w:val="28"/>
          <w:rtl/>
          <w:lang w:val="en-AE" w:bidi="ar-JO"/>
        </w:rPr>
      </w:pPr>
      <w:r>
        <w:rPr>
          <w:rFonts w:ascii="Arabic Transparent" w:hAnsi="Arabic Transparent" w:cs="Arabic Transparent" w:hint="cs"/>
          <w:sz w:val="28"/>
          <w:szCs w:val="28"/>
          <w:rtl/>
          <w:lang w:val="en-AE" w:bidi="ar-JO"/>
        </w:rPr>
        <w:lastRenderedPageBreak/>
        <w:t xml:space="preserve">بعد أن </w:t>
      </w:r>
      <w:r w:rsidR="00A942CF" w:rsidRPr="00B529EB">
        <w:rPr>
          <w:rFonts w:ascii="Arabic Transparent" w:hAnsi="Arabic Transparent" w:cs="Arabic Transparent" w:hint="cs"/>
          <w:sz w:val="28"/>
          <w:szCs w:val="28"/>
          <w:rtl/>
          <w:lang w:val="en-AE" w:bidi="ar-JO"/>
        </w:rPr>
        <w:t xml:space="preserve">تعرفنا </w:t>
      </w:r>
      <w:r w:rsidR="004D7C4B" w:rsidRPr="00B529EB">
        <w:rPr>
          <w:rFonts w:ascii="Arabic Transparent" w:hAnsi="Arabic Transparent" w:cs="Arabic Transparent" w:hint="cs"/>
          <w:sz w:val="28"/>
          <w:szCs w:val="28"/>
          <w:rtl/>
          <w:lang w:val="en-AE" w:bidi="ar-JO"/>
        </w:rPr>
        <w:t>على مفهوم تحقيق المناط عند الأصوليين</w:t>
      </w:r>
      <w:r w:rsidR="00B2690C">
        <w:rPr>
          <w:rFonts w:ascii="Arabic Transparent" w:hAnsi="Arabic Transparent" w:cs="Arabic Transparent" w:hint="cs"/>
          <w:sz w:val="28"/>
          <w:szCs w:val="28"/>
          <w:rtl/>
          <w:lang w:val="en-AE" w:bidi="ar-JO"/>
        </w:rPr>
        <w:t>،</w:t>
      </w:r>
      <w:r w:rsidR="004D7C4B" w:rsidRPr="00B529EB">
        <w:rPr>
          <w:rFonts w:ascii="Arabic Transparent" w:hAnsi="Arabic Transparent" w:cs="Arabic Transparent" w:hint="cs"/>
          <w:sz w:val="28"/>
          <w:szCs w:val="28"/>
          <w:rtl/>
          <w:lang w:val="en-AE" w:bidi="ar-JO"/>
        </w:rPr>
        <w:t xml:space="preserve"> </w:t>
      </w:r>
      <w:r w:rsidR="00DF2979">
        <w:rPr>
          <w:rFonts w:ascii="Arabic Transparent" w:hAnsi="Arabic Transparent" w:cs="Arabic Transparent" w:hint="cs"/>
          <w:sz w:val="28"/>
          <w:szCs w:val="28"/>
          <w:rtl/>
          <w:lang w:val="en-AE" w:bidi="ar-JO"/>
        </w:rPr>
        <w:t>نخلص أن من</w:t>
      </w:r>
      <w:r w:rsidR="004D7C4B" w:rsidRPr="00B529EB">
        <w:rPr>
          <w:rFonts w:ascii="Arabic Transparent" w:hAnsi="Arabic Transparent" w:cs="Arabic Transparent" w:hint="cs"/>
          <w:sz w:val="28"/>
          <w:szCs w:val="28"/>
          <w:rtl/>
          <w:lang w:val="en-AE" w:bidi="ar-JO"/>
        </w:rPr>
        <w:t xml:space="preserve"> عرّف تحقيق المناط عموماً الشاطبي</w:t>
      </w:r>
      <w:r w:rsidR="00B2690C">
        <w:rPr>
          <w:rFonts w:ascii="Arabic Transparent" w:hAnsi="Arabic Transparent" w:cs="Arabic Transparent" w:hint="cs"/>
          <w:sz w:val="28"/>
          <w:szCs w:val="28"/>
          <w:rtl/>
          <w:lang w:val="en-AE" w:bidi="ar-JO"/>
        </w:rPr>
        <w:t>،</w:t>
      </w:r>
      <w:r w:rsidR="004D7C4B" w:rsidRPr="00B529EB">
        <w:rPr>
          <w:rFonts w:ascii="Arabic Transparent" w:hAnsi="Arabic Transparent" w:cs="Arabic Transparent" w:hint="cs"/>
          <w:sz w:val="28"/>
          <w:szCs w:val="28"/>
          <w:rtl/>
          <w:lang w:val="en-AE" w:bidi="ar-JO"/>
        </w:rPr>
        <w:t xml:space="preserve"> وابن تيمية، </w:t>
      </w:r>
      <w:r w:rsidR="00DF2979">
        <w:rPr>
          <w:rFonts w:ascii="Arabic Transparent" w:hAnsi="Arabic Transparent" w:cs="Arabic Transparent" w:hint="cs"/>
          <w:sz w:val="28"/>
          <w:szCs w:val="28"/>
          <w:rtl/>
          <w:lang w:val="en-AE" w:bidi="ar-JO"/>
        </w:rPr>
        <w:t>و</w:t>
      </w:r>
      <w:r w:rsidR="00A942CF" w:rsidRPr="00B529EB">
        <w:rPr>
          <w:rFonts w:ascii="Arabic Transparent" w:hAnsi="Arabic Transparent" w:cs="Arabic Transparent" w:hint="cs"/>
          <w:sz w:val="28"/>
          <w:szCs w:val="28"/>
          <w:rtl/>
          <w:lang w:val="en-AE" w:bidi="ar-JO"/>
        </w:rPr>
        <w:t>من قسم المناط إلى عام وخاص</w:t>
      </w:r>
      <w:r w:rsidR="00B2690C">
        <w:rPr>
          <w:rFonts w:ascii="Arabic Transparent" w:hAnsi="Arabic Transparent" w:cs="Arabic Transparent" w:hint="cs"/>
          <w:sz w:val="28"/>
          <w:szCs w:val="28"/>
          <w:rtl/>
          <w:lang w:val="en-AE" w:bidi="ar-JO"/>
        </w:rPr>
        <w:t>،</w:t>
      </w:r>
      <w:r w:rsidR="00A942CF" w:rsidRPr="00B529EB">
        <w:rPr>
          <w:rFonts w:ascii="Arabic Transparent" w:hAnsi="Arabic Transparent" w:cs="Arabic Transparent" w:hint="cs"/>
          <w:sz w:val="28"/>
          <w:szCs w:val="28"/>
          <w:rtl/>
          <w:lang w:val="en-AE" w:bidi="ar-JO"/>
        </w:rPr>
        <w:t xml:space="preserve"> </w:t>
      </w:r>
      <w:r w:rsidR="00305834">
        <w:rPr>
          <w:rFonts w:ascii="Arabic Transparent" w:hAnsi="Arabic Transparent" w:cs="Arabic Transparent" w:hint="cs"/>
          <w:sz w:val="28"/>
          <w:szCs w:val="28"/>
          <w:rtl/>
          <w:lang w:val="en-AE" w:bidi="ar-JO"/>
        </w:rPr>
        <w:t>ا</w:t>
      </w:r>
      <w:r w:rsidR="00A942CF" w:rsidRPr="00B529EB">
        <w:rPr>
          <w:rFonts w:ascii="Arabic Transparent" w:hAnsi="Arabic Transparent" w:cs="Arabic Transparent" w:hint="cs"/>
          <w:sz w:val="28"/>
          <w:szCs w:val="28"/>
          <w:rtl/>
          <w:lang w:val="en-AE" w:bidi="ar-JO"/>
        </w:rPr>
        <w:t>لشاطبي</w:t>
      </w:r>
      <w:r w:rsidR="00B2690C">
        <w:rPr>
          <w:rFonts w:ascii="Arabic Transparent" w:hAnsi="Arabic Transparent" w:cs="Arabic Transparent" w:hint="cs"/>
          <w:sz w:val="28"/>
          <w:szCs w:val="28"/>
          <w:rtl/>
          <w:lang w:val="en-AE" w:bidi="ar-JO"/>
        </w:rPr>
        <w:t>،</w:t>
      </w:r>
      <w:r w:rsidR="00A942CF" w:rsidRPr="00B529EB">
        <w:rPr>
          <w:rFonts w:ascii="Arabic Transparent" w:hAnsi="Arabic Transparent" w:cs="Arabic Transparent" w:hint="cs"/>
          <w:sz w:val="28"/>
          <w:szCs w:val="28"/>
          <w:rtl/>
          <w:lang w:val="en-AE" w:bidi="ar-JO"/>
        </w:rPr>
        <w:t xml:space="preserve"> حيث قال في تعريف تحقيق المناط الخاص اصطلاحاً أنه: "نَظَر في كل مكَلف بِالنسبة إِلَى ما وَقع علَيه من الدلائلِ </w:t>
      </w:r>
    </w:p>
    <w:p w14:paraId="609B1648" w14:textId="77777777" w:rsidR="001D6980" w:rsidRDefault="001D6980">
      <w:pPr>
        <w:bidi w:val="0"/>
        <w:spacing w:after="0" w:line="240" w:lineRule="auto"/>
        <w:rPr>
          <w:rFonts w:ascii="Arabic Transparent" w:hAnsi="Arabic Transparent" w:cs="Arabic Transparent"/>
          <w:sz w:val="28"/>
          <w:szCs w:val="28"/>
          <w:rtl/>
          <w:lang w:val="en-AE" w:bidi="ar-JO"/>
        </w:rPr>
      </w:pPr>
      <w:r>
        <w:rPr>
          <w:rFonts w:ascii="Arabic Transparent" w:hAnsi="Arabic Transparent" w:cs="Arabic Transparent"/>
          <w:sz w:val="28"/>
          <w:szCs w:val="28"/>
          <w:rtl/>
          <w:lang w:val="en-AE" w:bidi="ar-JO"/>
        </w:rPr>
        <w:br w:type="page"/>
      </w:r>
    </w:p>
    <w:p w14:paraId="63DA7A60" w14:textId="52DC183F" w:rsidR="00C7326B" w:rsidRPr="00B529EB" w:rsidRDefault="00A942CF" w:rsidP="001D6980">
      <w:pPr>
        <w:spacing w:after="0" w:line="360" w:lineRule="auto"/>
        <w:ind w:hanging="1"/>
        <w:jc w:val="both"/>
        <w:rPr>
          <w:rFonts w:ascii="Arabic Transparent" w:hAnsi="Arabic Transparent" w:cs="Arabic Transparent"/>
          <w:sz w:val="28"/>
          <w:szCs w:val="28"/>
          <w:rtl/>
          <w:lang w:val="en-AE" w:bidi="ar-JO"/>
        </w:rPr>
      </w:pPr>
      <w:r w:rsidRPr="00B529EB">
        <w:rPr>
          <w:rFonts w:ascii="Arabic Transparent" w:hAnsi="Arabic Transparent" w:cs="Arabic Transparent" w:hint="cs"/>
          <w:sz w:val="28"/>
          <w:szCs w:val="28"/>
          <w:rtl/>
          <w:lang w:val="en-AE" w:bidi="ar-JO"/>
        </w:rPr>
        <w:t>التكلِيفِيةِ"</w:t>
      </w:r>
      <w:r w:rsidRPr="00B529EB">
        <w:rPr>
          <w:rFonts w:ascii="Arabic Transparent" w:hAnsi="Arabic Transparent" w:cs="Arabic Transparent" w:hint="cs"/>
          <w:sz w:val="28"/>
          <w:szCs w:val="28"/>
          <w:vertAlign w:val="superscript"/>
          <w:rtl/>
          <w:lang w:val="en-AE" w:bidi="ar-JO"/>
        </w:rPr>
        <w:t>(</w:t>
      </w:r>
      <w:r w:rsidRPr="00B529EB">
        <w:rPr>
          <w:rStyle w:val="FootnoteReference"/>
          <w:rFonts w:ascii="Arabic Transparent" w:hAnsi="Arabic Transparent" w:cs="Arabic Transparent" w:hint="cs"/>
          <w:sz w:val="28"/>
          <w:szCs w:val="28"/>
          <w:rtl/>
          <w:lang w:val="en-AE" w:bidi="ar-JO"/>
        </w:rPr>
        <w:footnoteReference w:id="44"/>
      </w:r>
      <w:r w:rsidRPr="00B529EB">
        <w:rPr>
          <w:rFonts w:ascii="Arabic Transparent" w:hAnsi="Arabic Transparent" w:cs="Arabic Transparent" w:hint="cs"/>
          <w:sz w:val="28"/>
          <w:szCs w:val="28"/>
          <w:vertAlign w:val="superscript"/>
          <w:rtl/>
          <w:lang w:val="en-AE" w:bidi="ar-JO"/>
        </w:rPr>
        <w:t>)</w:t>
      </w:r>
      <w:r w:rsidRPr="00B529EB">
        <w:rPr>
          <w:rFonts w:ascii="Arabic Transparent" w:hAnsi="Arabic Transparent" w:cs="Arabic Transparent" w:hint="cs"/>
          <w:sz w:val="28"/>
          <w:szCs w:val="28"/>
          <w:rtl/>
          <w:lang w:val="en-AE" w:bidi="ar-JO"/>
        </w:rPr>
        <w:t xml:space="preserve"> وذلك من خلال مراعاة المج</w:t>
      </w:r>
      <w:r w:rsidR="00B2690C">
        <w:rPr>
          <w:rFonts w:ascii="Arabic Transparent" w:hAnsi="Arabic Transparent" w:cs="Arabic Transparent" w:hint="cs"/>
          <w:sz w:val="28"/>
          <w:szCs w:val="28"/>
          <w:rtl/>
          <w:lang w:val="en-AE" w:bidi="ar-JO"/>
        </w:rPr>
        <w:t>ت</w:t>
      </w:r>
      <w:r w:rsidRPr="00B529EB">
        <w:rPr>
          <w:rFonts w:ascii="Arabic Transparent" w:hAnsi="Arabic Transparent" w:cs="Arabic Transparent" w:hint="cs"/>
          <w:sz w:val="28"/>
          <w:szCs w:val="28"/>
          <w:rtl/>
          <w:lang w:val="en-AE" w:bidi="ar-JO"/>
        </w:rPr>
        <w:t xml:space="preserve">هد المفتي حال السائل </w:t>
      </w:r>
      <w:r w:rsidR="000E16FA" w:rsidRPr="00B529EB">
        <w:rPr>
          <w:rFonts w:ascii="Arabic Transparent" w:hAnsi="Arabic Transparent" w:cs="Arabic Transparent" w:hint="cs"/>
          <w:sz w:val="28"/>
          <w:szCs w:val="28"/>
          <w:rtl/>
          <w:lang w:val="en-AE" w:bidi="ar-JO"/>
        </w:rPr>
        <w:t>في فتواه الخاصة المتعلقة بعينه، كما كان يفعل عليه الصلاة والسلام عندما س</w:t>
      </w:r>
      <w:r w:rsidR="00E15539">
        <w:rPr>
          <w:rFonts w:ascii="Arabic Transparent" w:hAnsi="Arabic Transparent" w:cs="Arabic Transparent" w:hint="cs"/>
          <w:sz w:val="28"/>
          <w:szCs w:val="28"/>
          <w:rtl/>
          <w:lang w:val="en-AE" w:bidi="ar-JO"/>
        </w:rPr>
        <w:t>ُ</w:t>
      </w:r>
      <w:r w:rsidR="000E16FA" w:rsidRPr="00B529EB">
        <w:rPr>
          <w:rFonts w:ascii="Arabic Transparent" w:hAnsi="Arabic Transparent" w:cs="Arabic Transparent" w:hint="cs"/>
          <w:sz w:val="28"/>
          <w:szCs w:val="28"/>
          <w:rtl/>
          <w:lang w:val="en-AE" w:bidi="ar-JO"/>
        </w:rPr>
        <w:t>ئل عن أفضل الأعمال، فأفتى كل سائل بما يناسب حاله، فمنهم من قال له</w:t>
      </w:r>
      <w:r w:rsidR="005D7B91">
        <w:rPr>
          <w:rFonts w:ascii="Arabic Transparent" w:hAnsi="Arabic Transparent" w:cs="Arabic Transparent" w:hint="cs"/>
          <w:sz w:val="28"/>
          <w:szCs w:val="28"/>
          <w:rtl/>
          <w:lang w:val="en-AE" w:bidi="ar-JO"/>
        </w:rPr>
        <w:t xml:space="preserve">: </w:t>
      </w:r>
      <w:r w:rsidR="000E16FA" w:rsidRPr="00B529EB">
        <w:rPr>
          <w:rFonts w:ascii="Arabic Transparent" w:hAnsi="Arabic Transparent" w:cs="Arabic Transparent" w:hint="cs"/>
          <w:sz w:val="28"/>
          <w:szCs w:val="28"/>
          <w:rtl/>
          <w:lang w:val="en-AE" w:bidi="ar-JO"/>
        </w:rPr>
        <w:t>إن أفضل الأعمال الصلاة لوقتها، ومنهم من قال له</w:t>
      </w:r>
      <w:r w:rsidR="005D7B91">
        <w:rPr>
          <w:rFonts w:ascii="Arabic Transparent" w:hAnsi="Arabic Transparent" w:cs="Arabic Transparent" w:hint="cs"/>
          <w:sz w:val="28"/>
          <w:szCs w:val="28"/>
          <w:rtl/>
          <w:lang w:val="en-AE" w:bidi="ar-JO"/>
        </w:rPr>
        <w:t xml:space="preserve">: </w:t>
      </w:r>
      <w:r w:rsidR="000E16FA" w:rsidRPr="00B529EB">
        <w:rPr>
          <w:rFonts w:ascii="Arabic Transparent" w:hAnsi="Arabic Transparent" w:cs="Arabic Transparent" w:hint="cs"/>
          <w:sz w:val="28"/>
          <w:szCs w:val="28"/>
          <w:rtl/>
          <w:lang w:val="en-AE" w:bidi="ar-JO"/>
        </w:rPr>
        <w:t>الجهاد، ومنهم من قال له: الصوم، وما ذاك إلا نتيجة لمراعاة حال كل مكلف بخصوصه، بعد معرفة ما يصلحه، ويزكي نفسه</w:t>
      </w:r>
      <w:r w:rsidR="000E16FA" w:rsidRPr="00B529EB">
        <w:rPr>
          <w:rFonts w:ascii="Arabic Transparent" w:hAnsi="Arabic Transparent" w:cs="Arabic Transparent" w:hint="cs"/>
          <w:sz w:val="28"/>
          <w:szCs w:val="28"/>
          <w:vertAlign w:val="superscript"/>
          <w:rtl/>
          <w:lang w:val="en-AE" w:bidi="ar-JO"/>
        </w:rPr>
        <w:t>(</w:t>
      </w:r>
      <w:r w:rsidR="000E16FA" w:rsidRPr="00B529EB">
        <w:rPr>
          <w:rStyle w:val="FootnoteReference"/>
          <w:rFonts w:ascii="Arabic Transparent" w:hAnsi="Arabic Transparent" w:cs="Arabic Transparent" w:hint="cs"/>
          <w:sz w:val="28"/>
          <w:szCs w:val="28"/>
          <w:rtl/>
          <w:lang w:val="en-AE" w:bidi="ar-JO"/>
        </w:rPr>
        <w:footnoteReference w:id="45"/>
      </w:r>
      <w:r w:rsidR="000E16FA" w:rsidRPr="00B529EB">
        <w:rPr>
          <w:rFonts w:ascii="Arabic Transparent" w:hAnsi="Arabic Transparent" w:cs="Arabic Transparent" w:hint="cs"/>
          <w:sz w:val="28"/>
          <w:szCs w:val="28"/>
          <w:vertAlign w:val="superscript"/>
          <w:rtl/>
          <w:lang w:val="en-AE" w:bidi="ar-JO"/>
        </w:rPr>
        <w:t>)</w:t>
      </w:r>
      <w:r w:rsidR="00C7326B" w:rsidRPr="00B529EB">
        <w:rPr>
          <w:rFonts w:ascii="Arabic Transparent" w:hAnsi="Arabic Transparent" w:cs="Arabic Transparent" w:hint="cs"/>
          <w:sz w:val="28"/>
          <w:szCs w:val="28"/>
          <w:rtl/>
          <w:lang w:val="en-AE" w:bidi="ar-JO"/>
        </w:rPr>
        <w:t>.</w:t>
      </w:r>
    </w:p>
    <w:p w14:paraId="7816D264" w14:textId="4B3F559E" w:rsidR="00B74950" w:rsidRDefault="005D7B91" w:rsidP="00B74950">
      <w:pPr>
        <w:spacing w:after="0" w:line="360" w:lineRule="auto"/>
        <w:jc w:val="both"/>
        <w:rPr>
          <w:rFonts w:ascii="Arabic Transparent" w:hAnsi="Arabic Transparent" w:cs="Arabic Transparent"/>
          <w:sz w:val="28"/>
          <w:szCs w:val="28"/>
          <w:rtl/>
          <w:lang w:val="en-AE" w:bidi="ar-JO"/>
        </w:rPr>
      </w:pPr>
      <w:r>
        <w:rPr>
          <w:rFonts w:ascii="Arabic Transparent" w:hAnsi="Arabic Transparent" w:cs="Arabic Transparent" w:hint="cs"/>
          <w:sz w:val="28"/>
          <w:szCs w:val="28"/>
          <w:rtl/>
          <w:lang w:val="en-AE" w:bidi="ar-JO"/>
        </w:rPr>
        <w:t xml:space="preserve">     </w:t>
      </w:r>
      <w:r w:rsidR="00C7326B" w:rsidRPr="00B529EB">
        <w:rPr>
          <w:rFonts w:ascii="Arabic Transparent" w:hAnsi="Arabic Transparent" w:cs="Arabic Transparent" w:hint="cs"/>
          <w:sz w:val="28"/>
          <w:szCs w:val="28"/>
          <w:rtl/>
          <w:lang w:val="en-AE" w:bidi="ar-JO"/>
        </w:rPr>
        <w:t>وقال القرطبي: "ويفيد هذا صحة ما قاله الأصوليون: إن</w:t>
      </w:r>
      <w:r w:rsidR="00A94601">
        <w:rPr>
          <w:rFonts w:ascii="Arabic Transparent" w:hAnsi="Arabic Transparent" w:cs="Arabic Transparent" w:hint="cs"/>
          <w:sz w:val="28"/>
          <w:szCs w:val="28"/>
          <w:rtl/>
          <w:lang w:val="en-AE" w:bidi="ar-JO"/>
        </w:rPr>
        <w:t>َّ</w:t>
      </w:r>
      <w:r w:rsidR="00C7326B" w:rsidRPr="00B529EB">
        <w:rPr>
          <w:rFonts w:ascii="Arabic Transparent" w:hAnsi="Arabic Transparent" w:cs="Arabic Transparent" w:hint="cs"/>
          <w:sz w:val="28"/>
          <w:szCs w:val="28"/>
          <w:rtl/>
          <w:lang w:val="en-AE" w:bidi="ar-JO"/>
        </w:rPr>
        <w:t xml:space="preserve"> المجتهد يجب عليه أن يجدد نظرًا عند وقوع النازلة ولا يعتمد على اجتهاده المتقدم"</w:t>
      </w:r>
      <w:r w:rsidR="00C7326B" w:rsidRPr="00B529EB">
        <w:rPr>
          <w:rFonts w:ascii="Arabic Transparent" w:hAnsi="Arabic Transparent" w:cs="Arabic Transparent" w:hint="cs"/>
          <w:sz w:val="28"/>
          <w:szCs w:val="28"/>
          <w:vertAlign w:val="superscript"/>
          <w:rtl/>
          <w:lang w:val="en-AE" w:bidi="ar-JO"/>
        </w:rPr>
        <w:t>(</w:t>
      </w:r>
      <w:r w:rsidR="00C7326B" w:rsidRPr="00B529EB">
        <w:rPr>
          <w:rStyle w:val="FootnoteReference"/>
          <w:rFonts w:ascii="Arabic Transparent" w:hAnsi="Arabic Transparent" w:cs="Arabic Transparent" w:hint="cs"/>
          <w:sz w:val="28"/>
          <w:szCs w:val="28"/>
          <w:rtl/>
          <w:lang w:val="en-AE" w:bidi="ar-JO"/>
        </w:rPr>
        <w:footnoteReference w:id="46"/>
      </w:r>
      <w:r w:rsidR="00C7326B" w:rsidRPr="00B529EB">
        <w:rPr>
          <w:rFonts w:ascii="Arabic Transparent" w:hAnsi="Arabic Transparent" w:cs="Arabic Transparent" w:hint="cs"/>
          <w:sz w:val="28"/>
          <w:szCs w:val="28"/>
          <w:vertAlign w:val="superscript"/>
          <w:rtl/>
          <w:lang w:val="en-AE" w:bidi="ar-JO"/>
        </w:rPr>
        <w:t>)</w:t>
      </w:r>
      <w:r w:rsidR="00C7326B" w:rsidRPr="00B529EB">
        <w:rPr>
          <w:rFonts w:ascii="Arabic Transparent" w:hAnsi="Arabic Transparent" w:cs="Arabic Transparent" w:hint="cs"/>
          <w:sz w:val="28"/>
          <w:szCs w:val="28"/>
          <w:rtl/>
          <w:lang w:val="en-AE" w:bidi="ar-JO"/>
        </w:rPr>
        <w:t xml:space="preserve"> </w:t>
      </w:r>
      <w:r w:rsidR="0079558D">
        <w:rPr>
          <w:rFonts w:ascii="Arabic Transparent" w:hAnsi="Arabic Transparent" w:cs="Arabic Transparent" w:hint="cs"/>
          <w:sz w:val="28"/>
          <w:szCs w:val="28"/>
          <w:rtl/>
          <w:lang w:val="en-AE" w:bidi="ar-JO"/>
        </w:rPr>
        <w:t>وهو مقتضى نظرية الإمام الشاطبي في التفاوت حيث يقول الريسوني: "</w:t>
      </w:r>
      <w:r w:rsidR="00C7326B" w:rsidRPr="00B529EB">
        <w:rPr>
          <w:rFonts w:ascii="Arabic Transparent" w:hAnsi="Arabic Transparent" w:cs="Arabic Transparent" w:hint="cs"/>
          <w:sz w:val="28"/>
          <w:szCs w:val="28"/>
          <w:rtl/>
          <w:lang w:val="en-AE" w:bidi="ar-JO"/>
        </w:rPr>
        <w:t>فتحقيق المناطات الخاصة، في الأفراد والواقع، وفي الأزمنة والأمكنة؛ مما يساعد المجتهد على معرفة المآلات وحسن تقديرها، ليبني اجتهاده وإفتاءه على ذلك، حتى يكون أقرب إلى تحقيق المآلات والنتائج التي يقصد الشارع تحقيقها، وإلى إبعاد المآلات والنتائج التي يقصد منعها وإبعادها</w:t>
      </w:r>
      <w:r w:rsidR="0079558D" w:rsidRPr="0079558D">
        <w:rPr>
          <w:rFonts w:ascii="Arabic Transparent" w:hAnsi="Arabic Transparent" w:cs="Arabic Transparent" w:hint="cs"/>
          <w:sz w:val="28"/>
          <w:szCs w:val="28"/>
          <w:rtl/>
          <w:lang w:val="en-AE" w:bidi="ar-JO"/>
        </w:rPr>
        <w:t>"</w:t>
      </w:r>
      <w:r w:rsidR="00C7326B" w:rsidRPr="00B529EB">
        <w:rPr>
          <w:rFonts w:ascii="Arabic Transparent" w:hAnsi="Arabic Transparent" w:cs="Arabic Transparent" w:hint="cs"/>
          <w:sz w:val="28"/>
          <w:szCs w:val="28"/>
          <w:vertAlign w:val="superscript"/>
          <w:rtl/>
          <w:lang w:val="en-AE" w:bidi="ar-JO"/>
        </w:rPr>
        <w:t>(</w:t>
      </w:r>
      <w:r w:rsidR="00C7326B" w:rsidRPr="00B529EB">
        <w:rPr>
          <w:rStyle w:val="FootnoteReference"/>
          <w:rFonts w:ascii="Arabic Transparent" w:hAnsi="Arabic Transparent" w:cs="Arabic Transparent" w:hint="cs"/>
          <w:sz w:val="28"/>
          <w:szCs w:val="28"/>
          <w:rtl/>
          <w:lang w:val="en-AE" w:bidi="ar-JO"/>
        </w:rPr>
        <w:footnoteReference w:id="47"/>
      </w:r>
      <w:r w:rsidR="00C7326B" w:rsidRPr="00B529EB">
        <w:rPr>
          <w:rFonts w:ascii="Arabic Transparent" w:hAnsi="Arabic Transparent" w:cs="Arabic Transparent" w:hint="cs"/>
          <w:sz w:val="28"/>
          <w:szCs w:val="28"/>
          <w:vertAlign w:val="superscript"/>
          <w:rtl/>
          <w:lang w:val="en-AE" w:bidi="ar-JO"/>
        </w:rPr>
        <w:t>)</w:t>
      </w:r>
      <w:r w:rsidR="00C7326B" w:rsidRPr="00B529EB">
        <w:rPr>
          <w:rFonts w:ascii="Arabic Transparent" w:hAnsi="Arabic Transparent" w:cs="Arabic Transparent" w:hint="cs"/>
          <w:sz w:val="28"/>
          <w:szCs w:val="28"/>
          <w:rtl/>
          <w:lang w:val="en-AE" w:bidi="ar-JO"/>
        </w:rPr>
        <w:t>.</w:t>
      </w:r>
      <w:r w:rsidR="00B74950">
        <w:rPr>
          <w:rFonts w:ascii="Arabic Transparent" w:hAnsi="Arabic Transparent" w:cs="Arabic Transparent" w:hint="cs"/>
          <w:sz w:val="28"/>
          <w:szCs w:val="28"/>
          <w:rtl/>
          <w:lang w:val="en-AE" w:bidi="ar-JO"/>
        </w:rPr>
        <w:t xml:space="preserve"> </w:t>
      </w:r>
    </w:p>
    <w:p w14:paraId="39F7F87A" w14:textId="0D20C48D" w:rsidR="009F1359" w:rsidRPr="00B529EB" w:rsidRDefault="005D7B91" w:rsidP="00B74950">
      <w:pPr>
        <w:spacing w:after="0" w:line="360" w:lineRule="auto"/>
        <w:jc w:val="both"/>
        <w:rPr>
          <w:rFonts w:ascii="Arabic Transparent" w:hAnsi="Arabic Transparent" w:cs="Arabic Transparent"/>
          <w:sz w:val="28"/>
          <w:szCs w:val="28"/>
          <w:rtl/>
          <w:lang w:val="en-AE" w:bidi="ar-JO"/>
        </w:rPr>
      </w:pPr>
      <w:r>
        <w:rPr>
          <w:rFonts w:ascii="Arabic Transparent" w:hAnsi="Arabic Transparent" w:cs="Arabic Transparent" w:hint="cs"/>
          <w:sz w:val="28"/>
          <w:szCs w:val="28"/>
          <w:rtl/>
          <w:lang w:val="en-AE" w:bidi="ar-JO"/>
        </w:rPr>
        <w:t xml:space="preserve">     </w:t>
      </w:r>
      <w:r w:rsidR="00F5454D">
        <w:rPr>
          <w:rFonts w:ascii="Arabic Transparent" w:hAnsi="Arabic Transparent" w:cs="Arabic Transparent" w:hint="cs"/>
          <w:sz w:val="28"/>
          <w:szCs w:val="28"/>
          <w:rtl/>
          <w:lang w:val="en-AE" w:bidi="ar-JO"/>
        </w:rPr>
        <w:t>وقريب من تعريف الشاطبي ما عرَّفه القرافي، حيث قال</w:t>
      </w:r>
      <w:r w:rsidR="009F1359" w:rsidRPr="00B529EB">
        <w:rPr>
          <w:rFonts w:ascii="Arabic Transparent" w:hAnsi="Arabic Transparent" w:cs="Arabic Transparent" w:hint="cs"/>
          <w:sz w:val="28"/>
          <w:szCs w:val="28"/>
          <w:rtl/>
          <w:lang w:val="en-AE" w:bidi="ar-JO"/>
        </w:rPr>
        <w:t>: "نظَر فِي تَعيِينِ المَنَاط فِي حَقّ كلّ مكلفٍ بِالنّسبَة إلَى مَا وَقَعَ علَيهِ مِن الدّلائلِ التكلِيفِيّة"</w:t>
      </w:r>
      <w:r w:rsidR="009F1359" w:rsidRPr="00B529EB">
        <w:rPr>
          <w:rFonts w:ascii="Arabic Transparent" w:hAnsi="Arabic Transparent" w:cs="Arabic Transparent" w:hint="cs"/>
          <w:sz w:val="28"/>
          <w:szCs w:val="28"/>
          <w:vertAlign w:val="superscript"/>
          <w:rtl/>
          <w:lang w:val="en-AE" w:bidi="ar-JO"/>
        </w:rPr>
        <w:t>(</w:t>
      </w:r>
      <w:r w:rsidR="009F1359" w:rsidRPr="00B529EB">
        <w:rPr>
          <w:rStyle w:val="FootnoteReference"/>
          <w:rFonts w:ascii="Arabic Transparent" w:hAnsi="Arabic Transparent" w:cs="Arabic Transparent" w:hint="cs"/>
          <w:sz w:val="28"/>
          <w:szCs w:val="28"/>
          <w:rtl/>
          <w:lang w:val="en-AE" w:bidi="ar-JO"/>
        </w:rPr>
        <w:footnoteReference w:id="48"/>
      </w:r>
      <w:r w:rsidR="009F1359" w:rsidRPr="00B529EB">
        <w:rPr>
          <w:rFonts w:ascii="Arabic Transparent" w:hAnsi="Arabic Transparent" w:cs="Arabic Transparent" w:hint="cs"/>
          <w:sz w:val="28"/>
          <w:szCs w:val="28"/>
          <w:vertAlign w:val="superscript"/>
          <w:rtl/>
          <w:lang w:val="en-AE" w:bidi="ar-JO"/>
        </w:rPr>
        <w:t>)</w:t>
      </w:r>
      <w:r w:rsidR="0054745A" w:rsidRPr="00B529EB">
        <w:rPr>
          <w:rFonts w:ascii="Arabic Transparent" w:hAnsi="Arabic Transparent" w:cs="Arabic Transparent" w:hint="cs"/>
          <w:sz w:val="28"/>
          <w:szCs w:val="28"/>
          <w:rtl/>
          <w:lang w:val="en-AE" w:bidi="ar-JO"/>
        </w:rPr>
        <w:t xml:space="preserve"> ويعترض عليه أنه يعرف بالمعرَّف المبهم </w:t>
      </w:r>
      <w:r w:rsidR="00F5454D">
        <w:rPr>
          <w:rFonts w:ascii="Arabic Transparent" w:hAnsi="Arabic Transparent" w:cs="Arabic Transparent" w:hint="cs"/>
          <w:sz w:val="28"/>
          <w:szCs w:val="28"/>
          <w:rtl/>
          <w:lang w:val="en-AE" w:bidi="ar-JO"/>
        </w:rPr>
        <w:t>(</w:t>
      </w:r>
      <w:r w:rsidR="0054745A" w:rsidRPr="00B529EB">
        <w:rPr>
          <w:rFonts w:ascii="Arabic Transparent" w:hAnsi="Arabic Transparent" w:cs="Arabic Transparent" w:hint="cs"/>
          <w:sz w:val="28"/>
          <w:szCs w:val="28"/>
          <w:rtl/>
          <w:lang w:val="en-AE" w:bidi="ar-JO"/>
        </w:rPr>
        <w:t>المناط</w:t>
      </w:r>
      <w:r w:rsidR="00F5454D">
        <w:rPr>
          <w:rFonts w:ascii="Arabic Transparent" w:hAnsi="Arabic Transparent" w:cs="Arabic Transparent" w:hint="cs"/>
          <w:sz w:val="28"/>
          <w:szCs w:val="28"/>
          <w:rtl/>
          <w:lang w:val="en-AE" w:bidi="ar-JO"/>
        </w:rPr>
        <w:t>)</w:t>
      </w:r>
      <w:r w:rsidR="0054745A" w:rsidRPr="00B529EB">
        <w:rPr>
          <w:rFonts w:ascii="Arabic Transparent" w:hAnsi="Arabic Transparent" w:cs="Arabic Transparent" w:hint="cs"/>
          <w:sz w:val="28"/>
          <w:szCs w:val="28"/>
          <w:rtl/>
          <w:lang w:val="en-AE" w:bidi="ar-JO"/>
        </w:rPr>
        <w:t xml:space="preserve"> ولو قال الوصف المعين لكان أفضل.</w:t>
      </w:r>
    </w:p>
    <w:p w14:paraId="5CB1B39C" w14:textId="67B8E597" w:rsidR="00B74950" w:rsidRDefault="006745CF" w:rsidP="00B74950">
      <w:pPr>
        <w:spacing w:after="0" w:line="360" w:lineRule="auto"/>
        <w:jc w:val="both"/>
        <w:rPr>
          <w:rFonts w:ascii="Arabic Transparent" w:hAnsi="Arabic Transparent" w:cs="Arabic Transparent"/>
          <w:sz w:val="28"/>
          <w:szCs w:val="28"/>
          <w:rtl/>
          <w:lang w:val="en-AE" w:bidi="ar-JO"/>
        </w:rPr>
      </w:pPr>
      <w:r w:rsidRPr="00B529EB">
        <w:rPr>
          <w:rFonts w:ascii="Arabic Transparent" w:hAnsi="Arabic Transparent" w:cs="Arabic Transparent" w:hint="cs"/>
          <w:sz w:val="28"/>
          <w:szCs w:val="28"/>
          <w:rtl/>
          <w:lang w:val="en-AE" w:bidi="ar-JO"/>
        </w:rPr>
        <w:t>وعر</w:t>
      </w:r>
      <w:r w:rsidR="00F5454D">
        <w:rPr>
          <w:rFonts w:ascii="Arabic Transparent" w:hAnsi="Arabic Transparent" w:cs="Arabic Transparent" w:hint="cs"/>
          <w:sz w:val="28"/>
          <w:szCs w:val="28"/>
          <w:rtl/>
          <w:lang w:val="en-AE" w:bidi="ar-JO"/>
        </w:rPr>
        <w:t>َ</w:t>
      </w:r>
      <w:r w:rsidRPr="00B529EB">
        <w:rPr>
          <w:rFonts w:ascii="Arabic Transparent" w:hAnsi="Arabic Transparent" w:cs="Arabic Transparent" w:hint="cs"/>
          <w:sz w:val="28"/>
          <w:szCs w:val="28"/>
          <w:rtl/>
          <w:lang w:val="en-AE" w:bidi="ar-JO"/>
        </w:rPr>
        <w:t>ّفه الكشميري</w:t>
      </w:r>
      <w:r w:rsidR="00F5454D">
        <w:rPr>
          <w:rFonts w:ascii="Arabic Transparent" w:hAnsi="Arabic Transparent" w:cs="Arabic Transparent" w:hint="cs"/>
          <w:sz w:val="28"/>
          <w:szCs w:val="28"/>
          <w:rtl/>
          <w:lang w:val="en-AE" w:bidi="ar-JO"/>
        </w:rPr>
        <w:t>،</w:t>
      </w:r>
      <w:r w:rsidR="004F212F" w:rsidRPr="00B529EB">
        <w:rPr>
          <w:rFonts w:ascii="Arabic Transparent" w:hAnsi="Arabic Transparent" w:cs="Arabic Transparent" w:hint="cs"/>
          <w:sz w:val="28"/>
          <w:szCs w:val="28"/>
          <w:rtl/>
          <w:lang w:val="en-AE" w:bidi="ar-JO"/>
        </w:rPr>
        <w:t xml:space="preserve"> بأن</w:t>
      </w:r>
      <w:r w:rsidR="00F5454D">
        <w:rPr>
          <w:rFonts w:ascii="Arabic Transparent" w:hAnsi="Arabic Transparent" w:cs="Arabic Transparent" w:hint="cs"/>
          <w:sz w:val="28"/>
          <w:szCs w:val="28"/>
          <w:rtl/>
          <w:lang w:val="en-AE" w:bidi="ar-JO"/>
        </w:rPr>
        <w:t>َّ</w:t>
      </w:r>
      <w:r w:rsidR="004F212F" w:rsidRPr="00B529EB">
        <w:rPr>
          <w:rFonts w:ascii="Arabic Transparent" w:hAnsi="Arabic Transparent" w:cs="Arabic Transparent" w:hint="cs"/>
          <w:sz w:val="28"/>
          <w:szCs w:val="28"/>
          <w:rtl/>
          <w:lang w:val="en-AE" w:bidi="ar-JO"/>
        </w:rPr>
        <w:t>ه:</w:t>
      </w:r>
      <w:r w:rsidR="00151AED">
        <w:rPr>
          <w:rFonts w:ascii="Arabic Transparent" w:hAnsi="Arabic Transparent" w:cs="Arabic Transparent" w:hint="cs"/>
          <w:sz w:val="28"/>
          <w:szCs w:val="28"/>
          <w:rtl/>
          <w:lang w:val="en-AE" w:bidi="ar-JO"/>
        </w:rPr>
        <w:t xml:space="preserve"> </w:t>
      </w:r>
      <w:r w:rsidR="00151AED">
        <w:rPr>
          <w:rFonts w:ascii="Arabic Transparent" w:hAnsi="Arabic Transparent" w:cs="Arabic Transparent"/>
          <w:sz w:val="28"/>
          <w:szCs w:val="28"/>
          <w:rtl/>
          <w:lang w:val="en-AE" w:bidi="ar-JO"/>
        </w:rPr>
        <w:t>"</w:t>
      </w:r>
      <w:r w:rsidR="004F212F" w:rsidRPr="00B529EB">
        <w:rPr>
          <w:rFonts w:ascii="Arabic Transparent" w:hAnsi="Arabic Transparent" w:cs="Arabic Transparent" w:hint="cs"/>
          <w:sz w:val="28"/>
          <w:szCs w:val="28"/>
          <w:rtl/>
          <w:lang w:val="en-AE" w:bidi="ar-JO"/>
        </w:rPr>
        <w:t>‌إجراء ‌الأحكام ‌النوعية أو الجنسية على أفرادها وأنواعها"</w:t>
      </w:r>
      <w:r w:rsidR="004F212F" w:rsidRPr="00B529EB">
        <w:rPr>
          <w:rFonts w:ascii="Arabic Transparent" w:hAnsi="Arabic Transparent" w:cs="Arabic Transparent" w:hint="cs"/>
          <w:sz w:val="28"/>
          <w:szCs w:val="28"/>
          <w:vertAlign w:val="superscript"/>
          <w:rtl/>
          <w:lang w:val="en-AE" w:bidi="ar-JO"/>
        </w:rPr>
        <w:t>(</w:t>
      </w:r>
      <w:r w:rsidR="004F212F" w:rsidRPr="00B529EB">
        <w:rPr>
          <w:rStyle w:val="FootnoteReference"/>
          <w:rFonts w:ascii="Arabic Transparent" w:hAnsi="Arabic Transparent" w:cs="Arabic Transparent" w:hint="cs"/>
          <w:sz w:val="28"/>
          <w:szCs w:val="28"/>
          <w:rtl/>
          <w:lang w:val="en-AE" w:bidi="ar-JO"/>
        </w:rPr>
        <w:footnoteReference w:id="49"/>
      </w:r>
      <w:r w:rsidR="004F212F" w:rsidRPr="00B529EB">
        <w:rPr>
          <w:rFonts w:ascii="Arabic Transparent" w:hAnsi="Arabic Transparent" w:cs="Arabic Transparent" w:hint="cs"/>
          <w:sz w:val="28"/>
          <w:szCs w:val="28"/>
          <w:vertAlign w:val="superscript"/>
          <w:rtl/>
          <w:lang w:val="en-AE" w:bidi="ar-JO"/>
        </w:rPr>
        <w:t>)</w:t>
      </w:r>
      <w:r w:rsidR="00F5454D">
        <w:rPr>
          <w:rFonts w:ascii="Arabic Transparent" w:hAnsi="Arabic Transparent" w:cs="Arabic Transparent" w:hint="cs"/>
          <w:sz w:val="28"/>
          <w:szCs w:val="28"/>
          <w:rtl/>
          <w:lang w:val="en-AE" w:bidi="ar-JO"/>
        </w:rPr>
        <w:t>.</w:t>
      </w:r>
    </w:p>
    <w:p w14:paraId="32380891" w14:textId="6202C6E1" w:rsidR="001D6980" w:rsidRDefault="005D7B91" w:rsidP="00B74950">
      <w:pPr>
        <w:spacing w:after="0" w:line="360" w:lineRule="auto"/>
        <w:jc w:val="both"/>
        <w:rPr>
          <w:rFonts w:ascii="Arabic Transparent" w:hAnsi="Arabic Transparent" w:cs="Arabic Transparent"/>
          <w:sz w:val="28"/>
          <w:szCs w:val="28"/>
          <w:rtl/>
          <w:lang w:val="en-AE" w:bidi="ar-JO"/>
        </w:rPr>
      </w:pPr>
      <w:r>
        <w:rPr>
          <w:rFonts w:ascii="Arabic Transparent" w:hAnsi="Arabic Transparent" w:cs="Arabic Transparent" w:hint="cs"/>
          <w:sz w:val="28"/>
          <w:szCs w:val="28"/>
          <w:rtl/>
          <w:lang w:val="en-AE" w:bidi="ar-JO"/>
        </w:rPr>
        <w:t xml:space="preserve">     </w:t>
      </w:r>
      <w:r w:rsidR="004F212F" w:rsidRPr="00B529EB">
        <w:rPr>
          <w:rFonts w:ascii="Arabic Transparent" w:hAnsi="Arabic Transparent" w:cs="Arabic Transparent" w:hint="cs"/>
          <w:sz w:val="28"/>
          <w:szCs w:val="28"/>
          <w:rtl/>
          <w:lang w:val="en-AE" w:bidi="ar-JO"/>
        </w:rPr>
        <w:t>ونخل</w:t>
      </w:r>
      <w:r w:rsidR="000F4DC2">
        <w:rPr>
          <w:rFonts w:ascii="Arabic Transparent" w:hAnsi="Arabic Transparent" w:cs="Arabic Transparent" w:hint="cs"/>
          <w:sz w:val="28"/>
          <w:szCs w:val="28"/>
          <w:rtl/>
          <w:lang w:val="en-AE" w:bidi="ar-JO"/>
        </w:rPr>
        <w:t>ُ</w:t>
      </w:r>
      <w:r w:rsidR="004F212F" w:rsidRPr="00B529EB">
        <w:rPr>
          <w:rFonts w:ascii="Arabic Transparent" w:hAnsi="Arabic Transparent" w:cs="Arabic Transparent" w:hint="cs"/>
          <w:sz w:val="28"/>
          <w:szCs w:val="28"/>
          <w:rtl/>
          <w:lang w:val="en-AE" w:bidi="ar-JO"/>
        </w:rPr>
        <w:t>ص من التعريفات السابقة أن</w:t>
      </w:r>
      <w:r w:rsidR="00F5454D">
        <w:rPr>
          <w:rFonts w:ascii="Arabic Transparent" w:hAnsi="Arabic Transparent" w:cs="Arabic Transparent" w:hint="cs"/>
          <w:sz w:val="28"/>
          <w:szCs w:val="28"/>
          <w:rtl/>
          <w:lang w:val="en-AE" w:bidi="ar-JO"/>
        </w:rPr>
        <w:t>َّ</w:t>
      </w:r>
      <w:r w:rsidR="004F212F" w:rsidRPr="00B529EB">
        <w:rPr>
          <w:rFonts w:ascii="Arabic Transparent" w:hAnsi="Arabic Transparent" w:cs="Arabic Transparent" w:hint="cs"/>
          <w:sz w:val="28"/>
          <w:szCs w:val="28"/>
          <w:rtl/>
          <w:lang w:val="en-AE" w:bidi="ar-JO"/>
        </w:rPr>
        <w:t xml:space="preserve"> جلها متقاربة في المعنى</w:t>
      </w:r>
      <w:r w:rsidR="00F5454D">
        <w:rPr>
          <w:rFonts w:ascii="Arabic Transparent" w:hAnsi="Arabic Transparent" w:cs="Arabic Transparent" w:hint="cs"/>
          <w:sz w:val="28"/>
          <w:szCs w:val="28"/>
          <w:rtl/>
          <w:lang w:val="en-AE" w:bidi="ar-JO"/>
        </w:rPr>
        <w:t>،</w:t>
      </w:r>
      <w:r w:rsidR="004F212F" w:rsidRPr="00B529EB">
        <w:rPr>
          <w:rFonts w:ascii="Arabic Transparent" w:hAnsi="Arabic Transparent" w:cs="Arabic Transparent" w:hint="cs"/>
          <w:sz w:val="28"/>
          <w:szCs w:val="28"/>
          <w:rtl/>
          <w:lang w:val="en-AE" w:bidi="ar-JO"/>
        </w:rPr>
        <w:t xml:space="preserve"> وهي تشير إلى تقييد تعريف تحقيق المناط حيث تجعله يتعلق </w:t>
      </w:r>
      <w:r w:rsidR="004506E0" w:rsidRPr="00B529EB">
        <w:rPr>
          <w:rFonts w:ascii="Arabic Transparent" w:hAnsi="Arabic Transparent" w:cs="Arabic Transparent" w:hint="cs"/>
          <w:sz w:val="28"/>
          <w:szCs w:val="28"/>
          <w:rtl/>
          <w:lang w:val="en-AE" w:bidi="ar-JO"/>
        </w:rPr>
        <w:t>بوقائع،</w:t>
      </w:r>
      <w:r w:rsidR="004F212F" w:rsidRPr="00B529EB">
        <w:rPr>
          <w:rFonts w:ascii="Arabic Transparent" w:hAnsi="Arabic Transparent" w:cs="Arabic Transparent" w:hint="cs"/>
          <w:sz w:val="28"/>
          <w:szCs w:val="28"/>
          <w:rtl/>
          <w:lang w:val="en-AE" w:bidi="ar-JO"/>
        </w:rPr>
        <w:t xml:space="preserve"> أو أشخاص</w:t>
      </w:r>
      <w:r w:rsidR="00E0237E" w:rsidRPr="00B529EB">
        <w:rPr>
          <w:rFonts w:ascii="Arabic Transparent" w:hAnsi="Arabic Transparent" w:cs="Arabic Transparent" w:hint="cs"/>
          <w:sz w:val="28"/>
          <w:szCs w:val="28"/>
          <w:rtl/>
          <w:lang w:val="en-AE" w:bidi="ar-JO"/>
        </w:rPr>
        <w:t>،</w:t>
      </w:r>
      <w:r w:rsidR="004F212F" w:rsidRPr="00B529EB">
        <w:rPr>
          <w:rFonts w:ascii="Arabic Transparent" w:hAnsi="Arabic Transparent" w:cs="Arabic Transparent" w:hint="cs"/>
          <w:sz w:val="28"/>
          <w:szCs w:val="28"/>
          <w:rtl/>
          <w:lang w:val="en-AE" w:bidi="ar-JO"/>
        </w:rPr>
        <w:t xml:space="preserve"> أو أزمنة</w:t>
      </w:r>
      <w:r w:rsidR="00E0237E" w:rsidRPr="00B529EB">
        <w:rPr>
          <w:rFonts w:ascii="Arabic Transparent" w:hAnsi="Arabic Transparent" w:cs="Arabic Transparent" w:hint="cs"/>
          <w:sz w:val="28"/>
          <w:szCs w:val="28"/>
          <w:rtl/>
          <w:lang w:val="en-AE" w:bidi="ar-JO"/>
        </w:rPr>
        <w:t>،</w:t>
      </w:r>
      <w:r w:rsidR="004F212F" w:rsidRPr="00B529EB">
        <w:rPr>
          <w:rFonts w:ascii="Arabic Transparent" w:hAnsi="Arabic Transparent" w:cs="Arabic Transparent" w:hint="cs"/>
          <w:sz w:val="28"/>
          <w:szCs w:val="28"/>
          <w:rtl/>
          <w:lang w:val="en-AE" w:bidi="ar-JO"/>
        </w:rPr>
        <w:t xml:space="preserve"> أو أمكنة</w:t>
      </w:r>
      <w:r w:rsidR="00E0237E" w:rsidRPr="00B529EB">
        <w:rPr>
          <w:rFonts w:ascii="Arabic Transparent" w:hAnsi="Arabic Transparent" w:cs="Arabic Transparent" w:hint="cs"/>
          <w:sz w:val="28"/>
          <w:szCs w:val="28"/>
          <w:rtl/>
          <w:lang w:val="en-AE" w:bidi="ar-JO"/>
        </w:rPr>
        <w:t>،</w:t>
      </w:r>
      <w:r w:rsidR="004506E0" w:rsidRPr="00B529EB">
        <w:rPr>
          <w:rFonts w:ascii="Arabic Transparent" w:hAnsi="Arabic Transparent" w:cs="Arabic Transparent" w:hint="cs"/>
          <w:sz w:val="28"/>
          <w:szCs w:val="28"/>
          <w:rtl/>
          <w:lang w:val="en-AE" w:bidi="ar-JO"/>
        </w:rPr>
        <w:t xml:space="preserve"> أو ظروف</w:t>
      </w:r>
      <w:r w:rsidR="00E0237E" w:rsidRPr="00B529EB">
        <w:rPr>
          <w:rFonts w:ascii="Arabic Transparent" w:hAnsi="Arabic Transparent" w:cs="Arabic Transparent" w:hint="cs"/>
          <w:sz w:val="28"/>
          <w:szCs w:val="28"/>
          <w:rtl/>
          <w:lang w:val="en-AE" w:bidi="ar-JO"/>
        </w:rPr>
        <w:t>،</w:t>
      </w:r>
      <w:r w:rsidR="004506E0" w:rsidRPr="00B529EB">
        <w:rPr>
          <w:rFonts w:ascii="Arabic Transparent" w:hAnsi="Arabic Transparent" w:cs="Arabic Transparent" w:hint="cs"/>
          <w:sz w:val="28"/>
          <w:szCs w:val="28"/>
          <w:rtl/>
          <w:lang w:val="en-AE" w:bidi="ar-JO"/>
        </w:rPr>
        <w:t xml:space="preserve"> أو أحوال معينة</w:t>
      </w:r>
      <w:r w:rsidR="00E0237E" w:rsidRPr="00B529EB">
        <w:rPr>
          <w:rFonts w:ascii="Arabic Transparent" w:hAnsi="Arabic Transparent" w:cs="Arabic Transparent" w:hint="cs"/>
          <w:sz w:val="28"/>
          <w:szCs w:val="28"/>
          <w:rtl/>
          <w:lang w:val="en-AE" w:bidi="ar-JO"/>
        </w:rPr>
        <w:t>،</w:t>
      </w:r>
      <w:r w:rsidR="0054745A" w:rsidRPr="00B529EB">
        <w:rPr>
          <w:rFonts w:ascii="Arabic Transparent" w:hAnsi="Arabic Transparent" w:cs="Arabic Transparent" w:hint="cs"/>
          <w:sz w:val="28"/>
          <w:szCs w:val="28"/>
          <w:rtl/>
          <w:lang w:val="en-AE" w:bidi="ar-JO"/>
        </w:rPr>
        <w:t xml:space="preserve"> وبناءً على </w:t>
      </w:r>
      <w:r w:rsidR="00E15539">
        <w:rPr>
          <w:rFonts w:ascii="Arabic Transparent" w:hAnsi="Arabic Transparent" w:cs="Arabic Transparent" w:hint="cs"/>
          <w:sz w:val="28"/>
          <w:szCs w:val="28"/>
          <w:rtl/>
          <w:lang w:val="en-AE" w:bidi="ar-JO"/>
        </w:rPr>
        <w:t>تعريف الباحث</w:t>
      </w:r>
      <w:r w:rsidR="00F5454D">
        <w:rPr>
          <w:rFonts w:ascii="Arabic Transparent" w:hAnsi="Arabic Transparent" w:cs="Arabic Transparent" w:hint="cs"/>
          <w:sz w:val="28"/>
          <w:szCs w:val="28"/>
          <w:rtl/>
          <w:lang w:val="en-AE" w:bidi="ar-JO"/>
        </w:rPr>
        <w:t xml:space="preserve"> السابق</w:t>
      </w:r>
      <w:r w:rsidR="00E15539">
        <w:rPr>
          <w:rFonts w:ascii="Arabic Transparent" w:hAnsi="Arabic Transparent" w:cs="Arabic Transparent" w:hint="cs"/>
          <w:sz w:val="28"/>
          <w:szCs w:val="28"/>
          <w:rtl/>
          <w:lang w:val="en-AE" w:bidi="ar-JO"/>
        </w:rPr>
        <w:t xml:space="preserve"> </w:t>
      </w:r>
      <w:r w:rsidR="0054745A" w:rsidRPr="00B529EB">
        <w:rPr>
          <w:rFonts w:ascii="Arabic Transparent" w:hAnsi="Arabic Transparent" w:cs="Arabic Transparent" w:hint="cs"/>
          <w:sz w:val="28"/>
          <w:szCs w:val="28"/>
          <w:rtl/>
          <w:lang w:val="en-AE" w:bidi="ar-JO"/>
        </w:rPr>
        <w:t>في تحقيق المناط</w:t>
      </w:r>
      <w:r w:rsidR="00F5454D">
        <w:rPr>
          <w:rFonts w:ascii="Arabic Transparent" w:hAnsi="Arabic Transparent" w:cs="Arabic Transparent" w:hint="cs"/>
          <w:sz w:val="28"/>
          <w:szCs w:val="28"/>
          <w:rtl/>
          <w:lang w:val="en-AE" w:bidi="ar-JO"/>
        </w:rPr>
        <w:t>،</w:t>
      </w:r>
      <w:r w:rsidR="0054745A" w:rsidRPr="00B529EB">
        <w:rPr>
          <w:rFonts w:ascii="Arabic Transparent" w:hAnsi="Arabic Transparent" w:cs="Arabic Transparent" w:hint="cs"/>
          <w:sz w:val="28"/>
          <w:szCs w:val="28"/>
          <w:rtl/>
          <w:lang w:val="en-AE" w:bidi="ar-JO"/>
        </w:rPr>
        <w:t xml:space="preserve"> يمكن القول</w:t>
      </w:r>
      <w:r w:rsidR="00F5454D">
        <w:rPr>
          <w:rFonts w:ascii="Arabic Transparent" w:hAnsi="Arabic Transparent" w:cs="Arabic Transparent" w:hint="cs"/>
          <w:sz w:val="28"/>
          <w:szCs w:val="28"/>
          <w:rtl/>
          <w:lang w:val="en-AE" w:bidi="ar-JO"/>
        </w:rPr>
        <w:t xml:space="preserve">: إنَّ </w:t>
      </w:r>
      <w:r w:rsidR="0054745A" w:rsidRPr="00B529EB">
        <w:rPr>
          <w:rFonts w:ascii="Arabic Transparent" w:hAnsi="Arabic Transparent" w:cs="Arabic Transparent" w:hint="cs"/>
          <w:sz w:val="28"/>
          <w:szCs w:val="28"/>
          <w:rtl/>
          <w:lang w:val="en-AE" w:bidi="ar-JO"/>
        </w:rPr>
        <w:t>تحقيق المناط</w:t>
      </w:r>
      <w:r w:rsidR="00E15539">
        <w:rPr>
          <w:rFonts w:ascii="Arabic Transparent" w:hAnsi="Arabic Transparent" w:cs="Arabic Transparent" w:hint="cs"/>
          <w:sz w:val="28"/>
          <w:szCs w:val="28"/>
          <w:rtl/>
          <w:lang w:val="en-AE" w:bidi="ar-JO"/>
        </w:rPr>
        <w:t xml:space="preserve"> </w:t>
      </w:r>
      <w:r w:rsidR="00E15539">
        <w:rPr>
          <w:rFonts w:ascii="Arabic Transparent" w:hAnsi="Arabic Transparent" w:cs="Arabic Transparent" w:hint="cs"/>
          <w:sz w:val="28"/>
          <w:szCs w:val="28"/>
          <w:rtl/>
          <w:lang w:val="en-AE" w:bidi="ar-JO"/>
        </w:rPr>
        <w:lastRenderedPageBreak/>
        <w:t>الخاص</w:t>
      </w:r>
      <w:r w:rsidR="00F5454D">
        <w:rPr>
          <w:rFonts w:ascii="Arabic Transparent" w:hAnsi="Arabic Transparent" w:cs="Arabic Transparent" w:hint="cs"/>
          <w:sz w:val="28"/>
          <w:szCs w:val="28"/>
          <w:rtl/>
          <w:lang w:val="en-AE" w:bidi="ar-JO"/>
        </w:rPr>
        <w:t>،</w:t>
      </w:r>
      <w:r w:rsidR="0054745A" w:rsidRPr="00B529EB">
        <w:rPr>
          <w:rFonts w:ascii="Arabic Transparent" w:hAnsi="Arabic Transparent" w:cs="Arabic Transparent" w:hint="cs"/>
          <w:sz w:val="28"/>
          <w:szCs w:val="28"/>
          <w:rtl/>
          <w:lang w:val="en-AE" w:bidi="ar-JO"/>
        </w:rPr>
        <w:t xml:space="preserve"> هو: إثبات ما عُلِّق به الحكم الشرعي من وصفٍ مؤثرٍ عند تطبيقه على شخص معين أو واقعة جزئية</w:t>
      </w:r>
      <w:r w:rsidR="000531CE">
        <w:rPr>
          <w:rFonts w:ascii="Arabic Transparent" w:hAnsi="Arabic Transparent" w:cs="Arabic Transparent" w:hint="cs"/>
          <w:sz w:val="28"/>
          <w:szCs w:val="28"/>
          <w:rtl/>
          <w:lang w:val="en-AE" w:bidi="ar-JO"/>
        </w:rPr>
        <w:t>.</w:t>
      </w:r>
    </w:p>
    <w:p w14:paraId="4F76CF56" w14:textId="77777777" w:rsidR="001D6980" w:rsidRDefault="001D6980">
      <w:pPr>
        <w:bidi w:val="0"/>
        <w:spacing w:after="0" w:line="240" w:lineRule="auto"/>
        <w:rPr>
          <w:rFonts w:ascii="Arabic Transparent" w:hAnsi="Arabic Transparent" w:cs="Arabic Transparent"/>
          <w:sz w:val="28"/>
          <w:szCs w:val="28"/>
          <w:rtl/>
          <w:lang w:val="en-AE" w:bidi="ar-JO"/>
        </w:rPr>
      </w:pPr>
      <w:r>
        <w:rPr>
          <w:rFonts w:ascii="Arabic Transparent" w:hAnsi="Arabic Transparent" w:cs="Arabic Transparent"/>
          <w:sz w:val="28"/>
          <w:szCs w:val="28"/>
          <w:rtl/>
          <w:lang w:val="en-AE" w:bidi="ar-JO"/>
        </w:rPr>
        <w:br w:type="page"/>
      </w:r>
    </w:p>
    <w:p w14:paraId="10AA4924" w14:textId="04014997" w:rsidR="00E7783E" w:rsidRPr="00B529EB" w:rsidRDefault="005D7B91" w:rsidP="00E7783E">
      <w:pPr>
        <w:spacing w:after="0" w:line="360" w:lineRule="auto"/>
        <w:jc w:val="both"/>
        <w:rPr>
          <w:rFonts w:ascii="Arabic Transparent" w:hAnsi="Arabic Transparent" w:cs="Arabic Transparent"/>
          <w:sz w:val="28"/>
          <w:szCs w:val="28"/>
          <w:rtl/>
          <w:lang w:val="en-AE" w:bidi="ar-JO"/>
        </w:rPr>
      </w:pPr>
      <w:r>
        <w:rPr>
          <w:rFonts w:ascii="Arabic Transparent" w:hAnsi="Arabic Transparent" w:cs="Arabic Transparent" w:hint="cs"/>
          <w:sz w:val="28"/>
          <w:szCs w:val="28"/>
          <w:rtl/>
          <w:lang w:val="en-AE" w:bidi="ar-JO"/>
        </w:rPr>
        <w:t xml:space="preserve">     </w:t>
      </w:r>
      <w:r w:rsidR="002D64E9">
        <w:rPr>
          <w:rFonts w:ascii="Arabic Transparent" w:hAnsi="Arabic Transparent" w:cs="Arabic Transparent" w:hint="cs"/>
          <w:sz w:val="28"/>
          <w:szCs w:val="28"/>
          <w:rtl/>
          <w:lang w:val="en-AE" w:bidi="ar-JO"/>
        </w:rPr>
        <w:t xml:space="preserve"> </w:t>
      </w:r>
      <w:r w:rsidR="00E7783E" w:rsidRPr="00E15539">
        <w:rPr>
          <w:rFonts w:ascii="Arabic Transparent" w:hAnsi="Arabic Transparent" w:cs="Arabic Transparent" w:hint="cs"/>
          <w:sz w:val="28"/>
          <w:szCs w:val="28"/>
          <w:rtl/>
          <w:lang w:val="en-AE" w:bidi="ar-JO"/>
        </w:rPr>
        <w:t xml:space="preserve">ويمكن شرح محترزات التعريف بما </w:t>
      </w:r>
      <w:r w:rsidR="00BF1052">
        <w:rPr>
          <w:rFonts w:ascii="Arabic Transparent" w:hAnsi="Arabic Transparent" w:cs="Arabic Transparent" w:hint="cs"/>
          <w:sz w:val="28"/>
          <w:szCs w:val="28"/>
          <w:rtl/>
          <w:lang w:val="en-AE" w:bidi="ar-JO"/>
        </w:rPr>
        <w:t>يأتي</w:t>
      </w:r>
      <w:r w:rsidR="00E7783E" w:rsidRPr="00E15539">
        <w:rPr>
          <w:rFonts w:ascii="Arabic Transparent" w:hAnsi="Arabic Transparent" w:cs="Arabic Transparent" w:hint="cs"/>
          <w:sz w:val="28"/>
          <w:szCs w:val="28"/>
          <w:rtl/>
          <w:lang w:val="en-AE" w:bidi="ar-JO"/>
        </w:rPr>
        <w:t>:</w:t>
      </w:r>
      <w:r w:rsidR="00E7783E" w:rsidRPr="00B529EB">
        <w:rPr>
          <w:rFonts w:ascii="Arabic Transparent" w:hAnsi="Arabic Transparent" w:cs="Arabic Transparent" w:hint="cs"/>
          <w:sz w:val="28"/>
          <w:szCs w:val="28"/>
          <w:rtl/>
          <w:lang w:val="en-AE" w:bidi="ar-JO"/>
        </w:rPr>
        <w:t xml:space="preserve"> </w:t>
      </w:r>
    </w:p>
    <w:p w14:paraId="5826DE27" w14:textId="54E60105" w:rsidR="00F55CF4" w:rsidRDefault="00E7783E" w:rsidP="001D6980">
      <w:pPr>
        <w:spacing w:after="0" w:line="360" w:lineRule="auto"/>
        <w:jc w:val="both"/>
        <w:rPr>
          <w:rFonts w:ascii="Arabic Transparent" w:hAnsi="Arabic Transparent" w:cs="Arabic Transparent"/>
          <w:sz w:val="28"/>
          <w:szCs w:val="28"/>
          <w:rtl/>
          <w:lang w:val="en-AE" w:bidi="ar-JO"/>
        </w:rPr>
      </w:pPr>
      <w:r w:rsidRPr="00B529EB">
        <w:rPr>
          <w:rFonts w:ascii="Arabic Transparent" w:hAnsi="Arabic Transparent" w:cs="Arabic Transparent" w:hint="cs"/>
          <w:sz w:val="28"/>
          <w:szCs w:val="28"/>
          <w:rtl/>
          <w:lang w:val="en-AE" w:bidi="ar-JO"/>
        </w:rPr>
        <w:t>"</w:t>
      </w:r>
      <w:r w:rsidRPr="009C4287">
        <w:rPr>
          <w:rFonts w:ascii="Arabic Transparent" w:hAnsi="Arabic Transparent" w:cs="Arabic Transparent" w:hint="cs"/>
          <w:b/>
          <w:bCs/>
          <w:sz w:val="28"/>
          <w:szCs w:val="28"/>
          <w:rtl/>
          <w:lang w:val="en-AE" w:bidi="ar-JO"/>
        </w:rPr>
        <w:t>إثبات</w:t>
      </w:r>
      <w:r w:rsidRPr="00B529EB">
        <w:rPr>
          <w:rFonts w:ascii="Arabic Transparent" w:hAnsi="Arabic Transparent" w:cs="Arabic Transparent" w:hint="cs"/>
          <w:sz w:val="28"/>
          <w:szCs w:val="28"/>
          <w:rtl/>
          <w:lang w:val="en-AE" w:bidi="ar-JO"/>
        </w:rPr>
        <w:t>"</w:t>
      </w:r>
      <w:r w:rsidR="00B2690C">
        <w:rPr>
          <w:rFonts w:ascii="Arabic Transparent" w:hAnsi="Arabic Transparent" w:cs="Arabic Transparent" w:hint="cs"/>
          <w:sz w:val="28"/>
          <w:szCs w:val="28"/>
          <w:rtl/>
          <w:lang w:val="en-AE" w:bidi="ar-JO"/>
        </w:rPr>
        <w:t>:</w:t>
      </w:r>
      <w:r w:rsidRPr="00B529EB">
        <w:rPr>
          <w:rFonts w:ascii="Arabic Transparent" w:hAnsi="Arabic Transparent" w:cs="Arabic Transparent" w:hint="cs"/>
          <w:sz w:val="28"/>
          <w:szCs w:val="28"/>
          <w:rtl/>
          <w:lang w:val="en-AE" w:bidi="ar-JO"/>
        </w:rPr>
        <w:t xml:space="preserve"> هو المعنى الراجح الذي توصّل إليه الباحث من مصطلح </w:t>
      </w:r>
      <w:r w:rsidR="00B2690C">
        <w:rPr>
          <w:rFonts w:ascii="Arabic Transparent" w:hAnsi="Arabic Transparent" w:cs="Arabic Transparent" w:hint="cs"/>
          <w:sz w:val="28"/>
          <w:szCs w:val="28"/>
          <w:rtl/>
          <w:lang w:val="en-AE" w:bidi="ar-JO"/>
        </w:rPr>
        <w:t>ال</w:t>
      </w:r>
      <w:r w:rsidRPr="00B529EB">
        <w:rPr>
          <w:rFonts w:ascii="Arabic Transparent" w:hAnsi="Arabic Transparent" w:cs="Arabic Transparent" w:hint="cs"/>
          <w:sz w:val="28"/>
          <w:szCs w:val="28"/>
          <w:rtl/>
          <w:lang w:val="en-AE" w:bidi="ar-JO"/>
        </w:rPr>
        <w:t>تحقيق</w:t>
      </w:r>
      <w:r w:rsidR="00B2690C">
        <w:rPr>
          <w:rFonts w:ascii="Arabic Transparent" w:hAnsi="Arabic Transparent" w:cs="Arabic Transparent" w:hint="cs"/>
          <w:sz w:val="28"/>
          <w:szCs w:val="28"/>
          <w:rtl/>
          <w:lang w:val="en-AE" w:bidi="ar-JO"/>
        </w:rPr>
        <w:t>،</w:t>
      </w:r>
      <w:r w:rsidRPr="00B529EB">
        <w:rPr>
          <w:rFonts w:ascii="Arabic Transparent" w:hAnsi="Arabic Transparent" w:cs="Arabic Transparent" w:hint="cs"/>
          <w:sz w:val="28"/>
          <w:szCs w:val="28"/>
          <w:rtl/>
          <w:lang w:val="en-AE" w:bidi="ar-JO"/>
        </w:rPr>
        <w:t xml:space="preserve"> وهو </w:t>
      </w:r>
      <w:r w:rsidR="00B2690C">
        <w:rPr>
          <w:rFonts w:ascii="Arabic Transparent" w:hAnsi="Arabic Transparent" w:cs="Arabic Transparent" w:hint="cs"/>
          <w:sz w:val="28"/>
          <w:szCs w:val="28"/>
          <w:rtl/>
          <w:lang w:val="en-AE" w:bidi="ar-JO"/>
        </w:rPr>
        <w:t>ي</w:t>
      </w:r>
      <w:r w:rsidRPr="00B529EB">
        <w:rPr>
          <w:rFonts w:ascii="Arabic Transparent" w:hAnsi="Arabic Transparent" w:cs="Arabic Transparent" w:hint="cs"/>
          <w:sz w:val="28"/>
          <w:szCs w:val="28"/>
          <w:rtl/>
          <w:lang w:val="en-AE" w:bidi="ar-JO"/>
        </w:rPr>
        <w:t>دل على وظيفة المجتهد.</w:t>
      </w:r>
    </w:p>
    <w:p w14:paraId="64FCC0D5" w14:textId="4B077159" w:rsidR="00E7783E" w:rsidRPr="00B529EB" w:rsidRDefault="00E7783E" w:rsidP="00E7783E">
      <w:pPr>
        <w:spacing w:after="0" w:line="360" w:lineRule="auto"/>
        <w:jc w:val="both"/>
        <w:rPr>
          <w:rFonts w:ascii="Arabic Transparent" w:hAnsi="Arabic Transparent" w:cs="Arabic Transparent"/>
          <w:sz w:val="28"/>
          <w:szCs w:val="28"/>
          <w:rtl/>
          <w:lang w:val="en-AE" w:bidi="ar-JO"/>
        </w:rPr>
      </w:pPr>
      <w:r w:rsidRPr="00B529EB">
        <w:rPr>
          <w:rFonts w:ascii="Arabic Transparent" w:hAnsi="Arabic Transparent" w:cs="Arabic Transparent" w:hint="cs"/>
          <w:sz w:val="28"/>
          <w:szCs w:val="28"/>
          <w:rtl/>
          <w:lang w:val="en-AE" w:bidi="ar-JO"/>
        </w:rPr>
        <w:t>"</w:t>
      </w:r>
      <w:r w:rsidRPr="009C4287">
        <w:rPr>
          <w:rFonts w:ascii="Arabic Transparent" w:hAnsi="Arabic Transparent" w:cs="Arabic Transparent" w:hint="cs"/>
          <w:b/>
          <w:bCs/>
          <w:sz w:val="28"/>
          <w:szCs w:val="28"/>
          <w:rtl/>
          <w:lang w:val="en-AE" w:bidi="ar-JO"/>
        </w:rPr>
        <w:t>ما علّق به الحكم الشرعي</w:t>
      </w:r>
      <w:r w:rsidRPr="00B529EB">
        <w:rPr>
          <w:rFonts w:ascii="Arabic Transparent" w:hAnsi="Arabic Transparent" w:cs="Arabic Transparent" w:hint="cs"/>
          <w:sz w:val="28"/>
          <w:szCs w:val="28"/>
          <w:rtl/>
          <w:lang w:val="en-AE" w:bidi="ar-JO"/>
        </w:rPr>
        <w:t>"</w:t>
      </w:r>
      <w:r w:rsidR="00B2690C">
        <w:rPr>
          <w:rFonts w:ascii="Arabic Transparent" w:hAnsi="Arabic Transparent" w:cs="Arabic Transparent" w:hint="cs"/>
          <w:sz w:val="28"/>
          <w:szCs w:val="28"/>
          <w:rtl/>
          <w:lang w:val="en-AE" w:bidi="ar-JO"/>
        </w:rPr>
        <w:t>:</w:t>
      </w:r>
      <w:r w:rsidRPr="00B529EB">
        <w:rPr>
          <w:rFonts w:ascii="Arabic Transparent" w:hAnsi="Arabic Transparent" w:cs="Arabic Transparent" w:hint="cs"/>
          <w:sz w:val="28"/>
          <w:szCs w:val="28"/>
          <w:rtl/>
          <w:lang w:val="en-AE" w:bidi="ar-JO"/>
        </w:rPr>
        <w:t xml:space="preserve"> وهو المعنى الراجح لمفهوم المناط</w:t>
      </w:r>
      <w:r w:rsidR="00B2690C">
        <w:rPr>
          <w:rFonts w:ascii="Arabic Transparent" w:hAnsi="Arabic Transparent" w:cs="Arabic Transparent" w:hint="cs"/>
          <w:sz w:val="28"/>
          <w:szCs w:val="28"/>
          <w:rtl/>
          <w:lang w:val="en-AE" w:bidi="ar-JO"/>
        </w:rPr>
        <w:t>،</w:t>
      </w:r>
      <w:r w:rsidRPr="00B529EB">
        <w:rPr>
          <w:rFonts w:ascii="Arabic Transparent" w:hAnsi="Arabic Transparent" w:cs="Arabic Transparent" w:hint="cs"/>
          <w:sz w:val="28"/>
          <w:szCs w:val="28"/>
          <w:rtl/>
          <w:lang w:val="en-AE" w:bidi="ar-JO"/>
        </w:rPr>
        <w:t xml:space="preserve"> وهو أعم من مفهوم العلة</w:t>
      </w:r>
      <w:r w:rsidR="00B2690C">
        <w:rPr>
          <w:rFonts w:ascii="Arabic Transparent" w:hAnsi="Arabic Transparent" w:cs="Arabic Transparent" w:hint="cs"/>
          <w:sz w:val="28"/>
          <w:szCs w:val="28"/>
          <w:rtl/>
          <w:lang w:val="en-AE" w:bidi="ar-JO"/>
        </w:rPr>
        <w:t>،</w:t>
      </w:r>
      <w:r w:rsidRPr="00B529EB">
        <w:rPr>
          <w:rFonts w:ascii="Arabic Transparent" w:hAnsi="Arabic Transparent" w:cs="Arabic Transparent" w:hint="cs"/>
          <w:sz w:val="28"/>
          <w:szCs w:val="28"/>
          <w:rtl/>
          <w:lang w:val="en-AE" w:bidi="ar-JO"/>
        </w:rPr>
        <w:t xml:space="preserve"> حيث يشمل العلة</w:t>
      </w:r>
      <w:r w:rsidR="00B2690C">
        <w:rPr>
          <w:rFonts w:ascii="Arabic Transparent" w:hAnsi="Arabic Transparent" w:cs="Arabic Transparent" w:hint="cs"/>
          <w:sz w:val="28"/>
          <w:szCs w:val="28"/>
          <w:rtl/>
          <w:lang w:val="en-AE" w:bidi="ar-JO"/>
        </w:rPr>
        <w:t>،</w:t>
      </w:r>
      <w:r w:rsidRPr="00B529EB">
        <w:rPr>
          <w:rFonts w:ascii="Arabic Transparent" w:hAnsi="Arabic Transparent" w:cs="Arabic Transparent" w:hint="cs"/>
          <w:sz w:val="28"/>
          <w:szCs w:val="28"/>
          <w:rtl/>
          <w:lang w:val="en-AE" w:bidi="ar-JO"/>
        </w:rPr>
        <w:t xml:space="preserve"> والقاعدة الشرعية</w:t>
      </w:r>
      <w:r w:rsidR="00B2690C">
        <w:rPr>
          <w:rFonts w:ascii="Arabic Transparent" w:hAnsi="Arabic Transparent" w:cs="Arabic Transparent" w:hint="cs"/>
          <w:sz w:val="28"/>
          <w:szCs w:val="28"/>
          <w:rtl/>
          <w:lang w:val="en-AE" w:bidi="ar-JO"/>
        </w:rPr>
        <w:t>،</w:t>
      </w:r>
      <w:r w:rsidRPr="00B529EB">
        <w:rPr>
          <w:rFonts w:ascii="Arabic Transparent" w:hAnsi="Arabic Transparent" w:cs="Arabic Transparent" w:hint="cs"/>
          <w:sz w:val="28"/>
          <w:szCs w:val="28"/>
          <w:rtl/>
          <w:lang w:val="en-AE" w:bidi="ar-JO"/>
        </w:rPr>
        <w:t xml:space="preserve"> والمعنى الكلي العام</w:t>
      </w:r>
      <w:r w:rsidR="00B2690C">
        <w:rPr>
          <w:rFonts w:ascii="Arabic Transparent" w:hAnsi="Arabic Transparent" w:cs="Arabic Transparent" w:hint="cs"/>
          <w:sz w:val="28"/>
          <w:szCs w:val="28"/>
          <w:rtl/>
          <w:lang w:val="en-AE" w:bidi="ar-JO"/>
        </w:rPr>
        <w:t>، ويقيد بالخاص بالوقائع المتغيرة، التي يتغير الحكم عليها بتغير الواقعة وملابساتها</w:t>
      </w:r>
      <w:r w:rsidRPr="00B529EB">
        <w:rPr>
          <w:rFonts w:ascii="Arabic Transparent" w:hAnsi="Arabic Transparent" w:cs="Arabic Transparent" w:hint="cs"/>
          <w:sz w:val="28"/>
          <w:szCs w:val="28"/>
          <w:vertAlign w:val="superscript"/>
          <w:rtl/>
          <w:lang w:val="en-AE" w:bidi="ar-JO"/>
        </w:rPr>
        <w:t>(</w:t>
      </w:r>
      <w:r w:rsidRPr="00B529EB">
        <w:rPr>
          <w:rStyle w:val="FootnoteReference"/>
          <w:rFonts w:ascii="Arabic Transparent" w:hAnsi="Arabic Transparent" w:cs="Arabic Transparent" w:hint="cs"/>
          <w:sz w:val="28"/>
          <w:szCs w:val="28"/>
          <w:rtl/>
          <w:lang w:val="en-AE" w:bidi="ar-JO"/>
        </w:rPr>
        <w:footnoteReference w:id="50"/>
      </w:r>
      <w:r w:rsidRPr="00B529EB">
        <w:rPr>
          <w:rFonts w:ascii="Arabic Transparent" w:hAnsi="Arabic Transparent" w:cs="Arabic Transparent" w:hint="cs"/>
          <w:sz w:val="28"/>
          <w:szCs w:val="28"/>
          <w:vertAlign w:val="superscript"/>
          <w:rtl/>
          <w:lang w:val="en-AE" w:bidi="ar-JO"/>
        </w:rPr>
        <w:t>)</w:t>
      </w:r>
      <w:r w:rsidRPr="00B529EB">
        <w:rPr>
          <w:rFonts w:ascii="Arabic Transparent" w:hAnsi="Arabic Transparent" w:cs="Arabic Transparent" w:hint="cs"/>
          <w:sz w:val="28"/>
          <w:szCs w:val="28"/>
          <w:rtl/>
          <w:lang w:val="en-AE" w:bidi="ar-JO"/>
        </w:rPr>
        <w:t>.</w:t>
      </w:r>
    </w:p>
    <w:p w14:paraId="4F7EA43D" w14:textId="0BF8DE4D" w:rsidR="00E7783E" w:rsidRPr="00B529EB" w:rsidRDefault="00E7783E" w:rsidP="00E7783E">
      <w:pPr>
        <w:spacing w:after="0" w:line="360" w:lineRule="auto"/>
        <w:jc w:val="both"/>
        <w:rPr>
          <w:rFonts w:ascii="Arabic Transparent" w:hAnsi="Arabic Transparent" w:cs="Arabic Transparent"/>
          <w:sz w:val="28"/>
          <w:szCs w:val="28"/>
          <w:rtl/>
          <w:lang w:val="en-AE" w:bidi="ar-JO"/>
        </w:rPr>
      </w:pPr>
      <w:r w:rsidRPr="00B529EB">
        <w:rPr>
          <w:rFonts w:ascii="Arabic Transparent" w:hAnsi="Arabic Transparent" w:cs="Arabic Transparent" w:hint="cs"/>
          <w:sz w:val="28"/>
          <w:szCs w:val="28"/>
          <w:rtl/>
          <w:lang w:val="en-AE" w:bidi="ar-JO"/>
        </w:rPr>
        <w:t>"</w:t>
      </w:r>
      <w:r w:rsidRPr="009C4287">
        <w:rPr>
          <w:rFonts w:ascii="Arabic Transparent" w:hAnsi="Arabic Transparent" w:cs="Arabic Transparent" w:hint="cs"/>
          <w:b/>
          <w:bCs/>
          <w:sz w:val="28"/>
          <w:szCs w:val="28"/>
          <w:rtl/>
          <w:lang w:val="en-AE" w:bidi="ar-JO"/>
        </w:rPr>
        <w:t>من وصف مؤثر</w:t>
      </w:r>
      <w:r w:rsidRPr="00B529EB">
        <w:rPr>
          <w:rFonts w:ascii="Arabic Transparent" w:hAnsi="Arabic Transparent" w:cs="Arabic Transparent" w:hint="cs"/>
          <w:sz w:val="28"/>
          <w:szCs w:val="28"/>
          <w:rtl/>
          <w:lang w:val="en-AE" w:bidi="ar-JO"/>
        </w:rPr>
        <w:t>" هو الوصف المنصوص</w:t>
      </w:r>
      <w:r w:rsidR="00B2690C">
        <w:rPr>
          <w:rFonts w:ascii="Arabic Transparent" w:hAnsi="Arabic Transparent" w:cs="Arabic Transparent" w:hint="cs"/>
          <w:sz w:val="28"/>
          <w:szCs w:val="28"/>
          <w:rtl/>
          <w:lang w:val="en-AE" w:bidi="ar-JO"/>
        </w:rPr>
        <w:t>،</w:t>
      </w:r>
      <w:r w:rsidRPr="00B529EB">
        <w:rPr>
          <w:rFonts w:ascii="Arabic Transparent" w:hAnsi="Arabic Transparent" w:cs="Arabic Transparent" w:hint="cs"/>
          <w:sz w:val="28"/>
          <w:szCs w:val="28"/>
          <w:rtl/>
          <w:lang w:val="en-AE" w:bidi="ar-JO"/>
        </w:rPr>
        <w:t xml:space="preserve"> أو المجمع عليه</w:t>
      </w:r>
      <w:r w:rsidR="00B2690C">
        <w:rPr>
          <w:rFonts w:ascii="Arabic Transparent" w:hAnsi="Arabic Transparent" w:cs="Arabic Transparent" w:hint="cs"/>
          <w:sz w:val="28"/>
          <w:szCs w:val="28"/>
          <w:rtl/>
          <w:lang w:val="en-AE" w:bidi="ar-JO"/>
        </w:rPr>
        <w:t>،</w:t>
      </w:r>
      <w:r w:rsidRPr="00B529EB">
        <w:rPr>
          <w:rFonts w:ascii="Arabic Transparent" w:hAnsi="Arabic Transparent" w:cs="Arabic Transparent" w:hint="cs"/>
          <w:sz w:val="28"/>
          <w:szCs w:val="28"/>
          <w:rtl/>
          <w:lang w:val="en-AE" w:bidi="ar-JO"/>
        </w:rPr>
        <w:t xml:space="preserve"> أو المستنبط الذي يؤثر بالحكم وجوداً وعدماً. </w:t>
      </w:r>
    </w:p>
    <w:p w14:paraId="3BD1F012" w14:textId="02E94C0F" w:rsidR="00625C31" w:rsidRPr="004048F1" w:rsidRDefault="00E15539" w:rsidP="009C4287">
      <w:pPr>
        <w:spacing w:after="0" w:line="360" w:lineRule="auto"/>
        <w:jc w:val="both"/>
        <w:rPr>
          <w:rFonts w:ascii="Arabic Transparent" w:hAnsi="Arabic Transparent" w:cs="Arabic Transparent"/>
          <w:sz w:val="28"/>
          <w:szCs w:val="28"/>
          <w:lang w:bidi="ar-JO"/>
        </w:rPr>
      </w:pPr>
      <w:r w:rsidRPr="00B529EB">
        <w:rPr>
          <w:rFonts w:ascii="Arabic Transparent" w:hAnsi="Arabic Transparent" w:cs="Arabic Transparent" w:hint="cs"/>
          <w:sz w:val="28"/>
          <w:szCs w:val="28"/>
          <w:rtl/>
          <w:lang w:val="en-AE" w:bidi="ar-JO"/>
        </w:rPr>
        <w:t>"</w:t>
      </w:r>
      <w:r w:rsidRPr="009C4287">
        <w:rPr>
          <w:rFonts w:ascii="Arabic Transparent" w:hAnsi="Arabic Transparent" w:cs="Arabic Transparent" w:hint="cs"/>
          <w:b/>
          <w:bCs/>
          <w:sz w:val="28"/>
          <w:szCs w:val="28"/>
          <w:rtl/>
          <w:lang w:val="en-AE" w:bidi="ar-JO"/>
        </w:rPr>
        <w:t>عند تطبيقه على شخص معين أو واقعة جزئية</w:t>
      </w:r>
      <w:r w:rsidRPr="00B529EB">
        <w:rPr>
          <w:rFonts w:ascii="Arabic Transparent" w:hAnsi="Arabic Transparent" w:cs="Arabic Transparent" w:hint="cs"/>
          <w:sz w:val="28"/>
          <w:szCs w:val="28"/>
          <w:rtl/>
          <w:lang w:val="en-AE" w:bidi="ar-JO"/>
        </w:rPr>
        <w:t xml:space="preserve">" </w:t>
      </w:r>
      <w:r w:rsidR="00B2690C">
        <w:rPr>
          <w:rFonts w:ascii="Arabic Transparent" w:hAnsi="Arabic Transparent" w:cs="Arabic Transparent" w:hint="cs"/>
          <w:sz w:val="28"/>
          <w:szCs w:val="28"/>
          <w:rtl/>
          <w:lang w:val="en-AE" w:bidi="ar-JO"/>
        </w:rPr>
        <w:t>يخرج من محترزات التعريف كونها</w:t>
      </w:r>
      <w:r w:rsidRPr="00B529EB">
        <w:rPr>
          <w:rFonts w:ascii="Arabic Transparent" w:hAnsi="Arabic Transparent" w:cs="Arabic Transparent" w:hint="cs"/>
          <w:sz w:val="28"/>
          <w:szCs w:val="28"/>
          <w:rtl/>
          <w:lang w:val="en-AE" w:bidi="ar-JO"/>
        </w:rPr>
        <w:t xml:space="preserve"> ليست قاعدة عامة</w:t>
      </w:r>
      <w:r w:rsidRPr="00B529EB">
        <w:rPr>
          <w:rFonts w:ascii="Arabic Transparent" w:hAnsi="Arabic Transparent" w:cs="Arabic Transparent" w:hint="eastAsia"/>
          <w:sz w:val="28"/>
          <w:szCs w:val="28"/>
          <w:rtl/>
          <w:lang w:val="en-AE" w:bidi="ar-JO"/>
        </w:rPr>
        <w:t>،</w:t>
      </w:r>
      <w:r w:rsidRPr="00B529EB">
        <w:rPr>
          <w:rFonts w:ascii="Arabic Transparent" w:hAnsi="Arabic Transparent" w:cs="Arabic Transparent" w:hint="cs"/>
          <w:sz w:val="28"/>
          <w:szCs w:val="28"/>
          <w:rtl/>
          <w:lang w:val="en-AE" w:bidi="ar-JO"/>
        </w:rPr>
        <w:t xml:space="preserve"> بل يطبق الحكم على كل حالة بعينها معتبراً للأوصاف المؤثرة في تحقيق المناط، فإذا ق</w:t>
      </w:r>
      <w:r w:rsidR="002D64E9">
        <w:rPr>
          <w:rFonts w:ascii="Arabic Transparent" w:hAnsi="Arabic Transparent" w:cs="Arabic Transparent" w:hint="cs"/>
          <w:sz w:val="28"/>
          <w:szCs w:val="28"/>
          <w:rtl/>
          <w:lang w:val="en-AE" w:bidi="ar-JO"/>
        </w:rPr>
        <w:t>يل:</w:t>
      </w:r>
      <w:r w:rsidRPr="00B529EB">
        <w:rPr>
          <w:rFonts w:ascii="Arabic Transparent" w:hAnsi="Arabic Transparent" w:cs="Arabic Transparent" w:hint="cs"/>
          <w:sz w:val="28"/>
          <w:szCs w:val="28"/>
          <w:rtl/>
          <w:lang w:val="en-AE" w:bidi="ar-JO"/>
        </w:rPr>
        <w:t xml:space="preserve"> </w:t>
      </w:r>
      <w:r w:rsidR="002D64E9">
        <w:rPr>
          <w:rFonts w:ascii="Arabic Transparent" w:hAnsi="Arabic Transparent" w:cs="Arabic Transparent" w:hint="cs"/>
          <w:sz w:val="28"/>
          <w:szCs w:val="28"/>
          <w:rtl/>
          <w:lang w:val="en-AE" w:bidi="ar-JO"/>
        </w:rPr>
        <w:t>إ</w:t>
      </w:r>
      <w:r w:rsidRPr="00B529EB">
        <w:rPr>
          <w:rFonts w:ascii="Arabic Transparent" w:hAnsi="Arabic Transparent" w:cs="Arabic Transparent" w:hint="cs"/>
          <w:sz w:val="28"/>
          <w:szCs w:val="28"/>
          <w:rtl/>
          <w:lang w:val="en-AE" w:bidi="ar-JO"/>
        </w:rPr>
        <w:t>نَّ التداول بالنقود أصله الإباحة</w:t>
      </w:r>
      <w:r w:rsidR="002D64E9">
        <w:rPr>
          <w:rFonts w:ascii="Arabic Transparent" w:hAnsi="Arabic Transparent" w:cs="Arabic Transparent" w:hint="cs"/>
          <w:sz w:val="28"/>
          <w:szCs w:val="28"/>
          <w:rtl/>
          <w:lang w:val="en-AE" w:bidi="ar-JO"/>
        </w:rPr>
        <w:t xml:space="preserve">، فيُرد عليه: </w:t>
      </w:r>
      <w:r w:rsidRPr="00B529EB">
        <w:rPr>
          <w:rFonts w:ascii="Arabic Transparent" w:hAnsi="Arabic Transparent" w:cs="Arabic Transparent" w:hint="cs"/>
          <w:sz w:val="28"/>
          <w:szCs w:val="28"/>
          <w:rtl/>
          <w:lang w:val="en-AE" w:bidi="ar-JO"/>
        </w:rPr>
        <w:t>لا يصح أن ي</w:t>
      </w:r>
      <w:r w:rsidR="002D64E9">
        <w:rPr>
          <w:rFonts w:ascii="Arabic Transparent" w:hAnsi="Arabic Transparent" w:cs="Arabic Transparent" w:hint="cs"/>
          <w:sz w:val="28"/>
          <w:szCs w:val="28"/>
          <w:rtl/>
          <w:lang w:val="en-AE" w:bidi="ar-JO"/>
        </w:rPr>
        <w:t>ُ</w:t>
      </w:r>
      <w:r w:rsidRPr="00B529EB">
        <w:rPr>
          <w:rFonts w:ascii="Arabic Transparent" w:hAnsi="Arabic Transparent" w:cs="Arabic Transparent" w:hint="cs"/>
          <w:sz w:val="28"/>
          <w:szCs w:val="28"/>
          <w:rtl/>
          <w:lang w:val="en-AE" w:bidi="ar-JO"/>
        </w:rPr>
        <w:t>عمم هذا الحكم على جميع صور وأشكال التداول بالنقود، بل عليه أن يحقق المناط في كل مسألة وواقعة جزئية على حدة</w:t>
      </w:r>
      <w:r w:rsidRPr="00B529EB">
        <w:rPr>
          <w:rFonts w:ascii="Arabic Transparent" w:hAnsi="Arabic Transparent" w:cs="Arabic Transparent" w:hint="cs"/>
          <w:sz w:val="28"/>
          <w:szCs w:val="28"/>
          <w:vertAlign w:val="superscript"/>
          <w:rtl/>
          <w:lang w:val="en-AE" w:bidi="ar-JO"/>
        </w:rPr>
        <w:t>(</w:t>
      </w:r>
      <w:r w:rsidRPr="00B529EB">
        <w:rPr>
          <w:rStyle w:val="FootnoteReference"/>
          <w:rFonts w:ascii="Arabic Transparent" w:hAnsi="Arabic Transparent" w:cs="Arabic Transparent" w:hint="cs"/>
          <w:sz w:val="28"/>
          <w:szCs w:val="28"/>
          <w:rtl/>
          <w:lang w:val="en-AE" w:bidi="ar-JO"/>
        </w:rPr>
        <w:footnoteReference w:id="51"/>
      </w:r>
      <w:r w:rsidRPr="00B529EB">
        <w:rPr>
          <w:rFonts w:ascii="Arabic Transparent" w:hAnsi="Arabic Transparent" w:cs="Arabic Transparent" w:hint="cs"/>
          <w:sz w:val="28"/>
          <w:szCs w:val="28"/>
          <w:vertAlign w:val="superscript"/>
          <w:rtl/>
          <w:lang w:val="en-AE" w:bidi="ar-JO"/>
        </w:rPr>
        <w:t>)</w:t>
      </w:r>
      <w:r w:rsidRPr="00B529EB">
        <w:rPr>
          <w:rFonts w:ascii="Arabic Transparent" w:hAnsi="Arabic Transparent" w:cs="Arabic Transparent" w:hint="cs"/>
          <w:sz w:val="28"/>
          <w:szCs w:val="28"/>
          <w:rtl/>
          <w:lang w:val="en-AE" w:bidi="ar-JO"/>
        </w:rPr>
        <w:t xml:space="preserve">. </w:t>
      </w:r>
    </w:p>
    <w:p w14:paraId="75F09B9F" w14:textId="06692FE9" w:rsidR="00360714" w:rsidRPr="002C707F" w:rsidRDefault="00791C7B" w:rsidP="00791C7B">
      <w:pPr>
        <w:spacing w:after="0" w:line="360" w:lineRule="auto"/>
        <w:rPr>
          <w:rFonts w:ascii="Arabic Transparent" w:hAnsi="Arabic Transparent" w:cs="Arabic Transparent"/>
          <w:b/>
          <w:bCs/>
          <w:sz w:val="32"/>
          <w:szCs w:val="32"/>
          <w:rtl/>
          <w:lang w:val="en-AE" w:bidi="ar-JO"/>
        </w:rPr>
      </w:pPr>
      <w:r w:rsidRPr="002C707F">
        <w:rPr>
          <w:rFonts w:ascii="Arabic Transparent" w:hAnsi="Arabic Transparent" w:cs="Arabic Transparent" w:hint="cs"/>
          <w:b/>
          <w:bCs/>
          <w:sz w:val="32"/>
          <w:szCs w:val="32"/>
          <w:rtl/>
          <w:lang w:val="en-AE" w:bidi="ar-JO"/>
        </w:rPr>
        <w:t xml:space="preserve">المطلب </w:t>
      </w:r>
      <w:r w:rsidR="00577D62" w:rsidRPr="002C707F">
        <w:rPr>
          <w:rFonts w:ascii="Arabic Transparent" w:hAnsi="Arabic Transparent" w:cs="Arabic Transparent" w:hint="cs"/>
          <w:b/>
          <w:bCs/>
          <w:sz w:val="32"/>
          <w:szCs w:val="32"/>
          <w:rtl/>
          <w:lang w:val="en-AE" w:bidi="ar-JO"/>
        </w:rPr>
        <w:t>الثا</w:t>
      </w:r>
      <w:r w:rsidR="00EC34C2" w:rsidRPr="002C707F">
        <w:rPr>
          <w:rFonts w:ascii="Arabic Transparent" w:hAnsi="Arabic Transparent" w:cs="Arabic Transparent" w:hint="cs"/>
          <w:b/>
          <w:bCs/>
          <w:sz w:val="32"/>
          <w:szCs w:val="32"/>
          <w:rtl/>
          <w:lang w:val="en-AE" w:bidi="ar-JO"/>
        </w:rPr>
        <w:t>لث</w:t>
      </w:r>
      <w:r w:rsidR="00B01971" w:rsidRPr="002C707F">
        <w:rPr>
          <w:rFonts w:ascii="Arabic Transparent" w:hAnsi="Arabic Transparent" w:cs="Arabic Transparent" w:hint="cs"/>
          <w:b/>
          <w:bCs/>
          <w:sz w:val="32"/>
          <w:szCs w:val="32"/>
          <w:rtl/>
          <w:lang w:val="en-AE" w:bidi="ar-JO"/>
        </w:rPr>
        <w:t>:</w:t>
      </w:r>
      <w:r w:rsidRPr="002C707F">
        <w:rPr>
          <w:rFonts w:ascii="Arabic Transparent" w:hAnsi="Arabic Transparent" w:cs="Arabic Transparent" w:hint="cs"/>
          <w:b/>
          <w:bCs/>
          <w:sz w:val="32"/>
          <w:szCs w:val="32"/>
          <w:rtl/>
          <w:lang w:val="en-AE" w:bidi="ar-JO"/>
        </w:rPr>
        <w:t xml:space="preserve"> </w:t>
      </w:r>
      <w:r w:rsidR="00B01971" w:rsidRPr="002C707F">
        <w:rPr>
          <w:rFonts w:ascii="Arabic Transparent" w:hAnsi="Arabic Transparent" w:cs="Arabic Transparent" w:hint="cs"/>
          <w:b/>
          <w:bCs/>
          <w:sz w:val="32"/>
          <w:szCs w:val="32"/>
          <w:rtl/>
          <w:lang w:val="en-AE" w:bidi="ar-JO"/>
        </w:rPr>
        <w:t>الألفاظ ذات الصلة</w:t>
      </w:r>
      <w:r w:rsidR="0064053C" w:rsidRPr="002C707F">
        <w:rPr>
          <w:rFonts w:ascii="Arabic Transparent" w:hAnsi="Arabic Transparent" w:cs="Arabic Transparent" w:hint="cs"/>
          <w:b/>
          <w:bCs/>
          <w:sz w:val="32"/>
          <w:szCs w:val="32"/>
          <w:rtl/>
          <w:lang w:val="en-AE" w:bidi="ar-JO"/>
        </w:rPr>
        <w:t xml:space="preserve"> </w:t>
      </w:r>
    </w:p>
    <w:p w14:paraId="4B881FA8" w14:textId="530A8E14" w:rsidR="00E07CD8" w:rsidRPr="00B529EB" w:rsidRDefault="00E07CD8" w:rsidP="002D64E9">
      <w:pPr>
        <w:spacing w:after="0" w:line="360" w:lineRule="auto"/>
        <w:ind w:firstLine="332"/>
        <w:jc w:val="both"/>
        <w:rPr>
          <w:rFonts w:ascii="Arabic Transparent" w:hAnsi="Arabic Transparent" w:cs="Arabic Transparent"/>
          <w:sz w:val="28"/>
          <w:szCs w:val="28"/>
          <w:rtl/>
          <w:lang w:val="en-AE" w:bidi="ar-JO"/>
        </w:rPr>
      </w:pPr>
      <w:r w:rsidRPr="00B529EB">
        <w:rPr>
          <w:rFonts w:ascii="Arabic Transparent" w:hAnsi="Arabic Transparent" w:cs="Arabic Transparent" w:hint="cs"/>
          <w:sz w:val="28"/>
          <w:szCs w:val="28"/>
          <w:rtl/>
          <w:lang w:val="en-AE" w:bidi="ar-JO"/>
        </w:rPr>
        <w:t xml:space="preserve">يقسم الأصوليون الاجتهاد بالنظر إلى </w:t>
      </w:r>
      <w:r w:rsidR="00F97E24" w:rsidRPr="00B529EB">
        <w:rPr>
          <w:rFonts w:ascii="Arabic Transparent" w:hAnsi="Arabic Transparent" w:cs="Arabic Transparent" w:hint="cs"/>
          <w:sz w:val="28"/>
          <w:szCs w:val="28"/>
          <w:rtl/>
          <w:lang w:val="en-AE" w:bidi="ar-JO"/>
        </w:rPr>
        <w:t>علة</w:t>
      </w:r>
      <w:r w:rsidRPr="00B529EB">
        <w:rPr>
          <w:rFonts w:ascii="Arabic Transparent" w:hAnsi="Arabic Transparent" w:cs="Arabic Transparent" w:hint="cs"/>
          <w:sz w:val="28"/>
          <w:szCs w:val="28"/>
          <w:rtl/>
          <w:lang w:val="en-AE" w:bidi="ar-JO"/>
        </w:rPr>
        <w:t xml:space="preserve"> الحكم </w:t>
      </w:r>
      <w:r w:rsidR="00C15328">
        <w:rPr>
          <w:rFonts w:ascii="Arabic Transparent" w:hAnsi="Arabic Transparent" w:cs="Arabic Transparent" w:hint="cs"/>
          <w:sz w:val="28"/>
          <w:szCs w:val="28"/>
          <w:rtl/>
          <w:lang w:val="en-AE" w:bidi="ar-JO"/>
        </w:rPr>
        <w:t>على</w:t>
      </w:r>
      <w:r w:rsidRPr="00B529EB">
        <w:rPr>
          <w:rFonts w:ascii="Arabic Transparent" w:hAnsi="Arabic Transparent" w:cs="Arabic Transparent" w:hint="cs"/>
          <w:sz w:val="28"/>
          <w:szCs w:val="28"/>
          <w:rtl/>
          <w:lang w:val="en-AE" w:bidi="ar-JO"/>
        </w:rPr>
        <w:t xml:space="preserve"> ثلاثة أنواع</w:t>
      </w:r>
      <w:r w:rsidR="00C15328">
        <w:rPr>
          <w:rFonts w:ascii="Arabic Transparent" w:hAnsi="Arabic Transparent" w:cs="Arabic Transparent" w:hint="cs"/>
          <w:sz w:val="28"/>
          <w:szCs w:val="28"/>
          <w:rtl/>
          <w:lang w:val="en-AE" w:bidi="ar-JO"/>
        </w:rPr>
        <w:t>،</w:t>
      </w:r>
      <w:r w:rsidRPr="00B529EB">
        <w:rPr>
          <w:rFonts w:ascii="Arabic Transparent" w:hAnsi="Arabic Transparent" w:cs="Arabic Transparent" w:hint="cs"/>
          <w:sz w:val="28"/>
          <w:szCs w:val="28"/>
          <w:rtl/>
          <w:lang w:val="en-AE" w:bidi="ar-JO"/>
        </w:rPr>
        <w:t xml:space="preserve"> وهي: </w:t>
      </w:r>
      <w:r w:rsidR="00C15328">
        <w:rPr>
          <w:rFonts w:ascii="Arabic Transparent" w:hAnsi="Arabic Transparent" w:cs="Arabic Transparent" w:hint="cs"/>
          <w:sz w:val="28"/>
          <w:szCs w:val="28"/>
          <w:rtl/>
          <w:lang w:val="en-AE" w:bidi="ar-JO"/>
        </w:rPr>
        <w:t>"</w:t>
      </w:r>
      <w:r w:rsidRPr="00B529EB">
        <w:rPr>
          <w:rFonts w:ascii="Arabic Transparent" w:hAnsi="Arabic Transparent" w:cs="Arabic Transparent" w:hint="cs"/>
          <w:sz w:val="28"/>
          <w:szCs w:val="28"/>
          <w:rtl/>
          <w:lang w:val="en-AE" w:bidi="ar-JO"/>
        </w:rPr>
        <w:t>تحقيق المناط، وتخريج المناط، وتنقيح المناط</w:t>
      </w:r>
      <w:r w:rsidR="00C15328" w:rsidRPr="00C15328">
        <w:rPr>
          <w:rFonts w:ascii="Arabic Transparent" w:hAnsi="Arabic Transparent" w:cs="Arabic Transparent" w:hint="cs"/>
          <w:sz w:val="28"/>
          <w:szCs w:val="28"/>
          <w:rtl/>
          <w:lang w:val="en-AE" w:bidi="ar-JO"/>
        </w:rPr>
        <w:t>"</w:t>
      </w:r>
      <w:r w:rsidR="00331D5D" w:rsidRPr="00B529EB">
        <w:rPr>
          <w:rFonts w:ascii="Arabic Transparent" w:hAnsi="Arabic Transparent" w:cs="Arabic Transparent" w:hint="cs"/>
          <w:sz w:val="28"/>
          <w:szCs w:val="28"/>
          <w:vertAlign w:val="superscript"/>
          <w:rtl/>
          <w:lang w:val="en-AE" w:bidi="ar-JO"/>
        </w:rPr>
        <w:t>(</w:t>
      </w:r>
      <w:r w:rsidR="00331D5D" w:rsidRPr="00B529EB">
        <w:rPr>
          <w:rStyle w:val="FootnoteReference"/>
          <w:rFonts w:ascii="Arabic Transparent" w:hAnsi="Arabic Transparent" w:cs="Arabic Transparent" w:hint="cs"/>
          <w:sz w:val="28"/>
          <w:szCs w:val="28"/>
          <w:rtl/>
          <w:lang w:val="en-AE" w:bidi="ar-JO"/>
        </w:rPr>
        <w:footnoteReference w:id="52"/>
      </w:r>
      <w:r w:rsidR="00331D5D" w:rsidRPr="00B529EB">
        <w:rPr>
          <w:rFonts w:ascii="Arabic Transparent" w:hAnsi="Arabic Transparent" w:cs="Arabic Transparent" w:hint="cs"/>
          <w:sz w:val="28"/>
          <w:szCs w:val="28"/>
          <w:vertAlign w:val="superscript"/>
          <w:rtl/>
          <w:lang w:val="en-AE" w:bidi="ar-JO"/>
        </w:rPr>
        <w:t>)</w:t>
      </w:r>
      <w:r w:rsidR="00331D5D" w:rsidRPr="00B529EB">
        <w:rPr>
          <w:rFonts w:ascii="Arabic Transparent" w:hAnsi="Arabic Transparent" w:cs="Arabic Transparent" w:hint="cs"/>
          <w:sz w:val="28"/>
          <w:szCs w:val="28"/>
          <w:rtl/>
          <w:lang w:val="en-AE" w:bidi="ar-JO"/>
        </w:rPr>
        <w:t>،</w:t>
      </w:r>
      <w:r w:rsidRPr="00B529EB">
        <w:rPr>
          <w:rFonts w:ascii="Arabic Transparent" w:hAnsi="Arabic Transparent" w:cs="Arabic Transparent" w:hint="cs"/>
          <w:sz w:val="28"/>
          <w:szCs w:val="28"/>
          <w:rtl/>
          <w:lang w:val="en-AE" w:bidi="ar-JO"/>
        </w:rPr>
        <w:t xml:space="preserve"> وقد تم بيان النوع الأول </w:t>
      </w:r>
      <w:r w:rsidR="00331D5D" w:rsidRPr="00B529EB">
        <w:rPr>
          <w:rFonts w:ascii="Arabic Transparent" w:hAnsi="Arabic Transparent" w:cs="Arabic Transparent" w:hint="cs"/>
          <w:sz w:val="28"/>
          <w:szCs w:val="28"/>
          <w:rtl/>
          <w:lang w:val="en-AE" w:bidi="ar-JO"/>
        </w:rPr>
        <w:t>سابقاً</w:t>
      </w:r>
      <w:r w:rsidR="00BF1052">
        <w:rPr>
          <w:rFonts w:ascii="Arabic Transparent" w:hAnsi="Arabic Transparent" w:cs="Arabic Transparent" w:hint="cs"/>
          <w:sz w:val="28"/>
          <w:szCs w:val="28"/>
          <w:rtl/>
          <w:lang w:val="en-AE" w:bidi="ar-JO"/>
        </w:rPr>
        <w:t>،</w:t>
      </w:r>
      <w:r w:rsidR="00331D5D" w:rsidRPr="00B529EB">
        <w:rPr>
          <w:rFonts w:ascii="Arabic Transparent" w:hAnsi="Arabic Transparent" w:cs="Arabic Transparent" w:hint="cs"/>
          <w:sz w:val="28"/>
          <w:szCs w:val="28"/>
          <w:rtl/>
          <w:lang w:val="en-AE" w:bidi="ar-JO"/>
        </w:rPr>
        <w:t xml:space="preserve"> </w:t>
      </w:r>
      <w:r w:rsidRPr="00B529EB">
        <w:rPr>
          <w:rFonts w:ascii="Arabic Transparent" w:hAnsi="Arabic Transparent" w:cs="Arabic Transparent" w:hint="cs"/>
          <w:sz w:val="28"/>
          <w:szCs w:val="28"/>
          <w:rtl/>
          <w:lang w:val="en-AE" w:bidi="ar-JO"/>
        </w:rPr>
        <w:t xml:space="preserve">وفيما </w:t>
      </w:r>
      <w:r w:rsidR="00BF1052">
        <w:rPr>
          <w:rFonts w:ascii="Arabic Transparent" w:hAnsi="Arabic Transparent" w:cs="Arabic Transparent" w:hint="cs"/>
          <w:sz w:val="28"/>
          <w:szCs w:val="28"/>
          <w:rtl/>
          <w:lang w:val="en-AE" w:bidi="ar-JO"/>
        </w:rPr>
        <w:t>يأتي</w:t>
      </w:r>
      <w:r w:rsidRPr="00B529EB">
        <w:rPr>
          <w:rFonts w:ascii="Arabic Transparent" w:hAnsi="Arabic Transparent" w:cs="Arabic Transparent" w:hint="cs"/>
          <w:sz w:val="28"/>
          <w:szCs w:val="28"/>
          <w:rtl/>
          <w:lang w:val="en-AE" w:bidi="ar-JO"/>
        </w:rPr>
        <w:t xml:space="preserve"> بيان الأنواع الأخرى ذات الصلة بتحقيق المناط</w:t>
      </w:r>
      <w:r w:rsidR="00AB41D9" w:rsidRPr="00B529EB">
        <w:rPr>
          <w:rFonts w:ascii="Arabic Transparent" w:hAnsi="Arabic Transparent" w:cs="Arabic Transparent" w:hint="cs"/>
          <w:sz w:val="28"/>
          <w:szCs w:val="28"/>
          <w:rtl/>
          <w:lang w:val="en-AE" w:bidi="ar-JO"/>
        </w:rPr>
        <w:t xml:space="preserve"> مع بيان علاقته بالقياس</w:t>
      </w:r>
      <w:r w:rsidR="00F97E24" w:rsidRPr="00B529EB">
        <w:rPr>
          <w:rFonts w:ascii="Arabic Transparent" w:hAnsi="Arabic Transparent" w:cs="Arabic Transparent" w:hint="cs"/>
          <w:sz w:val="28"/>
          <w:szCs w:val="28"/>
          <w:rtl/>
          <w:lang w:val="en-AE" w:bidi="ar-JO"/>
        </w:rPr>
        <w:t xml:space="preserve"> أيضاً</w:t>
      </w:r>
      <w:r w:rsidR="00C15328">
        <w:rPr>
          <w:rFonts w:ascii="Arabic Transparent" w:hAnsi="Arabic Transparent" w:cs="Arabic Transparent" w:hint="cs"/>
          <w:sz w:val="28"/>
          <w:szCs w:val="28"/>
          <w:rtl/>
          <w:lang w:val="en-AE" w:bidi="ar-JO"/>
        </w:rPr>
        <w:t>،</w:t>
      </w:r>
      <w:r w:rsidRPr="00B529EB">
        <w:rPr>
          <w:rFonts w:ascii="Arabic Transparent" w:hAnsi="Arabic Transparent" w:cs="Arabic Transparent" w:hint="cs"/>
          <w:sz w:val="28"/>
          <w:szCs w:val="28"/>
          <w:rtl/>
          <w:lang w:val="en-AE" w:bidi="ar-JO"/>
        </w:rPr>
        <w:t xml:space="preserve"> وهي</w:t>
      </w:r>
      <w:r w:rsidR="00AB41D9" w:rsidRPr="00B529EB">
        <w:rPr>
          <w:rFonts w:ascii="Arabic Transparent" w:hAnsi="Arabic Transparent" w:cs="Arabic Transparent" w:hint="cs"/>
          <w:sz w:val="28"/>
          <w:szCs w:val="28"/>
          <w:rtl/>
          <w:lang w:val="en-AE" w:bidi="ar-JO"/>
        </w:rPr>
        <w:t xml:space="preserve"> كما </w:t>
      </w:r>
      <w:r w:rsidR="00BF1052">
        <w:rPr>
          <w:rFonts w:ascii="Arabic Transparent" w:hAnsi="Arabic Transparent" w:cs="Arabic Transparent" w:hint="cs"/>
          <w:sz w:val="28"/>
          <w:szCs w:val="28"/>
          <w:rtl/>
          <w:lang w:val="en-AE" w:bidi="ar-JO"/>
        </w:rPr>
        <w:t>يأتي</w:t>
      </w:r>
      <w:r w:rsidRPr="00B529EB">
        <w:rPr>
          <w:rFonts w:ascii="Arabic Transparent" w:hAnsi="Arabic Transparent" w:cs="Arabic Transparent" w:hint="cs"/>
          <w:sz w:val="28"/>
          <w:szCs w:val="28"/>
          <w:rtl/>
          <w:lang w:val="en-AE" w:bidi="ar-JO"/>
        </w:rPr>
        <w:t xml:space="preserve">: </w:t>
      </w:r>
    </w:p>
    <w:p w14:paraId="40335064" w14:textId="515DA161" w:rsidR="008C4E5C" w:rsidRPr="00C14506" w:rsidRDefault="00577D62" w:rsidP="00F40290">
      <w:pPr>
        <w:spacing w:after="0" w:line="360" w:lineRule="auto"/>
        <w:jc w:val="both"/>
        <w:rPr>
          <w:rFonts w:ascii="Arabic Transparent" w:hAnsi="Arabic Transparent" w:cs="Arabic Transparent"/>
          <w:b/>
          <w:bCs/>
          <w:sz w:val="28"/>
          <w:szCs w:val="28"/>
          <w:rtl/>
          <w:lang w:val="en-AE" w:bidi="ar-JO"/>
        </w:rPr>
      </w:pPr>
      <w:r w:rsidRPr="00C14506">
        <w:rPr>
          <w:rFonts w:ascii="Arabic Transparent" w:hAnsi="Arabic Transparent" w:cs="Arabic Transparent" w:hint="cs"/>
          <w:b/>
          <w:bCs/>
          <w:sz w:val="28"/>
          <w:szCs w:val="28"/>
          <w:rtl/>
          <w:lang w:val="en-AE" w:bidi="ar-JO"/>
        </w:rPr>
        <w:t xml:space="preserve">الفرع </w:t>
      </w:r>
      <w:r w:rsidR="005944F3" w:rsidRPr="00C14506">
        <w:rPr>
          <w:rFonts w:ascii="Arabic Transparent" w:hAnsi="Arabic Transparent" w:cs="Arabic Transparent" w:hint="cs"/>
          <w:b/>
          <w:bCs/>
          <w:sz w:val="28"/>
          <w:szCs w:val="28"/>
          <w:rtl/>
          <w:lang w:val="en-AE" w:bidi="ar-JO"/>
        </w:rPr>
        <w:t>الأول:</w:t>
      </w:r>
      <w:r w:rsidR="001B4F8A" w:rsidRPr="00C14506">
        <w:rPr>
          <w:rFonts w:ascii="Arabic Transparent" w:hAnsi="Arabic Transparent" w:cs="Arabic Transparent" w:hint="cs"/>
          <w:b/>
          <w:bCs/>
          <w:sz w:val="28"/>
          <w:szCs w:val="28"/>
          <w:rtl/>
          <w:lang w:val="en-AE" w:bidi="ar-JO"/>
        </w:rPr>
        <w:t xml:space="preserve"> تخريج المناط</w:t>
      </w:r>
    </w:p>
    <w:p w14:paraId="57491650" w14:textId="16C1FE00" w:rsidR="00F55CF4" w:rsidRDefault="00EC34C2" w:rsidP="001D6980">
      <w:pPr>
        <w:spacing w:after="0" w:line="360" w:lineRule="auto"/>
        <w:ind w:firstLine="332"/>
        <w:jc w:val="both"/>
        <w:rPr>
          <w:rFonts w:ascii="Arabic Transparent" w:hAnsi="Arabic Transparent" w:cs="Arabic Transparent"/>
          <w:sz w:val="28"/>
          <w:szCs w:val="28"/>
          <w:rtl/>
          <w:lang w:val="en-AE" w:bidi="ar-JO"/>
        </w:rPr>
      </w:pPr>
      <w:r>
        <w:rPr>
          <w:rFonts w:ascii="Arabic Transparent" w:hAnsi="Arabic Transparent" w:cs="Arabic Transparent" w:hint="cs"/>
          <w:sz w:val="28"/>
          <w:szCs w:val="28"/>
          <w:rtl/>
          <w:lang w:val="en-AE" w:bidi="ar-JO"/>
        </w:rPr>
        <w:t>هو</w:t>
      </w:r>
      <w:r w:rsidR="0099663B">
        <w:rPr>
          <w:rFonts w:ascii="Arabic Transparent" w:hAnsi="Arabic Transparent" w:cs="Arabic Transparent" w:hint="cs"/>
          <w:sz w:val="28"/>
          <w:szCs w:val="28"/>
          <w:rtl/>
          <w:lang w:val="en-AE" w:bidi="ar-JO"/>
        </w:rPr>
        <w:t xml:space="preserve"> عند الأصوليين: "</w:t>
      </w:r>
      <w:r w:rsidR="006C2EF7" w:rsidRPr="00B529EB">
        <w:rPr>
          <w:rFonts w:ascii="Arabic Transparent" w:hAnsi="Arabic Transparent" w:cs="Arabic Transparent" w:hint="cs"/>
          <w:sz w:val="28"/>
          <w:szCs w:val="28"/>
          <w:rtl/>
          <w:lang w:val="en-AE" w:bidi="ar-JO"/>
        </w:rPr>
        <w:t xml:space="preserve">استنباط علة الحكم الذي دل النص أو الإجماع عليه من غير تعرض لبيان عليته لا بالعبارة ولا </w:t>
      </w:r>
      <w:r w:rsidR="00F000CC" w:rsidRPr="00B529EB">
        <w:rPr>
          <w:rFonts w:ascii="Arabic Transparent" w:hAnsi="Arabic Transparent" w:cs="Arabic Transparent" w:hint="cs"/>
          <w:sz w:val="28"/>
          <w:szCs w:val="28"/>
          <w:rtl/>
          <w:lang w:val="en-AE" w:bidi="ar-JO"/>
        </w:rPr>
        <w:t>بالإشارة</w:t>
      </w:r>
      <w:r w:rsidR="0099663B">
        <w:rPr>
          <w:rFonts w:ascii="Arabic Transparent" w:hAnsi="Arabic Transparent" w:cs="Arabic Transparent" w:hint="cs"/>
          <w:sz w:val="28"/>
          <w:szCs w:val="28"/>
          <w:rtl/>
          <w:lang w:val="en-AE" w:bidi="ar-JO"/>
        </w:rPr>
        <w:t>"</w:t>
      </w:r>
      <w:r w:rsidR="00F000CC" w:rsidRPr="00B529EB">
        <w:rPr>
          <w:rFonts w:ascii="Arabic Transparent" w:hAnsi="Arabic Transparent" w:cs="Arabic Transparent" w:hint="cs"/>
          <w:sz w:val="28"/>
          <w:szCs w:val="28"/>
          <w:vertAlign w:val="superscript"/>
          <w:rtl/>
          <w:lang w:val="en-AE" w:bidi="ar-JO"/>
        </w:rPr>
        <w:t>(</w:t>
      </w:r>
      <w:r w:rsidR="006C2EF7" w:rsidRPr="00B529EB">
        <w:rPr>
          <w:rStyle w:val="FootnoteReference"/>
          <w:rFonts w:ascii="Arabic Transparent" w:hAnsi="Arabic Transparent" w:cs="Arabic Transparent" w:hint="cs"/>
          <w:sz w:val="28"/>
          <w:szCs w:val="28"/>
          <w:rtl/>
          <w:lang w:val="en-AE" w:bidi="ar-JO"/>
        </w:rPr>
        <w:footnoteReference w:id="53"/>
      </w:r>
      <w:r w:rsidR="006C2EF7" w:rsidRPr="00B529EB">
        <w:rPr>
          <w:rFonts w:ascii="Arabic Transparent" w:hAnsi="Arabic Transparent" w:cs="Arabic Transparent" w:hint="cs"/>
          <w:sz w:val="28"/>
          <w:szCs w:val="28"/>
          <w:vertAlign w:val="superscript"/>
          <w:rtl/>
          <w:lang w:val="en-AE" w:bidi="ar-JO"/>
        </w:rPr>
        <w:t>)</w:t>
      </w:r>
      <w:r w:rsidR="00C14506">
        <w:rPr>
          <w:rFonts w:ascii="Arabic Transparent" w:hAnsi="Arabic Transparent" w:cs="Arabic Transparent" w:hint="cs"/>
          <w:sz w:val="28"/>
          <w:szCs w:val="28"/>
          <w:rtl/>
          <w:lang w:val="en-AE" w:bidi="ar-JO"/>
        </w:rPr>
        <w:t>، فهو</w:t>
      </w:r>
      <w:r w:rsidR="00F55CF4">
        <w:rPr>
          <w:rFonts w:ascii="Arabic Transparent" w:hAnsi="Arabic Transparent" w:cs="Arabic Transparent" w:hint="cs"/>
          <w:sz w:val="28"/>
          <w:szCs w:val="28"/>
          <w:rtl/>
          <w:lang w:val="en-AE" w:bidi="ar-JO"/>
        </w:rPr>
        <w:t>:</w:t>
      </w:r>
      <w:r w:rsidR="00C14506">
        <w:rPr>
          <w:rFonts w:ascii="Arabic Transparent" w:hAnsi="Arabic Transparent" w:cs="Arabic Transparent" w:hint="cs"/>
          <w:sz w:val="28"/>
          <w:szCs w:val="28"/>
          <w:rtl/>
          <w:lang w:val="en-AE" w:bidi="ar-JO"/>
        </w:rPr>
        <w:t xml:space="preserve"> </w:t>
      </w:r>
      <w:r w:rsidR="00F55CF4">
        <w:rPr>
          <w:rFonts w:ascii="Arabic Transparent" w:hAnsi="Arabic Transparent" w:cs="Arabic Transparent" w:hint="cs"/>
          <w:sz w:val="28"/>
          <w:szCs w:val="28"/>
          <w:rtl/>
          <w:lang w:val="en-AE" w:bidi="ar-JO"/>
        </w:rPr>
        <w:t>"</w:t>
      </w:r>
      <w:r w:rsidR="00C14506">
        <w:rPr>
          <w:rFonts w:ascii="Arabic Transparent" w:hAnsi="Arabic Transparent" w:cs="Arabic Transparent" w:hint="cs"/>
          <w:sz w:val="28"/>
          <w:szCs w:val="28"/>
          <w:rtl/>
          <w:lang w:val="en-AE" w:bidi="ar-JO"/>
        </w:rPr>
        <w:t>استخراج علة الحكم التي لم يدل عليها نص ولا إجماع، باتباع أي مسلك من مسالك العلة ك</w:t>
      </w:r>
      <w:r w:rsidR="006231F7">
        <w:rPr>
          <w:rFonts w:ascii="Arabic Transparent" w:hAnsi="Arabic Transparent" w:cs="Arabic Transparent" w:hint="cs"/>
          <w:sz w:val="28"/>
          <w:szCs w:val="28"/>
          <w:rtl/>
          <w:lang w:val="en-AE" w:bidi="ar-JO"/>
        </w:rPr>
        <w:t>ا</w:t>
      </w:r>
      <w:r w:rsidR="00C14506">
        <w:rPr>
          <w:rFonts w:ascii="Arabic Transparent" w:hAnsi="Arabic Transparent" w:cs="Arabic Transparent" w:hint="cs"/>
          <w:sz w:val="28"/>
          <w:szCs w:val="28"/>
          <w:rtl/>
          <w:lang w:val="en-AE" w:bidi="ar-JO"/>
        </w:rPr>
        <w:t>لسبر والتقسيم مثلاُ</w:t>
      </w:r>
      <w:r w:rsidR="00F55CF4">
        <w:rPr>
          <w:rFonts w:ascii="Arabic Transparent" w:hAnsi="Arabic Transparent" w:cs="Arabic Transparent" w:hint="cs"/>
          <w:sz w:val="28"/>
          <w:szCs w:val="28"/>
          <w:rtl/>
          <w:lang w:val="en-AE" w:bidi="ar-JO"/>
        </w:rPr>
        <w:t>"</w:t>
      </w:r>
      <w:r w:rsidR="00C14506" w:rsidRPr="00C14506">
        <w:rPr>
          <w:rFonts w:ascii="Arabic Transparent" w:hAnsi="Arabic Transparent" w:cs="Arabic Transparent" w:hint="cs"/>
          <w:sz w:val="28"/>
          <w:szCs w:val="28"/>
          <w:vertAlign w:val="superscript"/>
          <w:rtl/>
          <w:lang w:val="en-AE" w:bidi="ar-JO"/>
        </w:rPr>
        <w:t>(</w:t>
      </w:r>
      <w:r w:rsidR="00C14506" w:rsidRPr="00C14506">
        <w:rPr>
          <w:rStyle w:val="FootnoteReference"/>
          <w:rFonts w:ascii="Arabic Transparent" w:hAnsi="Arabic Transparent" w:cs="Arabic Transparent" w:hint="cs"/>
          <w:sz w:val="28"/>
          <w:szCs w:val="28"/>
          <w:rtl/>
          <w:lang w:val="en-AE" w:bidi="ar-JO"/>
        </w:rPr>
        <w:footnoteReference w:id="54"/>
      </w:r>
      <w:r w:rsidR="00C14506" w:rsidRPr="00C14506">
        <w:rPr>
          <w:rFonts w:ascii="Arabic Transparent" w:hAnsi="Arabic Transparent" w:cs="Arabic Transparent" w:hint="cs"/>
          <w:sz w:val="28"/>
          <w:szCs w:val="28"/>
          <w:vertAlign w:val="superscript"/>
          <w:rtl/>
          <w:lang w:val="en-AE" w:bidi="ar-JO"/>
        </w:rPr>
        <w:t>)</w:t>
      </w:r>
      <w:r w:rsidR="0099663B">
        <w:rPr>
          <w:rFonts w:ascii="Arabic Transparent" w:hAnsi="Arabic Transparent" w:cs="Arabic Transparent" w:hint="cs"/>
          <w:sz w:val="28"/>
          <w:szCs w:val="28"/>
          <w:rtl/>
          <w:lang w:val="en-AE" w:bidi="ar-JO"/>
        </w:rPr>
        <w:t>.</w:t>
      </w:r>
      <w:r w:rsidR="00F55CF4">
        <w:rPr>
          <w:rFonts w:ascii="Arabic Transparent" w:hAnsi="Arabic Transparent" w:cs="Arabic Transparent"/>
          <w:sz w:val="28"/>
          <w:szCs w:val="28"/>
          <w:rtl/>
          <w:lang w:val="en-AE" w:bidi="ar-JO"/>
        </w:rPr>
        <w:br w:type="page"/>
      </w:r>
    </w:p>
    <w:p w14:paraId="5B631397" w14:textId="4EC82307" w:rsidR="0099663B" w:rsidRDefault="005D7B91" w:rsidP="00791C7B">
      <w:pPr>
        <w:spacing w:after="0" w:line="360" w:lineRule="auto"/>
        <w:jc w:val="both"/>
        <w:rPr>
          <w:rFonts w:ascii="Arabic Transparent" w:hAnsi="Arabic Transparent" w:cs="Arabic Transparent"/>
          <w:sz w:val="28"/>
          <w:szCs w:val="28"/>
          <w:rtl/>
          <w:lang w:val="en-AE" w:bidi="ar-JO"/>
        </w:rPr>
      </w:pPr>
      <w:r>
        <w:rPr>
          <w:rFonts w:ascii="Arabic Transparent" w:hAnsi="Arabic Transparent" w:cs="Arabic Transparent" w:hint="cs"/>
          <w:sz w:val="28"/>
          <w:szCs w:val="28"/>
          <w:rtl/>
          <w:lang w:val="en-AE" w:bidi="ar-JO"/>
        </w:rPr>
        <w:t xml:space="preserve">    </w:t>
      </w:r>
      <w:r w:rsidR="00F55CF4">
        <w:rPr>
          <w:rFonts w:ascii="Arabic Transparent" w:hAnsi="Arabic Transparent" w:cs="Arabic Transparent" w:hint="cs"/>
          <w:sz w:val="28"/>
          <w:szCs w:val="28"/>
          <w:rtl/>
          <w:lang w:val="en-AE" w:bidi="ar-JO"/>
        </w:rPr>
        <w:t>ف</w:t>
      </w:r>
      <w:r w:rsidR="0099663B">
        <w:rPr>
          <w:rFonts w:ascii="Arabic Transparent" w:hAnsi="Arabic Transparent" w:cs="Arabic Transparent" w:hint="cs"/>
          <w:sz w:val="28"/>
          <w:szCs w:val="28"/>
          <w:rtl/>
          <w:lang w:val="en-AE" w:bidi="ar-JO"/>
        </w:rPr>
        <w:t xml:space="preserve">وجه الاتفاق </w:t>
      </w:r>
      <w:r w:rsidR="00592D59">
        <w:rPr>
          <w:rFonts w:ascii="Arabic Transparent" w:hAnsi="Arabic Transparent" w:cs="Arabic Transparent" w:hint="cs"/>
          <w:sz w:val="28"/>
          <w:szCs w:val="28"/>
          <w:rtl/>
          <w:lang w:val="en-AE" w:bidi="ar-JO"/>
        </w:rPr>
        <w:t>بين تخريج المناط وتحقيق المناط في كونهما من مسالك العلة وكلها أدوات تستعمل من أجل استنباط العلة</w:t>
      </w:r>
      <w:r w:rsidR="006231F7">
        <w:rPr>
          <w:rFonts w:ascii="Arabic Transparent" w:hAnsi="Arabic Transparent" w:cs="Arabic Transparent" w:hint="cs"/>
          <w:sz w:val="28"/>
          <w:szCs w:val="28"/>
          <w:rtl/>
          <w:lang w:val="en-AE" w:bidi="ar-JO"/>
        </w:rPr>
        <w:t>،</w:t>
      </w:r>
      <w:r w:rsidR="00592D59">
        <w:rPr>
          <w:rFonts w:ascii="Arabic Transparent" w:hAnsi="Arabic Transparent" w:cs="Arabic Transparent" w:hint="cs"/>
          <w:sz w:val="28"/>
          <w:szCs w:val="28"/>
          <w:rtl/>
          <w:lang w:val="en-AE" w:bidi="ar-JO"/>
        </w:rPr>
        <w:t xml:space="preserve"> والتأكد من صلاحيتها في تحقيق المناط.</w:t>
      </w:r>
    </w:p>
    <w:p w14:paraId="6669D950" w14:textId="5B24F754" w:rsidR="00CC2FE8" w:rsidRPr="00B529EB" w:rsidRDefault="00592D59" w:rsidP="00C15328">
      <w:pPr>
        <w:spacing w:after="0" w:line="360" w:lineRule="auto"/>
        <w:ind w:firstLine="332"/>
        <w:jc w:val="both"/>
        <w:rPr>
          <w:rFonts w:ascii="Arabic Transparent" w:hAnsi="Arabic Transparent" w:cs="Arabic Transparent"/>
          <w:sz w:val="28"/>
          <w:szCs w:val="28"/>
          <w:rtl/>
          <w:lang w:val="en-AE" w:bidi="ar-JO"/>
        </w:rPr>
      </w:pPr>
      <w:r>
        <w:rPr>
          <w:rFonts w:ascii="Arabic Transparent" w:hAnsi="Arabic Transparent" w:cs="Arabic Transparent" w:hint="cs"/>
          <w:sz w:val="28"/>
          <w:szCs w:val="28"/>
          <w:rtl/>
          <w:lang w:val="en-AE" w:bidi="ar-JO"/>
        </w:rPr>
        <w:t>وأما وجه الاختلاف بينهما، أن تخريج المناط ي</w:t>
      </w:r>
      <w:r w:rsidRPr="00592D59">
        <w:rPr>
          <w:rFonts w:ascii="Arabic Transparent" w:hAnsi="Arabic Transparent" w:cs="Arabic Transparent"/>
          <w:sz w:val="28"/>
          <w:szCs w:val="28"/>
          <w:rtl/>
          <w:lang w:val="en-AE" w:bidi="ar-JO"/>
        </w:rPr>
        <w:t>كون سابق</w:t>
      </w:r>
      <w:r>
        <w:rPr>
          <w:rFonts w:ascii="Arabic Transparent" w:hAnsi="Arabic Transparent" w:cs="Arabic Transparent" w:hint="cs"/>
          <w:sz w:val="28"/>
          <w:szCs w:val="28"/>
          <w:rtl/>
          <w:lang w:val="en-AE" w:bidi="ar-JO"/>
        </w:rPr>
        <w:t>اً</w:t>
      </w:r>
      <w:r w:rsidRPr="00592D59">
        <w:rPr>
          <w:rFonts w:ascii="Arabic Transparent" w:hAnsi="Arabic Transparent" w:cs="Arabic Transparent"/>
          <w:sz w:val="28"/>
          <w:szCs w:val="28"/>
          <w:rtl/>
          <w:lang w:val="en-AE" w:bidi="ar-JO"/>
        </w:rPr>
        <w:t xml:space="preserve"> لتحقيق المناط، </w:t>
      </w:r>
      <w:r w:rsidR="00DF2979">
        <w:rPr>
          <w:rFonts w:ascii="Arabic Transparent" w:hAnsi="Arabic Transparent" w:cs="Arabic Transparent"/>
          <w:sz w:val="28"/>
          <w:szCs w:val="28"/>
          <w:rtl/>
          <w:lang w:val="en-AE" w:bidi="ar-JO"/>
        </w:rPr>
        <w:t>حيث إنَّ</w:t>
      </w:r>
      <w:r w:rsidRPr="00592D59">
        <w:rPr>
          <w:rFonts w:ascii="Arabic Transparent" w:hAnsi="Arabic Transparent" w:cs="Arabic Transparent"/>
          <w:sz w:val="28"/>
          <w:szCs w:val="28"/>
          <w:rtl/>
          <w:lang w:val="en-AE" w:bidi="ar-JO"/>
        </w:rPr>
        <w:t xml:space="preserve"> المجتهد يسعى للبحث عن العلة واستنباطها من خلال التعرف على الوصف المناسب الذي يصلح أن يكون مداراً لتعليل الأحكام الشرعية، ثم يقوم بتحقيق المناط في الصور الجزئية التي يمر عليها</w:t>
      </w:r>
      <w:r w:rsidR="00EC34C2" w:rsidRPr="00EC34C2">
        <w:rPr>
          <w:rFonts w:ascii="Arabic Transparent" w:hAnsi="Arabic Transparent" w:cs="Arabic Transparent" w:hint="cs"/>
          <w:sz w:val="28"/>
          <w:szCs w:val="28"/>
          <w:vertAlign w:val="superscript"/>
          <w:rtl/>
          <w:lang w:val="en-AE" w:bidi="ar-JO"/>
        </w:rPr>
        <w:t>(</w:t>
      </w:r>
      <w:r w:rsidR="00EC34C2" w:rsidRPr="00EC34C2">
        <w:rPr>
          <w:rStyle w:val="FootnoteReference"/>
          <w:rFonts w:ascii="Arabic Transparent" w:hAnsi="Arabic Transparent" w:cs="Arabic Transparent" w:hint="cs"/>
          <w:sz w:val="28"/>
          <w:szCs w:val="28"/>
          <w:rtl/>
          <w:lang w:val="en-AE" w:bidi="ar-JO"/>
        </w:rPr>
        <w:footnoteReference w:id="55"/>
      </w:r>
      <w:r w:rsidR="00EC34C2" w:rsidRPr="00EC34C2">
        <w:rPr>
          <w:rFonts w:ascii="Arabic Transparent" w:hAnsi="Arabic Transparent" w:cs="Arabic Transparent" w:hint="cs"/>
          <w:sz w:val="28"/>
          <w:szCs w:val="28"/>
          <w:vertAlign w:val="superscript"/>
          <w:rtl/>
          <w:lang w:val="en-AE" w:bidi="ar-JO"/>
        </w:rPr>
        <w:t>)</w:t>
      </w:r>
      <w:r>
        <w:rPr>
          <w:rFonts w:ascii="Arabic Transparent" w:hAnsi="Arabic Transparent" w:cs="Arabic Transparent" w:hint="cs"/>
          <w:sz w:val="28"/>
          <w:szCs w:val="28"/>
          <w:rtl/>
          <w:lang w:val="en-AE" w:bidi="ar-JO"/>
        </w:rPr>
        <w:t xml:space="preserve">، </w:t>
      </w:r>
      <w:r w:rsidR="00CC2FE8" w:rsidRPr="00B529EB">
        <w:rPr>
          <w:rFonts w:ascii="Arabic Transparent" w:hAnsi="Arabic Transparent" w:cs="Arabic Transparent" w:hint="cs"/>
          <w:sz w:val="28"/>
          <w:szCs w:val="28"/>
          <w:rtl/>
          <w:lang w:val="en-AE" w:bidi="ar-JO"/>
        </w:rPr>
        <w:t>مثال ذلك</w:t>
      </w:r>
      <w:r w:rsidR="006231F7">
        <w:rPr>
          <w:rFonts w:ascii="Arabic Transparent" w:hAnsi="Arabic Transparent" w:cs="Arabic Transparent" w:hint="cs"/>
          <w:sz w:val="28"/>
          <w:szCs w:val="28"/>
          <w:rtl/>
          <w:lang w:val="en-AE" w:bidi="ar-JO"/>
        </w:rPr>
        <w:t>:</w:t>
      </w:r>
      <w:r w:rsidR="00CC2FE8" w:rsidRPr="00B529EB">
        <w:rPr>
          <w:rFonts w:ascii="Arabic Transparent" w:hAnsi="Arabic Transparent" w:cs="Arabic Transparent" w:hint="cs"/>
          <w:sz w:val="28"/>
          <w:szCs w:val="28"/>
          <w:rtl/>
          <w:lang w:val="en-AE" w:bidi="ar-JO"/>
        </w:rPr>
        <w:t xml:space="preserve"> استنباط علة الربا في قوله </w:t>
      </w:r>
      <w:r w:rsidR="005E3842">
        <w:rPr>
          <w:rFonts w:ascii="AGA Arabesque" w:eastAsia="AGA Arabesque" w:hAnsi="AGA Arabesque" w:cs="AGA Arabesque"/>
          <w:sz w:val="28"/>
          <w:szCs w:val="28"/>
          <w:lang w:val="en-AE" w:bidi="ar-JO"/>
        </w:rPr>
        <w:t></w:t>
      </w:r>
      <w:r w:rsidR="005E3842">
        <w:rPr>
          <w:rFonts w:ascii="Arabic Transparent" w:hAnsi="Arabic Transparent" w:cs="Arabic Transparent" w:hint="cs"/>
          <w:sz w:val="28"/>
          <w:szCs w:val="28"/>
          <w:rtl/>
          <w:lang w:val="en-AE" w:bidi="ar-JO"/>
        </w:rPr>
        <w:t>:</w:t>
      </w:r>
      <w:r w:rsidR="00151AED">
        <w:rPr>
          <w:rFonts w:ascii="Arabic Transparent" w:hAnsi="Arabic Transparent" w:cs="Arabic Transparent" w:hint="cs"/>
          <w:sz w:val="28"/>
          <w:szCs w:val="28"/>
          <w:rtl/>
          <w:lang w:val="en-AE" w:bidi="ar-JO"/>
        </w:rPr>
        <w:t xml:space="preserve"> </w:t>
      </w:r>
      <w:r w:rsidR="00151AED">
        <w:rPr>
          <w:rFonts w:ascii="Arabic Transparent" w:hAnsi="Arabic Transparent" w:cs="Arabic Transparent"/>
          <w:sz w:val="28"/>
          <w:szCs w:val="28"/>
          <w:rtl/>
          <w:lang w:val="en-AE" w:bidi="ar-JO"/>
        </w:rPr>
        <w:t>"</w:t>
      </w:r>
      <w:r w:rsidR="00CC2FE8" w:rsidRPr="00B529EB">
        <w:rPr>
          <w:rFonts w:ascii="Arabic Transparent" w:hAnsi="Arabic Transparent" w:cs="Arabic Transparent" w:hint="cs"/>
          <w:sz w:val="28"/>
          <w:szCs w:val="28"/>
          <w:rtl/>
          <w:lang w:val="en-AE" w:bidi="ar-JO"/>
        </w:rPr>
        <w:t xml:space="preserve">الذهب بالذهب والفضة بالفضة والبر بالبر والشعير بالشعير والتمر بالتمر والملح بالملح مثلا </w:t>
      </w:r>
      <w:r w:rsidR="00F000CC" w:rsidRPr="00B529EB">
        <w:rPr>
          <w:rFonts w:ascii="Arabic Transparent" w:hAnsi="Arabic Transparent" w:cs="Arabic Transparent" w:hint="cs"/>
          <w:sz w:val="28"/>
          <w:szCs w:val="28"/>
          <w:rtl/>
          <w:lang w:val="en-AE" w:bidi="ar-JO"/>
        </w:rPr>
        <w:t>بمثل،</w:t>
      </w:r>
      <w:r w:rsidR="00CC2FE8" w:rsidRPr="00B529EB">
        <w:rPr>
          <w:rFonts w:ascii="Arabic Transparent" w:hAnsi="Arabic Transparent" w:cs="Arabic Transparent" w:hint="cs"/>
          <w:sz w:val="28"/>
          <w:szCs w:val="28"/>
          <w:rtl/>
          <w:lang w:val="en-AE" w:bidi="ar-JO"/>
        </w:rPr>
        <w:t xml:space="preserve"> سواء </w:t>
      </w:r>
      <w:r w:rsidR="00F000CC" w:rsidRPr="00B529EB">
        <w:rPr>
          <w:rFonts w:ascii="Arabic Transparent" w:hAnsi="Arabic Transparent" w:cs="Arabic Transparent" w:hint="cs"/>
          <w:sz w:val="28"/>
          <w:szCs w:val="28"/>
          <w:rtl/>
          <w:lang w:val="en-AE" w:bidi="ar-JO"/>
        </w:rPr>
        <w:t>بسواء،</w:t>
      </w:r>
      <w:r w:rsidR="00CC2FE8" w:rsidRPr="00B529EB">
        <w:rPr>
          <w:rFonts w:ascii="Arabic Transparent" w:hAnsi="Arabic Transparent" w:cs="Arabic Transparent" w:hint="cs"/>
          <w:sz w:val="28"/>
          <w:szCs w:val="28"/>
          <w:rtl/>
          <w:lang w:val="en-AE" w:bidi="ar-JO"/>
        </w:rPr>
        <w:t xml:space="preserve"> يداً ب</w:t>
      </w:r>
      <w:r w:rsidR="00F000CC" w:rsidRPr="00B529EB">
        <w:rPr>
          <w:rFonts w:ascii="Arabic Transparent" w:hAnsi="Arabic Transparent" w:cs="Arabic Transparent" w:hint="cs"/>
          <w:sz w:val="28"/>
          <w:szCs w:val="28"/>
          <w:rtl/>
          <w:lang w:val="en-AE" w:bidi="ar-JO"/>
        </w:rPr>
        <w:t>ي</w:t>
      </w:r>
      <w:r w:rsidR="00CC2FE8" w:rsidRPr="00B529EB">
        <w:rPr>
          <w:rFonts w:ascii="Arabic Transparent" w:hAnsi="Arabic Transparent" w:cs="Arabic Transparent" w:hint="cs"/>
          <w:sz w:val="28"/>
          <w:szCs w:val="28"/>
          <w:rtl/>
          <w:lang w:val="en-AE" w:bidi="ar-JO"/>
        </w:rPr>
        <w:t>د</w:t>
      </w:r>
      <w:r w:rsidR="000531CE">
        <w:rPr>
          <w:rFonts w:ascii="Arabic Transparent" w:hAnsi="Arabic Transparent" w:cs="Arabic Transparent" w:hint="cs"/>
          <w:sz w:val="28"/>
          <w:szCs w:val="28"/>
          <w:rtl/>
          <w:lang w:val="en-AE" w:bidi="ar-JO"/>
        </w:rPr>
        <w:t>،</w:t>
      </w:r>
      <w:r w:rsidR="00CC2FE8" w:rsidRPr="00B529EB">
        <w:rPr>
          <w:rFonts w:ascii="Arabic Transparent" w:hAnsi="Arabic Transparent" w:cs="Arabic Transparent" w:hint="cs"/>
          <w:sz w:val="28"/>
          <w:szCs w:val="28"/>
          <w:rtl/>
          <w:lang w:val="en-AE" w:bidi="ar-JO"/>
        </w:rPr>
        <w:t xml:space="preserve"> فإذا اختلفت هذه الأصناف </w:t>
      </w:r>
      <w:r w:rsidR="00F000CC" w:rsidRPr="00B529EB">
        <w:rPr>
          <w:rFonts w:ascii="Arabic Transparent" w:hAnsi="Arabic Transparent" w:cs="Arabic Transparent" w:hint="cs"/>
          <w:sz w:val="28"/>
          <w:szCs w:val="28"/>
          <w:rtl/>
          <w:lang w:val="en-AE" w:bidi="ar-JO"/>
        </w:rPr>
        <w:t>ف</w:t>
      </w:r>
      <w:r w:rsidR="00EC34C2">
        <w:rPr>
          <w:rFonts w:ascii="Arabic Transparent" w:hAnsi="Arabic Transparent" w:cs="Arabic Transparent" w:hint="cs"/>
          <w:sz w:val="28"/>
          <w:szCs w:val="28"/>
          <w:rtl/>
          <w:lang w:val="en-AE" w:bidi="ar-JO"/>
        </w:rPr>
        <w:t>بي</w:t>
      </w:r>
      <w:r w:rsidR="00F000CC" w:rsidRPr="00B529EB">
        <w:rPr>
          <w:rFonts w:ascii="Arabic Transparent" w:hAnsi="Arabic Transparent" w:cs="Arabic Transparent" w:hint="cs"/>
          <w:sz w:val="28"/>
          <w:szCs w:val="28"/>
          <w:rtl/>
          <w:lang w:val="en-AE" w:bidi="ar-JO"/>
        </w:rPr>
        <w:t>عوا</w:t>
      </w:r>
      <w:r w:rsidR="00CC2FE8" w:rsidRPr="00B529EB">
        <w:rPr>
          <w:rFonts w:ascii="Arabic Transparent" w:hAnsi="Arabic Transparent" w:cs="Arabic Transparent" w:hint="cs"/>
          <w:sz w:val="28"/>
          <w:szCs w:val="28"/>
          <w:rtl/>
          <w:lang w:val="en-AE" w:bidi="ar-JO"/>
        </w:rPr>
        <w:t xml:space="preserve"> ک</w:t>
      </w:r>
      <w:r w:rsidR="00F000CC" w:rsidRPr="00B529EB">
        <w:rPr>
          <w:rFonts w:ascii="Arabic Transparent" w:hAnsi="Arabic Transparent" w:cs="Arabic Transparent" w:hint="cs"/>
          <w:sz w:val="28"/>
          <w:szCs w:val="28"/>
          <w:rtl/>
          <w:lang w:val="en-AE" w:bidi="ar-JO"/>
        </w:rPr>
        <w:t>ي</w:t>
      </w:r>
      <w:r w:rsidR="00CC2FE8" w:rsidRPr="00B529EB">
        <w:rPr>
          <w:rFonts w:ascii="Arabic Transparent" w:hAnsi="Arabic Transparent" w:cs="Arabic Transparent" w:hint="cs"/>
          <w:sz w:val="28"/>
          <w:szCs w:val="28"/>
          <w:rtl/>
          <w:lang w:val="en-AE" w:bidi="ar-JO"/>
        </w:rPr>
        <w:t>ف شئتم إذا كان يدا بيد</w:t>
      </w:r>
      <w:r w:rsidR="000531CE" w:rsidRPr="000531CE">
        <w:rPr>
          <w:rFonts w:ascii="Arabic Transparent" w:hAnsi="Arabic Transparent" w:cs="Arabic Transparent" w:hint="cs"/>
          <w:sz w:val="28"/>
          <w:szCs w:val="28"/>
          <w:rtl/>
          <w:lang w:val="en-AE" w:bidi="ar-JO"/>
        </w:rPr>
        <w:t>"</w:t>
      </w:r>
      <w:r w:rsidR="00CC2FE8" w:rsidRPr="00B529EB">
        <w:rPr>
          <w:rFonts w:ascii="Arabic Transparent" w:hAnsi="Arabic Transparent" w:cs="Arabic Transparent" w:hint="cs"/>
          <w:sz w:val="28"/>
          <w:szCs w:val="28"/>
          <w:vertAlign w:val="superscript"/>
          <w:rtl/>
          <w:lang w:val="en-AE" w:bidi="ar-JO"/>
        </w:rPr>
        <w:t>(</w:t>
      </w:r>
      <w:r w:rsidR="00CC2FE8" w:rsidRPr="00B529EB">
        <w:rPr>
          <w:rStyle w:val="FootnoteReference"/>
          <w:rFonts w:ascii="Arabic Transparent" w:hAnsi="Arabic Transparent" w:cs="Arabic Transparent" w:hint="cs"/>
          <w:sz w:val="28"/>
          <w:szCs w:val="28"/>
          <w:rtl/>
          <w:lang w:val="en-AE" w:bidi="ar-JO"/>
        </w:rPr>
        <w:footnoteReference w:id="56"/>
      </w:r>
      <w:r w:rsidR="00CC2FE8" w:rsidRPr="00B529EB">
        <w:rPr>
          <w:rFonts w:ascii="Arabic Transparent" w:hAnsi="Arabic Transparent" w:cs="Arabic Transparent" w:hint="cs"/>
          <w:sz w:val="28"/>
          <w:szCs w:val="28"/>
          <w:vertAlign w:val="superscript"/>
          <w:rtl/>
          <w:lang w:val="en-AE" w:bidi="ar-JO"/>
        </w:rPr>
        <w:t>)</w:t>
      </w:r>
      <w:r w:rsidR="00C15328">
        <w:rPr>
          <w:rFonts w:ascii="Arabic Transparent" w:hAnsi="Arabic Transparent" w:cs="Arabic Transparent" w:hint="cs"/>
          <w:sz w:val="28"/>
          <w:szCs w:val="28"/>
          <w:rtl/>
          <w:lang w:val="en-AE" w:bidi="ar-JO"/>
        </w:rPr>
        <w:t xml:space="preserve">، </w:t>
      </w:r>
      <w:r w:rsidR="0068310D" w:rsidRPr="00B529EB">
        <w:rPr>
          <w:rFonts w:ascii="Arabic Transparent" w:hAnsi="Arabic Transparent" w:cs="Arabic Transparent" w:hint="cs"/>
          <w:sz w:val="28"/>
          <w:szCs w:val="28"/>
          <w:rtl/>
          <w:lang w:val="en-AE" w:bidi="ar-JO"/>
        </w:rPr>
        <w:t>والظاهر أن ال</w:t>
      </w:r>
      <w:r w:rsidR="00CC2FE8" w:rsidRPr="00B529EB">
        <w:rPr>
          <w:rFonts w:ascii="Arabic Transparent" w:hAnsi="Arabic Transparent" w:cs="Arabic Transparent" w:hint="cs"/>
          <w:sz w:val="28"/>
          <w:szCs w:val="28"/>
          <w:rtl/>
          <w:lang w:val="en-AE" w:bidi="ar-JO"/>
        </w:rPr>
        <w:t xml:space="preserve">حديث السابق </w:t>
      </w:r>
      <w:r w:rsidR="0068310D" w:rsidRPr="00B529EB">
        <w:rPr>
          <w:rFonts w:ascii="Arabic Transparent" w:hAnsi="Arabic Transparent" w:cs="Arabic Transparent" w:hint="cs"/>
          <w:sz w:val="28"/>
          <w:szCs w:val="28"/>
          <w:rtl/>
          <w:lang w:val="en-AE" w:bidi="ar-JO"/>
        </w:rPr>
        <w:t>لم ينص على</w:t>
      </w:r>
      <w:r w:rsidR="00CC2FE8" w:rsidRPr="00B529EB">
        <w:rPr>
          <w:rFonts w:ascii="Arabic Transparent" w:hAnsi="Arabic Transparent" w:cs="Arabic Transparent" w:hint="cs"/>
          <w:sz w:val="28"/>
          <w:szCs w:val="28"/>
          <w:rtl/>
          <w:lang w:val="en-AE" w:bidi="ar-JO"/>
        </w:rPr>
        <w:t xml:space="preserve"> العلة، فيأتي دور المجتهد أن يستنبط العلة من الحديث الشريف</w:t>
      </w:r>
      <w:r w:rsidR="00C15328">
        <w:rPr>
          <w:rFonts w:ascii="Arabic Transparent" w:hAnsi="Arabic Transparent" w:cs="Arabic Transparent" w:hint="cs"/>
          <w:sz w:val="28"/>
          <w:szCs w:val="28"/>
          <w:rtl/>
          <w:lang w:val="en-AE" w:bidi="ar-JO"/>
        </w:rPr>
        <w:t>،</w:t>
      </w:r>
      <w:r w:rsidR="00CC2FE8" w:rsidRPr="00B529EB">
        <w:rPr>
          <w:rFonts w:ascii="Arabic Transparent" w:hAnsi="Arabic Transparent" w:cs="Arabic Transparent" w:hint="cs"/>
          <w:sz w:val="28"/>
          <w:szCs w:val="28"/>
          <w:rtl/>
          <w:lang w:val="en-AE" w:bidi="ar-JO"/>
        </w:rPr>
        <w:t xml:space="preserve"> فيقول</w:t>
      </w:r>
      <w:r w:rsidR="00C15328">
        <w:rPr>
          <w:rFonts w:ascii="Arabic Transparent" w:hAnsi="Arabic Transparent" w:cs="Arabic Transparent" w:hint="cs"/>
          <w:sz w:val="28"/>
          <w:szCs w:val="28"/>
          <w:rtl/>
          <w:lang w:val="en-AE" w:bidi="ar-JO"/>
        </w:rPr>
        <w:t>:</w:t>
      </w:r>
      <w:r w:rsidR="00CC2FE8" w:rsidRPr="00B529EB">
        <w:rPr>
          <w:rFonts w:ascii="Arabic Transparent" w:hAnsi="Arabic Transparent" w:cs="Arabic Transparent" w:hint="cs"/>
          <w:sz w:val="28"/>
          <w:szCs w:val="28"/>
          <w:rtl/>
          <w:lang w:val="en-AE" w:bidi="ar-JO"/>
        </w:rPr>
        <w:t xml:space="preserve"> </w:t>
      </w:r>
      <w:r w:rsidR="00C15328">
        <w:rPr>
          <w:rFonts w:ascii="Arabic Transparent" w:hAnsi="Arabic Transparent" w:cs="Arabic Transparent" w:hint="cs"/>
          <w:sz w:val="28"/>
          <w:szCs w:val="28"/>
          <w:rtl/>
          <w:lang w:val="en-AE" w:bidi="ar-JO"/>
        </w:rPr>
        <w:t>"</w:t>
      </w:r>
      <w:r w:rsidR="00CC2FE8" w:rsidRPr="00B529EB">
        <w:rPr>
          <w:rFonts w:ascii="Arabic Transparent" w:hAnsi="Arabic Transparent" w:cs="Arabic Transparent" w:hint="cs"/>
          <w:sz w:val="28"/>
          <w:szCs w:val="28"/>
          <w:rtl/>
          <w:lang w:val="en-AE" w:bidi="ar-JO"/>
        </w:rPr>
        <w:t>العلة الكيل،</w:t>
      </w:r>
      <w:r w:rsidR="006231F7">
        <w:rPr>
          <w:rFonts w:ascii="Arabic Transparent" w:hAnsi="Arabic Transparent" w:cs="Arabic Transparent" w:hint="cs"/>
          <w:sz w:val="28"/>
          <w:szCs w:val="28"/>
          <w:rtl/>
          <w:lang w:val="en-AE" w:bidi="ar-JO"/>
        </w:rPr>
        <w:t xml:space="preserve"> أو الوزن،</w:t>
      </w:r>
      <w:r w:rsidR="00CC2FE8" w:rsidRPr="00B529EB">
        <w:rPr>
          <w:rFonts w:ascii="Arabic Transparent" w:hAnsi="Arabic Transparent" w:cs="Arabic Transparent" w:hint="cs"/>
          <w:sz w:val="28"/>
          <w:szCs w:val="28"/>
          <w:rtl/>
          <w:lang w:val="en-AE" w:bidi="ar-JO"/>
        </w:rPr>
        <w:t xml:space="preserve"> أو الطُعم</w:t>
      </w:r>
      <w:r w:rsidR="006231F7">
        <w:rPr>
          <w:rFonts w:ascii="Arabic Transparent" w:hAnsi="Arabic Transparent" w:cs="Arabic Transparent" w:hint="cs"/>
          <w:sz w:val="28"/>
          <w:szCs w:val="28"/>
          <w:rtl/>
          <w:lang w:val="en-AE" w:bidi="ar-JO"/>
        </w:rPr>
        <w:t>،</w:t>
      </w:r>
      <w:r w:rsidR="00CC2FE8" w:rsidRPr="00B529EB">
        <w:rPr>
          <w:rFonts w:ascii="Arabic Transparent" w:hAnsi="Arabic Transparent" w:cs="Arabic Transparent" w:hint="cs"/>
          <w:sz w:val="28"/>
          <w:szCs w:val="28"/>
          <w:rtl/>
          <w:lang w:val="en-AE" w:bidi="ar-JO"/>
        </w:rPr>
        <w:t xml:space="preserve"> أو الثمنيّة</w:t>
      </w:r>
      <w:r w:rsidR="00C15328">
        <w:rPr>
          <w:rFonts w:ascii="Arabic Transparent" w:hAnsi="Arabic Transparent" w:cs="Arabic Transparent" w:hint="cs"/>
          <w:sz w:val="28"/>
          <w:szCs w:val="28"/>
          <w:rtl/>
          <w:lang w:val="en-AE" w:bidi="ar-JO"/>
        </w:rPr>
        <w:t>"</w:t>
      </w:r>
      <w:r w:rsidR="00C15328" w:rsidRPr="00B529EB">
        <w:rPr>
          <w:rFonts w:ascii="Arabic Transparent" w:hAnsi="Arabic Transparent" w:cs="Arabic Transparent" w:hint="cs"/>
          <w:sz w:val="28"/>
          <w:szCs w:val="28"/>
          <w:vertAlign w:val="superscript"/>
          <w:rtl/>
          <w:lang w:val="en-AE" w:bidi="ar-JO"/>
        </w:rPr>
        <w:t>(</w:t>
      </w:r>
      <w:r w:rsidR="00C15328" w:rsidRPr="00B529EB">
        <w:rPr>
          <w:rStyle w:val="FootnoteReference"/>
          <w:rFonts w:ascii="Arabic Transparent" w:hAnsi="Arabic Transparent" w:cs="Arabic Transparent" w:hint="cs"/>
          <w:sz w:val="28"/>
          <w:szCs w:val="28"/>
          <w:rtl/>
          <w:lang w:val="en-AE" w:bidi="ar-JO"/>
        </w:rPr>
        <w:footnoteReference w:id="57"/>
      </w:r>
      <w:r w:rsidR="00C15328" w:rsidRPr="00B529EB">
        <w:rPr>
          <w:rFonts w:ascii="Arabic Transparent" w:hAnsi="Arabic Transparent" w:cs="Arabic Transparent" w:hint="cs"/>
          <w:sz w:val="28"/>
          <w:szCs w:val="28"/>
          <w:vertAlign w:val="superscript"/>
          <w:rtl/>
          <w:lang w:val="en-AE" w:bidi="ar-JO"/>
        </w:rPr>
        <w:t>)</w:t>
      </w:r>
      <w:r w:rsidR="006231F7">
        <w:rPr>
          <w:rFonts w:ascii="Arabic Transparent" w:hAnsi="Arabic Transparent" w:cs="Arabic Transparent" w:hint="cs"/>
          <w:sz w:val="28"/>
          <w:szCs w:val="28"/>
          <w:rtl/>
          <w:lang w:val="en-AE" w:bidi="ar-JO"/>
        </w:rPr>
        <w:t>،</w:t>
      </w:r>
      <w:r w:rsidR="00CC2FE8" w:rsidRPr="00B529EB">
        <w:rPr>
          <w:rFonts w:ascii="Arabic Transparent" w:hAnsi="Arabic Transparent" w:cs="Arabic Transparent" w:hint="cs"/>
          <w:sz w:val="28"/>
          <w:szCs w:val="28"/>
          <w:rtl/>
          <w:lang w:val="en-AE" w:bidi="ar-JO"/>
        </w:rPr>
        <w:t xml:space="preserve"> وفق ما </w:t>
      </w:r>
      <w:r w:rsidR="006231F7">
        <w:rPr>
          <w:rFonts w:ascii="Arabic Transparent" w:hAnsi="Arabic Transparent" w:cs="Arabic Transparent" w:hint="cs"/>
          <w:sz w:val="28"/>
          <w:szCs w:val="28"/>
          <w:rtl/>
          <w:lang w:val="en-AE" w:bidi="ar-JO"/>
        </w:rPr>
        <w:t>يظهر</w:t>
      </w:r>
      <w:r w:rsidR="00CC2FE8" w:rsidRPr="00B529EB">
        <w:rPr>
          <w:rFonts w:ascii="Arabic Transparent" w:hAnsi="Arabic Transparent" w:cs="Arabic Transparent" w:hint="cs"/>
          <w:sz w:val="28"/>
          <w:szCs w:val="28"/>
          <w:rtl/>
          <w:lang w:val="en-AE" w:bidi="ar-JO"/>
        </w:rPr>
        <w:t xml:space="preserve"> له بعد الاجتهاد والبحث</w:t>
      </w:r>
      <w:r w:rsidR="006231F7">
        <w:rPr>
          <w:rFonts w:ascii="Arabic Transparent" w:hAnsi="Arabic Transparent" w:cs="Arabic Transparent" w:hint="cs"/>
          <w:sz w:val="28"/>
          <w:szCs w:val="28"/>
          <w:rtl/>
          <w:lang w:val="en-AE" w:bidi="ar-JO"/>
        </w:rPr>
        <w:t>.</w:t>
      </w:r>
      <w:r w:rsidR="00252A37" w:rsidRPr="00B529EB">
        <w:rPr>
          <w:rFonts w:ascii="Arabic Transparent" w:hAnsi="Arabic Transparent" w:cs="Arabic Transparent" w:hint="cs"/>
          <w:sz w:val="28"/>
          <w:szCs w:val="28"/>
          <w:rtl/>
          <w:lang w:val="en-AE" w:bidi="ar-JO"/>
        </w:rPr>
        <w:t xml:space="preserve"> </w:t>
      </w:r>
    </w:p>
    <w:p w14:paraId="25E2CB25" w14:textId="77777777" w:rsidR="004048F1" w:rsidRDefault="00577D62" w:rsidP="004048F1">
      <w:pPr>
        <w:spacing w:after="0" w:line="360" w:lineRule="auto"/>
        <w:jc w:val="both"/>
        <w:rPr>
          <w:rFonts w:ascii="Arabic Transparent" w:hAnsi="Arabic Transparent" w:cs="Arabic Transparent"/>
          <w:b/>
          <w:bCs/>
          <w:sz w:val="28"/>
          <w:szCs w:val="28"/>
          <w:rtl/>
          <w:lang w:val="en-AE" w:bidi="ar-JO"/>
        </w:rPr>
      </w:pPr>
      <w:r w:rsidRPr="006231F7">
        <w:rPr>
          <w:rFonts w:ascii="Arabic Transparent" w:hAnsi="Arabic Transparent" w:cs="Arabic Transparent" w:hint="cs"/>
          <w:b/>
          <w:bCs/>
          <w:sz w:val="28"/>
          <w:szCs w:val="28"/>
          <w:rtl/>
          <w:lang w:val="en-AE" w:bidi="ar-JO"/>
        </w:rPr>
        <w:t>الفرع الثاني</w:t>
      </w:r>
      <w:r w:rsidR="001B4F8A" w:rsidRPr="006231F7">
        <w:rPr>
          <w:rFonts w:ascii="Arabic Transparent" w:hAnsi="Arabic Transparent" w:cs="Arabic Transparent" w:hint="cs"/>
          <w:b/>
          <w:bCs/>
          <w:sz w:val="28"/>
          <w:szCs w:val="28"/>
          <w:rtl/>
          <w:lang w:val="en-AE" w:bidi="ar-JO"/>
        </w:rPr>
        <w:t>: تنقيح المناط</w:t>
      </w:r>
      <w:r w:rsidR="00446708" w:rsidRPr="006231F7">
        <w:rPr>
          <w:rFonts w:ascii="Arabic Transparent" w:hAnsi="Arabic Transparent" w:cs="Arabic Transparent" w:hint="cs"/>
          <w:b/>
          <w:bCs/>
          <w:sz w:val="28"/>
          <w:szCs w:val="28"/>
          <w:rtl/>
          <w:lang w:val="en-AE" w:bidi="ar-JO"/>
        </w:rPr>
        <w:t xml:space="preserve"> </w:t>
      </w:r>
    </w:p>
    <w:p w14:paraId="31D42036" w14:textId="7B841820" w:rsidR="004048F1" w:rsidRDefault="005D7B91" w:rsidP="004048F1">
      <w:pPr>
        <w:spacing w:after="0" w:line="360" w:lineRule="auto"/>
        <w:jc w:val="both"/>
        <w:rPr>
          <w:rFonts w:ascii="Arabic Transparent" w:hAnsi="Arabic Transparent" w:cs="Arabic Transparent"/>
          <w:b/>
          <w:bCs/>
          <w:sz w:val="28"/>
          <w:szCs w:val="28"/>
          <w:rtl/>
          <w:lang w:val="en-AE" w:bidi="ar-JO"/>
        </w:rPr>
      </w:pPr>
      <w:r>
        <w:rPr>
          <w:rFonts w:ascii="Arabic Transparent" w:hAnsi="Arabic Transparent" w:cs="Arabic Transparent" w:hint="cs"/>
          <w:b/>
          <w:bCs/>
          <w:sz w:val="28"/>
          <w:szCs w:val="28"/>
          <w:rtl/>
          <w:lang w:val="en-AE" w:bidi="ar-JO"/>
        </w:rPr>
        <w:t xml:space="preserve">     </w:t>
      </w:r>
      <w:r w:rsidR="004A3535" w:rsidRPr="00B529EB">
        <w:rPr>
          <w:rFonts w:ascii="Arabic Transparent" w:hAnsi="Arabic Transparent" w:cs="Arabic Transparent" w:hint="cs"/>
          <w:sz w:val="28"/>
          <w:szCs w:val="28"/>
          <w:rtl/>
          <w:lang w:val="en-AE" w:bidi="ar-JO"/>
        </w:rPr>
        <w:t>عرف علماء الأصول تنقيح المناط بتعريفات متعددة أجزلها وأوضحها دلالة على المراد</w:t>
      </w:r>
      <w:r w:rsidR="00DF6864">
        <w:rPr>
          <w:rFonts w:ascii="Arabic Transparent" w:hAnsi="Arabic Transparent" w:cs="Arabic Transparent" w:hint="cs"/>
          <w:sz w:val="28"/>
          <w:szCs w:val="28"/>
          <w:rtl/>
          <w:lang w:val="en-AE" w:bidi="ar-JO"/>
        </w:rPr>
        <w:t>،</w:t>
      </w:r>
      <w:r w:rsidR="004A3535" w:rsidRPr="00B529EB">
        <w:rPr>
          <w:rFonts w:ascii="Arabic Transparent" w:hAnsi="Arabic Transparent" w:cs="Arabic Transparent" w:hint="cs"/>
          <w:sz w:val="28"/>
          <w:szCs w:val="28"/>
          <w:rtl/>
          <w:lang w:val="en-AE" w:bidi="ar-JO"/>
        </w:rPr>
        <w:t xml:space="preserve"> </w:t>
      </w:r>
      <w:r w:rsidR="00DF6864">
        <w:rPr>
          <w:rFonts w:ascii="Arabic Transparent" w:hAnsi="Arabic Transparent" w:cs="Arabic Transparent" w:hint="cs"/>
          <w:sz w:val="28"/>
          <w:szCs w:val="28"/>
          <w:rtl/>
          <w:lang w:val="en-AE" w:bidi="ar-JO"/>
        </w:rPr>
        <w:t>"</w:t>
      </w:r>
      <w:r w:rsidR="004A3535" w:rsidRPr="00B529EB">
        <w:rPr>
          <w:rFonts w:ascii="Arabic Transparent" w:hAnsi="Arabic Transparent" w:cs="Arabic Transparent" w:hint="cs"/>
          <w:sz w:val="28"/>
          <w:szCs w:val="28"/>
          <w:rtl/>
          <w:lang w:val="en-AE" w:bidi="ar-JO"/>
        </w:rPr>
        <w:t>أن يضيف الشارع الحكم إلى شبه، يقترن به أوصاف لا مدخل لها في الإضافة فيجب حذفها عن الاعتبار ليتسع الحكم</w:t>
      </w:r>
      <w:r w:rsidR="00DF6864" w:rsidRPr="000531CE">
        <w:rPr>
          <w:rFonts w:ascii="Arabic Transparent" w:hAnsi="Arabic Transparent" w:cs="Arabic Transparent" w:hint="cs"/>
          <w:sz w:val="28"/>
          <w:szCs w:val="28"/>
          <w:rtl/>
          <w:lang w:val="en-AE" w:bidi="ar-JO"/>
        </w:rPr>
        <w:t>"</w:t>
      </w:r>
      <w:r w:rsidR="004A3535" w:rsidRPr="00B529EB">
        <w:rPr>
          <w:rFonts w:ascii="Arabic Transparent" w:hAnsi="Arabic Transparent" w:cs="Arabic Transparent" w:hint="cs"/>
          <w:sz w:val="28"/>
          <w:szCs w:val="28"/>
          <w:vertAlign w:val="superscript"/>
          <w:rtl/>
          <w:lang w:val="en-AE" w:bidi="ar-JO"/>
        </w:rPr>
        <w:t>(</w:t>
      </w:r>
      <w:r w:rsidR="004A3535" w:rsidRPr="00B529EB">
        <w:rPr>
          <w:rStyle w:val="FootnoteReference"/>
          <w:rFonts w:ascii="Arabic Transparent" w:hAnsi="Arabic Transparent" w:cs="Arabic Transparent" w:hint="cs"/>
          <w:sz w:val="28"/>
          <w:szCs w:val="28"/>
          <w:rtl/>
          <w:lang w:val="en-AE" w:bidi="ar-JO"/>
        </w:rPr>
        <w:footnoteReference w:id="58"/>
      </w:r>
      <w:r w:rsidR="004A3535" w:rsidRPr="00B529EB">
        <w:rPr>
          <w:rFonts w:ascii="Arabic Transparent" w:hAnsi="Arabic Transparent" w:cs="Arabic Transparent" w:hint="cs"/>
          <w:sz w:val="28"/>
          <w:szCs w:val="28"/>
          <w:vertAlign w:val="superscript"/>
          <w:rtl/>
          <w:lang w:val="en-AE" w:bidi="ar-JO"/>
        </w:rPr>
        <w:t>)</w:t>
      </w:r>
      <w:r w:rsidR="004A3535" w:rsidRPr="00B529EB">
        <w:rPr>
          <w:rFonts w:ascii="Arabic Transparent" w:hAnsi="Arabic Transparent" w:cs="Arabic Transparent" w:hint="cs"/>
          <w:sz w:val="28"/>
          <w:szCs w:val="28"/>
          <w:rtl/>
          <w:lang w:val="en-AE" w:bidi="ar-JO"/>
        </w:rPr>
        <w:t>.</w:t>
      </w:r>
    </w:p>
    <w:p w14:paraId="6BC0AE42" w14:textId="1882D6E5" w:rsidR="002E52E1" w:rsidRDefault="005D7B91" w:rsidP="004048F1">
      <w:pPr>
        <w:spacing w:after="0" w:line="360" w:lineRule="auto"/>
        <w:jc w:val="both"/>
        <w:rPr>
          <w:rFonts w:ascii="Arabic Transparent" w:hAnsi="Arabic Transparent" w:cs="Arabic Transparent"/>
          <w:sz w:val="28"/>
          <w:szCs w:val="28"/>
          <w:rtl/>
          <w:lang w:val="en-AE" w:bidi="ar-JO"/>
        </w:rPr>
      </w:pPr>
      <w:r>
        <w:rPr>
          <w:rFonts w:ascii="Arabic Transparent" w:hAnsi="Arabic Transparent" w:cs="Arabic Transparent" w:hint="cs"/>
          <w:b/>
          <w:bCs/>
          <w:sz w:val="28"/>
          <w:szCs w:val="28"/>
          <w:rtl/>
          <w:lang w:val="en-AE" w:bidi="ar-JO"/>
        </w:rPr>
        <w:t xml:space="preserve">     </w:t>
      </w:r>
      <w:r w:rsidR="00977C91" w:rsidRPr="00B529EB">
        <w:rPr>
          <w:rFonts w:ascii="Arabic Transparent" w:hAnsi="Arabic Transparent" w:cs="Arabic Transparent" w:hint="cs"/>
          <w:sz w:val="28"/>
          <w:szCs w:val="28"/>
          <w:rtl/>
          <w:lang w:val="en-AE" w:bidi="ar-JO"/>
        </w:rPr>
        <w:t xml:space="preserve">وقد عرَّفه الشَّاطبي </w:t>
      </w:r>
      <w:r w:rsidR="00DF6864">
        <w:rPr>
          <w:rFonts w:ascii="Arabic Transparent" w:hAnsi="Arabic Transparent" w:cs="Arabic Transparent" w:hint="cs"/>
          <w:sz w:val="28"/>
          <w:szCs w:val="28"/>
          <w:rtl/>
          <w:lang w:val="en-AE" w:bidi="ar-JO"/>
        </w:rPr>
        <w:t>"</w:t>
      </w:r>
      <w:r w:rsidR="00977C91" w:rsidRPr="00B529EB">
        <w:rPr>
          <w:rFonts w:ascii="Arabic Transparent" w:hAnsi="Arabic Transparent" w:cs="Arabic Transparent" w:hint="cs"/>
          <w:sz w:val="28"/>
          <w:szCs w:val="28"/>
          <w:rtl/>
          <w:lang w:val="en-AE" w:bidi="ar-JO"/>
        </w:rPr>
        <w:t>بأن يكون الوصف المعتبر في الحكم مذكورًا مع غيره في النص، فيُنقّح بالاجتهاد؛ حتى يميز ما هو معتبر مما هو مُلغًى</w:t>
      </w:r>
      <w:r w:rsidR="00DF6864">
        <w:rPr>
          <w:rFonts w:ascii="Arabic Transparent" w:hAnsi="Arabic Transparent" w:cs="Arabic Transparent" w:hint="cs"/>
          <w:sz w:val="28"/>
          <w:szCs w:val="28"/>
          <w:rtl/>
          <w:lang w:val="en-AE" w:bidi="ar-JO"/>
        </w:rPr>
        <w:t>"</w:t>
      </w:r>
      <w:r w:rsidR="00977C91" w:rsidRPr="00B529EB">
        <w:rPr>
          <w:rFonts w:ascii="Arabic Transparent" w:hAnsi="Arabic Transparent" w:cs="Arabic Transparent" w:hint="cs"/>
          <w:sz w:val="28"/>
          <w:szCs w:val="28"/>
          <w:vertAlign w:val="superscript"/>
          <w:rtl/>
          <w:lang w:val="en-AE" w:bidi="ar-JO"/>
        </w:rPr>
        <w:t>(</w:t>
      </w:r>
      <w:r w:rsidR="00977C91" w:rsidRPr="00B529EB">
        <w:rPr>
          <w:rStyle w:val="FootnoteReference"/>
          <w:rFonts w:ascii="Arabic Transparent" w:hAnsi="Arabic Transparent" w:cs="Arabic Transparent" w:hint="cs"/>
          <w:sz w:val="28"/>
          <w:szCs w:val="28"/>
          <w:rtl/>
          <w:lang w:val="en-AE" w:bidi="ar-JO"/>
        </w:rPr>
        <w:footnoteReference w:id="59"/>
      </w:r>
      <w:r w:rsidR="00977C91" w:rsidRPr="00B529EB">
        <w:rPr>
          <w:rFonts w:ascii="Arabic Transparent" w:hAnsi="Arabic Transparent" w:cs="Arabic Transparent" w:hint="cs"/>
          <w:sz w:val="28"/>
          <w:szCs w:val="28"/>
          <w:vertAlign w:val="superscript"/>
          <w:rtl/>
          <w:lang w:val="en-AE" w:bidi="ar-JO"/>
        </w:rPr>
        <w:t>)</w:t>
      </w:r>
      <w:r w:rsidR="002E52E1">
        <w:rPr>
          <w:rFonts w:ascii="Arabic Transparent" w:hAnsi="Arabic Transparent" w:cs="Arabic Transparent" w:hint="cs"/>
          <w:sz w:val="28"/>
          <w:szCs w:val="28"/>
          <w:rtl/>
          <w:lang w:val="en-AE" w:bidi="ar-JO"/>
        </w:rPr>
        <w:t>.</w:t>
      </w:r>
    </w:p>
    <w:p w14:paraId="6E7ACD28" w14:textId="77777777" w:rsidR="002E52E1" w:rsidRDefault="002E52E1">
      <w:pPr>
        <w:bidi w:val="0"/>
        <w:spacing w:after="0" w:line="240" w:lineRule="auto"/>
        <w:rPr>
          <w:rFonts w:ascii="Arabic Transparent" w:hAnsi="Arabic Transparent" w:cs="Arabic Transparent"/>
          <w:sz w:val="28"/>
          <w:szCs w:val="28"/>
          <w:rtl/>
          <w:lang w:val="en-AE" w:bidi="ar-JO"/>
        </w:rPr>
      </w:pPr>
      <w:r>
        <w:rPr>
          <w:rFonts w:ascii="Arabic Transparent" w:hAnsi="Arabic Transparent" w:cs="Arabic Transparent"/>
          <w:sz w:val="28"/>
          <w:szCs w:val="28"/>
          <w:rtl/>
          <w:lang w:val="en-AE" w:bidi="ar-JO"/>
        </w:rPr>
        <w:br w:type="page"/>
      </w:r>
    </w:p>
    <w:p w14:paraId="0B5F2D8D" w14:textId="05732BE0" w:rsidR="004048F1" w:rsidRDefault="00641113" w:rsidP="004048F1">
      <w:pPr>
        <w:spacing w:after="0" w:line="360" w:lineRule="auto"/>
        <w:jc w:val="both"/>
        <w:rPr>
          <w:rFonts w:ascii="Arabic Transparent" w:hAnsi="Arabic Transparent" w:cs="Arabic Transparent"/>
          <w:b/>
          <w:bCs/>
          <w:sz w:val="28"/>
          <w:szCs w:val="28"/>
          <w:rtl/>
          <w:lang w:val="en-AE" w:bidi="ar-JO"/>
        </w:rPr>
      </w:pPr>
      <w:r w:rsidRPr="00B529EB">
        <w:rPr>
          <w:rFonts w:ascii="Arabic Transparent" w:hAnsi="Arabic Transparent" w:cs="Arabic Transparent" w:hint="cs"/>
          <w:sz w:val="28"/>
          <w:szCs w:val="28"/>
          <w:rtl/>
          <w:lang w:val="en-AE" w:bidi="ar-JO"/>
        </w:rPr>
        <w:t>وخالف</w:t>
      </w:r>
      <w:r w:rsidR="002E52E1">
        <w:rPr>
          <w:rFonts w:ascii="Arabic Transparent" w:hAnsi="Arabic Transparent" w:cs="Arabic Transparent" w:hint="cs"/>
          <w:sz w:val="28"/>
          <w:szCs w:val="28"/>
          <w:rtl/>
          <w:lang w:val="en-AE" w:bidi="ar-JO"/>
        </w:rPr>
        <w:t xml:space="preserve"> الشاطبي</w:t>
      </w:r>
      <w:r w:rsidRPr="00B529EB">
        <w:rPr>
          <w:rFonts w:ascii="Arabic Transparent" w:hAnsi="Arabic Transparent" w:cs="Arabic Transparent" w:hint="cs"/>
          <w:sz w:val="28"/>
          <w:szCs w:val="28"/>
          <w:rtl/>
          <w:lang w:val="en-AE" w:bidi="ar-JO"/>
        </w:rPr>
        <w:t xml:space="preserve"> بعض الأصوليين؛ حيث عدوا تنقيح المناط هو</w:t>
      </w:r>
      <w:r w:rsidR="00C15328">
        <w:rPr>
          <w:rFonts w:ascii="Arabic Transparent" w:hAnsi="Arabic Transparent" w:cs="Arabic Transparent" w:hint="cs"/>
          <w:sz w:val="28"/>
          <w:szCs w:val="28"/>
          <w:rtl/>
          <w:lang w:val="en-AE" w:bidi="ar-JO"/>
        </w:rPr>
        <w:t>:</w:t>
      </w:r>
      <w:r w:rsidRPr="00B529EB">
        <w:rPr>
          <w:rFonts w:ascii="Arabic Transparent" w:hAnsi="Arabic Transparent" w:cs="Arabic Transparent" w:hint="cs"/>
          <w:sz w:val="28"/>
          <w:szCs w:val="28"/>
          <w:rtl/>
          <w:lang w:val="en-AE" w:bidi="ar-JO"/>
        </w:rPr>
        <w:t xml:space="preserve"> </w:t>
      </w:r>
      <w:r w:rsidR="00C15328">
        <w:rPr>
          <w:rFonts w:ascii="Arabic Transparent" w:hAnsi="Arabic Transparent" w:cs="Arabic Transparent" w:hint="cs"/>
          <w:sz w:val="28"/>
          <w:szCs w:val="28"/>
          <w:rtl/>
          <w:lang w:val="en-AE" w:bidi="ar-JO"/>
        </w:rPr>
        <w:t>"</w:t>
      </w:r>
      <w:r w:rsidRPr="00B529EB">
        <w:rPr>
          <w:rFonts w:ascii="Arabic Transparent" w:hAnsi="Arabic Transparent" w:cs="Arabic Transparent" w:hint="cs"/>
          <w:sz w:val="28"/>
          <w:szCs w:val="28"/>
          <w:rtl/>
          <w:lang w:val="en-AE" w:bidi="ar-JO"/>
        </w:rPr>
        <w:t>الجمع بين الأصل والفرع بإلغاء الفارق</w:t>
      </w:r>
      <w:r w:rsidR="00C15328">
        <w:rPr>
          <w:rFonts w:ascii="Arabic Transparent" w:hAnsi="Arabic Transparent" w:cs="Arabic Transparent" w:hint="cs"/>
          <w:sz w:val="28"/>
          <w:szCs w:val="28"/>
          <w:rtl/>
          <w:lang w:val="en-AE" w:bidi="ar-JO"/>
        </w:rPr>
        <w:t>"</w:t>
      </w:r>
      <w:r w:rsidR="00C15328" w:rsidRPr="00B529EB">
        <w:rPr>
          <w:rFonts w:ascii="Arabic Transparent" w:hAnsi="Arabic Transparent" w:cs="Arabic Transparent" w:hint="cs"/>
          <w:sz w:val="28"/>
          <w:szCs w:val="28"/>
          <w:vertAlign w:val="superscript"/>
          <w:rtl/>
          <w:lang w:val="en-AE" w:bidi="ar-JO"/>
        </w:rPr>
        <w:t>(</w:t>
      </w:r>
      <w:r w:rsidR="00C15328" w:rsidRPr="00B529EB">
        <w:rPr>
          <w:rStyle w:val="FootnoteReference"/>
          <w:rFonts w:ascii="Arabic Transparent" w:hAnsi="Arabic Transparent" w:cs="Arabic Transparent" w:hint="cs"/>
          <w:sz w:val="28"/>
          <w:szCs w:val="28"/>
          <w:rtl/>
          <w:lang w:val="en-AE" w:bidi="ar-JO"/>
        </w:rPr>
        <w:footnoteReference w:id="60"/>
      </w:r>
      <w:r w:rsidR="00C15328" w:rsidRPr="00B529EB">
        <w:rPr>
          <w:rFonts w:ascii="Arabic Transparent" w:hAnsi="Arabic Transparent" w:cs="Arabic Transparent" w:hint="cs"/>
          <w:sz w:val="28"/>
          <w:szCs w:val="28"/>
          <w:vertAlign w:val="superscript"/>
          <w:rtl/>
          <w:lang w:val="en-AE" w:bidi="ar-JO"/>
        </w:rPr>
        <w:t>)</w:t>
      </w:r>
      <w:r w:rsidR="00DF6864">
        <w:rPr>
          <w:rFonts w:ascii="Arabic Transparent" w:hAnsi="Arabic Transparent" w:cs="Arabic Transparent" w:hint="cs"/>
          <w:sz w:val="28"/>
          <w:szCs w:val="28"/>
          <w:rtl/>
          <w:lang w:val="en-AE" w:bidi="ar-JO"/>
        </w:rPr>
        <w:t>.</w:t>
      </w:r>
    </w:p>
    <w:p w14:paraId="6F83D6A2" w14:textId="19068CFB" w:rsidR="004048F1" w:rsidRDefault="005D7B91" w:rsidP="004048F1">
      <w:pPr>
        <w:spacing w:after="0" w:line="360" w:lineRule="auto"/>
        <w:jc w:val="both"/>
        <w:rPr>
          <w:rFonts w:ascii="Arabic Transparent" w:hAnsi="Arabic Transparent" w:cs="Arabic Transparent"/>
          <w:b/>
          <w:bCs/>
          <w:sz w:val="28"/>
          <w:szCs w:val="28"/>
          <w:rtl/>
          <w:lang w:val="en-AE" w:bidi="ar-JO"/>
        </w:rPr>
      </w:pPr>
      <w:r>
        <w:rPr>
          <w:rFonts w:ascii="Arabic Transparent" w:hAnsi="Arabic Transparent" w:cs="Arabic Transparent" w:hint="cs"/>
          <w:b/>
          <w:bCs/>
          <w:sz w:val="28"/>
          <w:szCs w:val="28"/>
          <w:rtl/>
          <w:lang w:val="en-AE" w:bidi="ar-JO"/>
        </w:rPr>
        <w:t xml:space="preserve">     </w:t>
      </w:r>
      <w:r w:rsidR="00DF6864" w:rsidRPr="00DF6864">
        <w:rPr>
          <w:rFonts w:ascii="Arabic Transparent" w:hAnsi="Arabic Transparent" w:cs="Arabic Transparent"/>
          <w:sz w:val="28"/>
          <w:szCs w:val="28"/>
          <w:rtl/>
          <w:lang w:val="en-AE" w:bidi="ar-JO"/>
        </w:rPr>
        <w:t xml:space="preserve">وجه الاتفاق بين </w:t>
      </w:r>
      <w:r w:rsidR="00DF6864">
        <w:rPr>
          <w:rFonts w:ascii="Arabic Transparent" w:hAnsi="Arabic Transparent" w:cs="Arabic Transparent" w:hint="cs"/>
          <w:sz w:val="28"/>
          <w:szCs w:val="28"/>
          <w:rtl/>
          <w:lang w:val="en-AE" w:bidi="ar-JO"/>
        </w:rPr>
        <w:t>تنقيح المناط</w:t>
      </w:r>
      <w:r w:rsidR="00DF6864" w:rsidRPr="00DF6864">
        <w:rPr>
          <w:rFonts w:ascii="Arabic Transparent" w:hAnsi="Arabic Transparent" w:cs="Arabic Transparent"/>
          <w:sz w:val="28"/>
          <w:szCs w:val="28"/>
          <w:rtl/>
          <w:lang w:val="en-AE" w:bidi="ar-JO"/>
        </w:rPr>
        <w:t xml:space="preserve"> وتحقيق المناط في كونهما من مسالك العلة وكل</w:t>
      </w:r>
      <w:r w:rsidR="00753243">
        <w:rPr>
          <w:rFonts w:ascii="Arabic Transparent" w:hAnsi="Arabic Transparent" w:cs="Arabic Transparent" w:hint="cs"/>
          <w:sz w:val="28"/>
          <w:szCs w:val="28"/>
          <w:rtl/>
          <w:lang w:val="en-AE" w:bidi="ar-JO"/>
        </w:rPr>
        <w:t>ا</w:t>
      </w:r>
      <w:r w:rsidR="00DF6864" w:rsidRPr="00DF6864">
        <w:rPr>
          <w:rFonts w:ascii="Arabic Transparent" w:hAnsi="Arabic Transparent" w:cs="Arabic Transparent"/>
          <w:sz w:val="28"/>
          <w:szCs w:val="28"/>
          <w:rtl/>
          <w:lang w:val="en-AE" w:bidi="ar-JO"/>
        </w:rPr>
        <w:t>ه</w:t>
      </w:r>
      <w:r w:rsidR="00753243">
        <w:rPr>
          <w:rFonts w:ascii="Arabic Transparent" w:hAnsi="Arabic Transparent" w:cs="Arabic Transparent" w:hint="cs"/>
          <w:sz w:val="28"/>
          <w:szCs w:val="28"/>
          <w:rtl/>
          <w:lang w:val="en-AE" w:bidi="ar-JO"/>
        </w:rPr>
        <w:t>م</w:t>
      </w:r>
      <w:r w:rsidR="00DF6864" w:rsidRPr="00DF6864">
        <w:rPr>
          <w:rFonts w:ascii="Arabic Transparent" w:hAnsi="Arabic Transparent" w:cs="Arabic Transparent"/>
          <w:sz w:val="28"/>
          <w:szCs w:val="28"/>
          <w:rtl/>
          <w:lang w:val="en-AE" w:bidi="ar-JO"/>
        </w:rPr>
        <w:t xml:space="preserve">ا أدوات تستعمل </w:t>
      </w:r>
      <w:r w:rsidR="00753243">
        <w:rPr>
          <w:rFonts w:ascii="Arabic Transparent" w:hAnsi="Arabic Transparent" w:cs="Arabic Transparent" w:hint="cs"/>
          <w:sz w:val="28"/>
          <w:szCs w:val="28"/>
          <w:rtl/>
          <w:lang w:val="en-AE" w:bidi="ar-JO"/>
        </w:rPr>
        <w:t xml:space="preserve">في التعرف على العلة المناسبة، فأما التنقيح: يستعمل </w:t>
      </w:r>
      <w:r w:rsidR="00DF6864" w:rsidRPr="00DF6864">
        <w:rPr>
          <w:rFonts w:ascii="Arabic Transparent" w:hAnsi="Arabic Transparent" w:cs="Arabic Transparent"/>
          <w:sz w:val="28"/>
          <w:szCs w:val="28"/>
          <w:rtl/>
          <w:lang w:val="en-AE" w:bidi="ar-JO"/>
        </w:rPr>
        <w:t xml:space="preserve">من أجل </w:t>
      </w:r>
      <w:r w:rsidR="00753243">
        <w:rPr>
          <w:rFonts w:ascii="Arabic Transparent" w:hAnsi="Arabic Transparent" w:cs="Arabic Transparent" w:hint="cs"/>
          <w:sz w:val="28"/>
          <w:szCs w:val="28"/>
          <w:rtl/>
          <w:lang w:val="en-AE" w:bidi="ar-JO"/>
        </w:rPr>
        <w:t>تنقية العلة من الأوصاف غير الملائمة لتعلق الحكم بها</w:t>
      </w:r>
      <w:r w:rsidR="00DF6864" w:rsidRPr="00DF6864">
        <w:rPr>
          <w:rFonts w:ascii="Arabic Transparent" w:hAnsi="Arabic Transparent" w:cs="Arabic Transparent"/>
          <w:sz w:val="28"/>
          <w:szCs w:val="28"/>
          <w:rtl/>
          <w:lang w:val="en-AE" w:bidi="ar-JO"/>
        </w:rPr>
        <w:t>، و</w:t>
      </w:r>
      <w:r w:rsidR="00EC34C2">
        <w:rPr>
          <w:rFonts w:ascii="Arabic Transparent" w:hAnsi="Arabic Transparent" w:cs="Arabic Transparent" w:hint="cs"/>
          <w:sz w:val="28"/>
          <w:szCs w:val="28"/>
          <w:rtl/>
          <w:lang w:val="en-AE" w:bidi="ar-JO"/>
        </w:rPr>
        <w:t>أ</w:t>
      </w:r>
      <w:r w:rsidR="00753243">
        <w:rPr>
          <w:rFonts w:ascii="Arabic Transparent" w:hAnsi="Arabic Transparent" w:cs="Arabic Transparent" w:hint="cs"/>
          <w:sz w:val="28"/>
          <w:szCs w:val="28"/>
          <w:rtl/>
          <w:lang w:val="en-AE" w:bidi="ar-JO"/>
        </w:rPr>
        <w:t xml:space="preserve">ما التحقيق: </w:t>
      </w:r>
      <w:r w:rsidR="00EC34C2">
        <w:rPr>
          <w:rFonts w:ascii="Arabic Transparent" w:hAnsi="Arabic Transparent" w:cs="Arabic Transparent" w:hint="cs"/>
          <w:sz w:val="28"/>
          <w:szCs w:val="28"/>
          <w:rtl/>
          <w:lang w:val="en-AE" w:bidi="ar-JO"/>
        </w:rPr>
        <w:t>ف</w:t>
      </w:r>
      <w:r w:rsidR="00753243">
        <w:rPr>
          <w:rFonts w:ascii="Arabic Transparent" w:hAnsi="Arabic Transparent" w:cs="Arabic Transparent" w:hint="cs"/>
          <w:sz w:val="28"/>
          <w:szCs w:val="28"/>
          <w:rtl/>
          <w:lang w:val="en-AE" w:bidi="ar-JO"/>
        </w:rPr>
        <w:t xml:space="preserve">يستعمل في </w:t>
      </w:r>
      <w:r w:rsidR="00DF6864" w:rsidRPr="00DF6864">
        <w:rPr>
          <w:rFonts w:ascii="Arabic Transparent" w:hAnsi="Arabic Transparent" w:cs="Arabic Transparent"/>
          <w:sz w:val="28"/>
          <w:szCs w:val="28"/>
          <w:rtl/>
          <w:lang w:val="en-AE" w:bidi="ar-JO"/>
        </w:rPr>
        <w:t>التأكد من صلاحي</w:t>
      </w:r>
      <w:r w:rsidR="00753243">
        <w:rPr>
          <w:rFonts w:ascii="Arabic Transparent" w:hAnsi="Arabic Transparent" w:cs="Arabic Transparent" w:hint="cs"/>
          <w:sz w:val="28"/>
          <w:szCs w:val="28"/>
          <w:rtl/>
          <w:lang w:val="en-AE" w:bidi="ar-JO"/>
        </w:rPr>
        <w:t>ة العلة عند تنزيلها على الواقعة المتعلقة بها</w:t>
      </w:r>
      <w:r w:rsidR="00EC34C2" w:rsidRPr="00EC34C2">
        <w:rPr>
          <w:rFonts w:ascii="Arabic Transparent" w:hAnsi="Arabic Transparent" w:cs="Arabic Transparent" w:hint="cs"/>
          <w:sz w:val="28"/>
          <w:szCs w:val="28"/>
          <w:vertAlign w:val="superscript"/>
          <w:rtl/>
          <w:lang w:val="en-AE" w:bidi="ar-JO"/>
        </w:rPr>
        <w:t>(</w:t>
      </w:r>
      <w:r w:rsidR="00EC34C2" w:rsidRPr="00EC34C2">
        <w:rPr>
          <w:rStyle w:val="FootnoteReference"/>
          <w:rFonts w:ascii="Arabic Transparent" w:hAnsi="Arabic Transparent" w:cs="Arabic Transparent" w:hint="cs"/>
          <w:sz w:val="28"/>
          <w:szCs w:val="28"/>
          <w:rtl/>
          <w:lang w:val="en-AE" w:bidi="ar-JO"/>
        </w:rPr>
        <w:footnoteReference w:id="61"/>
      </w:r>
      <w:r w:rsidR="00EC34C2" w:rsidRPr="00EC34C2">
        <w:rPr>
          <w:rFonts w:ascii="Arabic Transparent" w:hAnsi="Arabic Transparent" w:cs="Arabic Transparent" w:hint="cs"/>
          <w:sz w:val="28"/>
          <w:szCs w:val="28"/>
          <w:vertAlign w:val="superscript"/>
          <w:rtl/>
          <w:lang w:val="en-AE" w:bidi="ar-JO"/>
        </w:rPr>
        <w:t>)</w:t>
      </w:r>
      <w:r w:rsidR="00753243">
        <w:rPr>
          <w:rFonts w:ascii="Arabic Transparent" w:hAnsi="Arabic Transparent" w:cs="Arabic Transparent" w:hint="cs"/>
          <w:sz w:val="28"/>
          <w:szCs w:val="28"/>
          <w:rtl/>
          <w:lang w:val="en-AE" w:bidi="ar-JO"/>
        </w:rPr>
        <w:t>.</w:t>
      </w:r>
    </w:p>
    <w:p w14:paraId="653455D3" w14:textId="59492DB6" w:rsidR="004048F1" w:rsidRDefault="005D7B91" w:rsidP="0022066B">
      <w:pPr>
        <w:spacing w:after="0" w:line="360" w:lineRule="auto"/>
        <w:jc w:val="both"/>
        <w:rPr>
          <w:rFonts w:ascii="Arabic Transparent" w:hAnsi="Arabic Transparent" w:cs="Arabic Transparent"/>
          <w:b/>
          <w:bCs/>
          <w:sz w:val="28"/>
          <w:szCs w:val="28"/>
          <w:rtl/>
          <w:lang w:val="en-AE" w:bidi="ar-JO"/>
        </w:rPr>
      </w:pPr>
      <w:r>
        <w:rPr>
          <w:rFonts w:ascii="Arabic Transparent" w:hAnsi="Arabic Transparent" w:cs="Arabic Transparent" w:hint="cs"/>
          <w:b/>
          <w:bCs/>
          <w:sz w:val="28"/>
          <w:szCs w:val="28"/>
          <w:rtl/>
          <w:lang w:val="en-AE" w:bidi="ar-JO"/>
        </w:rPr>
        <w:t xml:space="preserve">     </w:t>
      </w:r>
      <w:r w:rsidR="00753243" w:rsidRPr="00753243">
        <w:rPr>
          <w:rFonts w:ascii="Arabic Transparent" w:hAnsi="Arabic Transparent" w:cs="Arabic Transparent"/>
          <w:sz w:val="28"/>
          <w:szCs w:val="28"/>
          <w:rtl/>
          <w:lang w:val="en-AE" w:bidi="ar-JO"/>
        </w:rPr>
        <w:t xml:space="preserve">وأما وجه الاختلاف بينهما، أن </w:t>
      </w:r>
      <w:r w:rsidR="00753243">
        <w:rPr>
          <w:rFonts w:ascii="Arabic Transparent" w:hAnsi="Arabic Transparent" w:cs="Arabic Transparent" w:hint="cs"/>
          <w:sz w:val="28"/>
          <w:szCs w:val="28"/>
          <w:rtl/>
          <w:lang w:val="en-AE" w:bidi="ar-JO"/>
        </w:rPr>
        <w:t>تنقيح</w:t>
      </w:r>
      <w:r w:rsidR="00753243" w:rsidRPr="00753243">
        <w:rPr>
          <w:rFonts w:ascii="Arabic Transparent" w:hAnsi="Arabic Transparent" w:cs="Arabic Transparent"/>
          <w:sz w:val="28"/>
          <w:szCs w:val="28"/>
          <w:rtl/>
          <w:lang w:val="en-AE" w:bidi="ar-JO"/>
        </w:rPr>
        <w:t xml:space="preserve"> المناط يكون </w:t>
      </w:r>
      <w:r w:rsidR="00753243">
        <w:rPr>
          <w:rFonts w:ascii="Arabic Transparent" w:hAnsi="Arabic Transparent" w:cs="Arabic Transparent" w:hint="cs"/>
          <w:sz w:val="28"/>
          <w:szCs w:val="28"/>
          <w:rtl/>
          <w:lang w:val="en-AE" w:bidi="ar-JO"/>
        </w:rPr>
        <w:t xml:space="preserve">المرحلة الثانية بعد استنباط الأوصاف التي يمكن أن يعلق الحكم عليها، </w:t>
      </w:r>
      <w:r w:rsidR="00EC34C2">
        <w:rPr>
          <w:rFonts w:ascii="Arabic Transparent" w:hAnsi="Arabic Transparent" w:cs="Arabic Transparent" w:hint="cs"/>
          <w:sz w:val="28"/>
          <w:szCs w:val="28"/>
          <w:rtl/>
          <w:lang w:val="en-AE" w:bidi="ar-JO"/>
        </w:rPr>
        <w:t>و</w:t>
      </w:r>
      <w:r w:rsidR="00753243">
        <w:rPr>
          <w:rFonts w:ascii="Arabic Transparent" w:hAnsi="Arabic Transparent" w:cs="Arabic Transparent" w:hint="cs"/>
          <w:sz w:val="28"/>
          <w:szCs w:val="28"/>
          <w:rtl/>
          <w:lang w:val="en-AE" w:bidi="ar-JO"/>
        </w:rPr>
        <w:t xml:space="preserve">يقوم المجتهد بتنقية العلة من الأوصاف غير الملائمة، </w:t>
      </w:r>
      <w:r w:rsidR="00753243" w:rsidRPr="00753243">
        <w:rPr>
          <w:rFonts w:ascii="Arabic Transparent" w:hAnsi="Arabic Transparent" w:cs="Arabic Transparent"/>
          <w:sz w:val="28"/>
          <w:szCs w:val="28"/>
          <w:rtl/>
          <w:lang w:val="en-AE" w:bidi="ar-JO"/>
        </w:rPr>
        <w:t>ثم يقوم بتحقيق المناط في الصور الجزئية</w:t>
      </w:r>
      <w:r w:rsidR="00753243">
        <w:rPr>
          <w:rFonts w:ascii="Arabic Transparent" w:hAnsi="Arabic Transparent" w:cs="Arabic Transparent" w:hint="cs"/>
          <w:sz w:val="28"/>
          <w:szCs w:val="28"/>
          <w:rtl/>
          <w:lang w:val="en-AE" w:bidi="ar-JO"/>
        </w:rPr>
        <w:t xml:space="preserve"> من خلال اختبار مناسبة العلة التي توصل لها</w:t>
      </w:r>
      <w:r w:rsidR="00753243" w:rsidRPr="00753243">
        <w:rPr>
          <w:rFonts w:ascii="Arabic Transparent" w:hAnsi="Arabic Transparent" w:cs="Arabic Transparent"/>
          <w:sz w:val="28"/>
          <w:szCs w:val="28"/>
          <w:rtl/>
          <w:lang w:val="en-AE" w:bidi="ar-JO"/>
        </w:rPr>
        <w:t>،</w:t>
      </w:r>
      <w:r w:rsidR="0022066B">
        <w:rPr>
          <w:rFonts w:ascii="Arabic Transparent" w:hAnsi="Arabic Transparent" w:cs="Arabic Transparent" w:hint="cs"/>
          <w:sz w:val="28"/>
          <w:szCs w:val="28"/>
          <w:rtl/>
          <w:lang w:val="en-AE" w:bidi="ar-JO"/>
        </w:rPr>
        <w:t xml:space="preserve"> </w:t>
      </w:r>
      <w:r w:rsidR="00753243">
        <w:rPr>
          <w:rFonts w:ascii="Arabic Transparent" w:hAnsi="Arabic Transparent" w:cs="Arabic Transparent" w:hint="cs"/>
          <w:sz w:val="28"/>
          <w:szCs w:val="28"/>
          <w:rtl/>
          <w:lang w:val="en-AE" w:bidi="ar-JO"/>
        </w:rPr>
        <w:t>و</w:t>
      </w:r>
      <w:r w:rsidR="00753243" w:rsidRPr="00753243">
        <w:rPr>
          <w:rFonts w:ascii="Arabic Transparent" w:hAnsi="Arabic Transparent" w:cs="Arabic Transparent"/>
          <w:sz w:val="28"/>
          <w:szCs w:val="28"/>
          <w:rtl/>
          <w:lang w:val="en-AE" w:bidi="ar-JO"/>
        </w:rPr>
        <w:t>مثال ذلك</w:t>
      </w:r>
      <w:r w:rsidR="00753243">
        <w:rPr>
          <w:rFonts w:ascii="Arabic Transparent" w:hAnsi="Arabic Transparent" w:cs="Arabic Transparent" w:hint="cs"/>
          <w:sz w:val="28"/>
          <w:szCs w:val="28"/>
          <w:rtl/>
          <w:lang w:val="en-AE" w:bidi="ar-JO"/>
        </w:rPr>
        <w:t>:</w:t>
      </w:r>
      <w:r w:rsidR="00641113" w:rsidRPr="00B529EB">
        <w:rPr>
          <w:rFonts w:ascii="Arabic Transparent" w:hAnsi="Arabic Transparent" w:cs="Arabic Transparent" w:hint="cs"/>
          <w:sz w:val="28"/>
          <w:szCs w:val="28"/>
          <w:rtl/>
          <w:lang w:val="en-AE" w:bidi="ar-JO"/>
        </w:rPr>
        <w:t xml:space="preserve"> قول النبي </w:t>
      </w:r>
      <w:r w:rsidR="00651804">
        <w:rPr>
          <w:rFonts w:ascii="AGA Arabesque" w:eastAsia="AGA Arabesque" w:hAnsi="AGA Arabesque" w:cs="AGA Arabesque"/>
          <w:sz w:val="28"/>
          <w:szCs w:val="28"/>
          <w:lang w:val="en-AE" w:bidi="ar-JO"/>
        </w:rPr>
        <w:t></w:t>
      </w:r>
      <w:r w:rsidR="00651804">
        <w:rPr>
          <w:rFonts w:ascii="Arabic Transparent" w:hAnsi="Arabic Transparent" w:cs="Arabic Transparent" w:hint="cs"/>
          <w:sz w:val="28"/>
          <w:szCs w:val="28"/>
          <w:rtl/>
          <w:lang w:val="en-AE" w:bidi="ar-JO"/>
        </w:rPr>
        <w:t xml:space="preserve">  "</w:t>
      </w:r>
      <w:r w:rsidR="00641113" w:rsidRPr="00B529EB">
        <w:rPr>
          <w:rFonts w:ascii="Arabic Transparent" w:hAnsi="Arabic Transparent" w:cs="Arabic Transparent" w:hint="cs"/>
          <w:sz w:val="28"/>
          <w:szCs w:val="28"/>
          <w:rtl/>
          <w:lang w:val="en-AE" w:bidi="ar-JO"/>
        </w:rPr>
        <w:t>للأعرابي الذي قال: يا رسول الله، هلكتُ، قال: ما لك؟!، قال: وقعتُ على أهلي في رمضان، قال: فأعتِق رقبة</w:t>
      </w:r>
      <w:r w:rsidR="00651804">
        <w:rPr>
          <w:rFonts w:ascii="Arabic Transparent" w:hAnsi="Arabic Transparent" w:cs="Arabic Transparent" w:hint="cs"/>
          <w:sz w:val="28"/>
          <w:szCs w:val="28"/>
          <w:rtl/>
          <w:lang w:val="en-AE" w:bidi="ar-JO"/>
        </w:rPr>
        <w:t>"</w:t>
      </w:r>
      <w:r w:rsidR="00641113" w:rsidRPr="00B529EB">
        <w:rPr>
          <w:rFonts w:ascii="Arabic Transparent" w:hAnsi="Arabic Transparent" w:cs="Arabic Transparent" w:hint="cs"/>
          <w:sz w:val="28"/>
          <w:szCs w:val="28"/>
          <w:vertAlign w:val="superscript"/>
          <w:rtl/>
          <w:lang w:val="en-AE" w:bidi="ar-JO"/>
        </w:rPr>
        <w:t>(</w:t>
      </w:r>
      <w:r w:rsidR="00641113" w:rsidRPr="00B529EB">
        <w:rPr>
          <w:rStyle w:val="FootnoteReference"/>
          <w:rFonts w:ascii="Arabic Transparent" w:hAnsi="Arabic Transparent" w:cs="Arabic Transparent" w:hint="cs"/>
          <w:sz w:val="28"/>
          <w:szCs w:val="28"/>
          <w:rtl/>
          <w:lang w:val="en-AE" w:bidi="ar-JO"/>
        </w:rPr>
        <w:footnoteReference w:id="62"/>
      </w:r>
      <w:r w:rsidR="00641113" w:rsidRPr="00B529EB">
        <w:rPr>
          <w:rFonts w:ascii="Arabic Transparent" w:hAnsi="Arabic Transparent" w:cs="Arabic Transparent" w:hint="cs"/>
          <w:sz w:val="28"/>
          <w:szCs w:val="28"/>
          <w:vertAlign w:val="superscript"/>
          <w:rtl/>
          <w:lang w:val="en-AE" w:bidi="ar-JO"/>
        </w:rPr>
        <w:t>)</w:t>
      </w:r>
      <w:r w:rsidR="00641113" w:rsidRPr="00B529EB">
        <w:rPr>
          <w:rFonts w:ascii="Arabic Transparent" w:hAnsi="Arabic Transparent" w:cs="Arabic Transparent" w:hint="cs"/>
          <w:sz w:val="28"/>
          <w:szCs w:val="28"/>
          <w:rtl/>
          <w:lang w:val="en-AE" w:bidi="ar-JO"/>
        </w:rPr>
        <w:t>.</w:t>
      </w:r>
    </w:p>
    <w:p w14:paraId="1D3D37A4" w14:textId="714FE8F3" w:rsidR="00977C91" w:rsidRPr="004048F1" w:rsidRDefault="005D7B91" w:rsidP="004048F1">
      <w:pPr>
        <w:spacing w:after="0" w:line="360" w:lineRule="auto"/>
        <w:jc w:val="both"/>
        <w:rPr>
          <w:rFonts w:ascii="Arabic Transparent" w:hAnsi="Arabic Transparent" w:cs="Arabic Transparent"/>
          <w:b/>
          <w:bCs/>
          <w:sz w:val="28"/>
          <w:szCs w:val="28"/>
          <w:rtl/>
          <w:lang w:val="en-AE" w:bidi="ar-JO"/>
        </w:rPr>
      </w:pPr>
      <w:r>
        <w:rPr>
          <w:rFonts w:ascii="Arabic Transparent" w:hAnsi="Arabic Transparent" w:cs="Arabic Transparent" w:hint="cs"/>
          <w:b/>
          <w:bCs/>
          <w:sz w:val="28"/>
          <w:szCs w:val="28"/>
          <w:rtl/>
          <w:lang w:val="en-AE" w:bidi="ar-JO"/>
        </w:rPr>
        <w:t xml:space="preserve">     </w:t>
      </w:r>
      <w:r w:rsidR="00641113" w:rsidRPr="00B529EB">
        <w:rPr>
          <w:rFonts w:ascii="Arabic Transparent" w:hAnsi="Arabic Transparent" w:cs="Arabic Transparent" w:hint="cs"/>
          <w:sz w:val="28"/>
          <w:szCs w:val="28"/>
          <w:rtl/>
          <w:lang w:val="en-AE" w:bidi="ar-JO"/>
        </w:rPr>
        <w:t>يتبين</w:t>
      </w:r>
      <w:r w:rsidR="00A45CE2">
        <w:rPr>
          <w:rFonts w:ascii="Arabic Transparent" w:hAnsi="Arabic Transparent" w:cs="Arabic Transparent" w:hint="cs"/>
          <w:sz w:val="28"/>
          <w:szCs w:val="28"/>
          <w:rtl/>
          <w:lang w:val="en-AE" w:bidi="ar-JO"/>
        </w:rPr>
        <w:t xml:space="preserve"> مما سبق، </w:t>
      </w:r>
      <w:r w:rsidR="00641113" w:rsidRPr="00B529EB">
        <w:rPr>
          <w:rFonts w:ascii="Arabic Transparent" w:hAnsi="Arabic Transparent" w:cs="Arabic Transparent" w:hint="cs"/>
          <w:sz w:val="28"/>
          <w:szCs w:val="28"/>
          <w:rtl/>
          <w:lang w:val="en-AE" w:bidi="ar-JO"/>
        </w:rPr>
        <w:t>أن الحديث يمكن أن ي</w:t>
      </w:r>
      <w:r w:rsidR="00A45CE2">
        <w:rPr>
          <w:rFonts w:ascii="Arabic Transparent" w:hAnsi="Arabic Transparent" w:cs="Arabic Transparent" w:hint="cs"/>
          <w:sz w:val="28"/>
          <w:szCs w:val="28"/>
          <w:rtl/>
          <w:lang w:val="en-AE" w:bidi="ar-JO"/>
        </w:rPr>
        <w:t>ُ</w:t>
      </w:r>
      <w:r w:rsidR="00641113" w:rsidRPr="00B529EB">
        <w:rPr>
          <w:rFonts w:ascii="Arabic Transparent" w:hAnsi="Arabic Transparent" w:cs="Arabic Transparent" w:hint="cs"/>
          <w:sz w:val="28"/>
          <w:szCs w:val="28"/>
          <w:rtl/>
          <w:lang w:val="en-AE" w:bidi="ar-JO"/>
        </w:rPr>
        <w:t>ستخرج منه أوصافًا أخرى ليست مؤثرة في الحكم، فلا بد</w:t>
      </w:r>
      <w:r w:rsidR="004933D5">
        <w:rPr>
          <w:rFonts w:ascii="Arabic Transparent" w:hAnsi="Arabic Transparent" w:cs="Arabic Transparent" w:hint="cs"/>
          <w:sz w:val="28"/>
          <w:szCs w:val="28"/>
          <w:rtl/>
          <w:lang w:val="en-AE" w:bidi="ar-JO"/>
        </w:rPr>
        <w:t>َّ</w:t>
      </w:r>
      <w:r w:rsidR="00641113" w:rsidRPr="00B529EB">
        <w:rPr>
          <w:rFonts w:ascii="Arabic Transparent" w:hAnsi="Arabic Transparent" w:cs="Arabic Transparent" w:hint="cs"/>
          <w:sz w:val="28"/>
          <w:szCs w:val="28"/>
          <w:rtl/>
          <w:lang w:val="en-AE" w:bidi="ar-JO"/>
        </w:rPr>
        <w:t xml:space="preserve"> </w:t>
      </w:r>
      <w:r w:rsidR="004933D5">
        <w:rPr>
          <w:rFonts w:ascii="Arabic Transparent" w:hAnsi="Arabic Transparent" w:cs="Arabic Transparent" w:hint="cs"/>
          <w:sz w:val="28"/>
          <w:szCs w:val="28"/>
          <w:rtl/>
          <w:lang w:val="en-AE" w:bidi="ar-JO"/>
        </w:rPr>
        <w:t>للمجتهد</w:t>
      </w:r>
      <w:r w:rsidR="00641113" w:rsidRPr="00B529EB">
        <w:rPr>
          <w:rFonts w:ascii="Arabic Transparent" w:hAnsi="Arabic Transparent" w:cs="Arabic Transparent" w:hint="cs"/>
          <w:sz w:val="28"/>
          <w:szCs w:val="28"/>
          <w:rtl/>
          <w:lang w:val="en-AE" w:bidi="ar-JO"/>
        </w:rPr>
        <w:t xml:space="preserve"> من أن يخرج الأوصاف التي لا مدخل لها في </w:t>
      </w:r>
      <w:r w:rsidR="0083782B" w:rsidRPr="00B529EB">
        <w:rPr>
          <w:rFonts w:ascii="Arabic Transparent" w:hAnsi="Arabic Transparent" w:cs="Arabic Transparent" w:hint="cs"/>
          <w:sz w:val="28"/>
          <w:szCs w:val="28"/>
          <w:rtl/>
          <w:lang w:val="en-AE" w:bidi="ar-JO"/>
        </w:rPr>
        <w:t>الحكم</w:t>
      </w:r>
      <w:r w:rsidR="00641113" w:rsidRPr="00B529EB">
        <w:rPr>
          <w:rFonts w:ascii="Arabic Transparent" w:hAnsi="Arabic Transparent" w:cs="Arabic Transparent" w:hint="cs"/>
          <w:sz w:val="28"/>
          <w:szCs w:val="28"/>
          <w:rtl/>
          <w:lang w:val="en-AE" w:bidi="ar-JO"/>
        </w:rPr>
        <w:t xml:space="preserve"> لعدم صلاحيتها للتعليل، وهي في هذا الحديث: كون المجامع أعرابيًّا، وكونه قد وطئ امرأته، فجميعها تزال وتبقى </w:t>
      </w:r>
      <w:r w:rsidR="002E52E1">
        <w:rPr>
          <w:rFonts w:ascii="Arabic Transparent" w:hAnsi="Arabic Transparent" w:cs="Arabic Transparent" w:hint="cs"/>
          <w:sz w:val="28"/>
          <w:szCs w:val="28"/>
          <w:rtl/>
          <w:lang w:val="en-AE" w:bidi="ar-JO"/>
        </w:rPr>
        <w:t>"</w:t>
      </w:r>
      <w:r w:rsidR="00641113" w:rsidRPr="00B529EB">
        <w:rPr>
          <w:rFonts w:ascii="Arabic Transparent" w:hAnsi="Arabic Transparent" w:cs="Arabic Transparent" w:hint="cs"/>
          <w:sz w:val="28"/>
          <w:szCs w:val="28"/>
          <w:rtl/>
          <w:lang w:val="en-AE" w:bidi="ar-JO"/>
        </w:rPr>
        <w:t xml:space="preserve">العلة أنه </w:t>
      </w:r>
      <w:r w:rsidR="00B6183C" w:rsidRPr="00B6183C">
        <w:rPr>
          <w:rFonts w:ascii="Arabic Transparent" w:hAnsi="Arabic Transparent" w:cs="Arabic Transparent"/>
          <w:sz w:val="28"/>
          <w:szCs w:val="28"/>
          <w:rtl/>
          <w:lang w:val="en-AE" w:bidi="ar-JO"/>
        </w:rPr>
        <w:t>انتهك حرمة الصوم بالمباشرة الكاملة (الجماع)</w:t>
      </w:r>
      <w:r w:rsidR="002E52E1" w:rsidRPr="002E52E1">
        <w:rPr>
          <w:rFonts w:ascii="Arabic Transparent" w:hAnsi="Arabic Transparent" w:cs="Arabic Transparent" w:hint="cs"/>
          <w:sz w:val="28"/>
          <w:szCs w:val="28"/>
          <w:rtl/>
          <w:lang w:val="en-AE" w:bidi="ar-JO"/>
        </w:rPr>
        <w:t>"</w:t>
      </w:r>
      <w:r w:rsidR="0083782B" w:rsidRPr="00B529EB">
        <w:rPr>
          <w:rFonts w:ascii="Arabic Transparent" w:hAnsi="Arabic Transparent" w:cs="Arabic Transparent" w:hint="cs"/>
          <w:sz w:val="28"/>
          <w:szCs w:val="28"/>
          <w:vertAlign w:val="superscript"/>
          <w:rtl/>
          <w:lang w:val="en-AE" w:bidi="ar-JO"/>
        </w:rPr>
        <w:t>(</w:t>
      </w:r>
      <w:r w:rsidR="0083782B" w:rsidRPr="00B529EB">
        <w:rPr>
          <w:rStyle w:val="FootnoteReference"/>
          <w:rFonts w:ascii="Arabic Transparent" w:hAnsi="Arabic Transparent" w:cs="Arabic Transparent" w:hint="cs"/>
          <w:sz w:val="28"/>
          <w:szCs w:val="28"/>
          <w:rtl/>
          <w:lang w:val="en-AE" w:bidi="ar-JO"/>
        </w:rPr>
        <w:footnoteReference w:id="63"/>
      </w:r>
      <w:r w:rsidR="0083782B" w:rsidRPr="00B529EB">
        <w:rPr>
          <w:rFonts w:ascii="Arabic Transparent" w:hAnsi="Arabic Transparent" w:cs="Arabic Transparent" w:hint="cs"/>
          <w:sz w:val="28"/>
          <w:szCs w:val="28"/>
          <w:vertAlign w:val="superscript"/>
          <w:rtl/>
          <w:lang w:val="en-AE" w:bidi="ar-JO"/>
        </w:rPr>
        <w:t>)</w:t>
      </w:r>
      <w:r w:rsidR="00A45CE2">
        <w:rPr>
          <w:rFonts w:ascii="Arabic Transparent" w:hAnsi="Arabic Transparent" w:cs="Arabic Transparent" w:hint="cs"/>
          <w:sz w:val="28"/>
          <w:szCs w:val="28"/>
          <w:rtl/>
          <w:lang w:val="en-AE" w:bidi="ar-JO"/>
        </w:rPr>
        <w:t>.</w:t>
      </w:r>
    </w:p>
    <w:p w14:paraId="1190140F" w14:textId="77777777" w:rsidR="001D6980" w:rsidRDefault="001D6980">
      <w:pPr>
        <w:bidi w:val="0"/>
        <w:spacing w:after="0" w:line="240" w:lineRule="auto"/>
        <w:rPr>
          <w:rFonts w:ascii="Arabic Transparent" w:hAnsi="Arabic Transparent" w:cs="Arabic Transparent"/>
          <w:b/>
          <w:bCs/>
          <w:sz w:val="28"/>
          <w:szCs w:val="28"/>
          <w:rtl/>
          <w:lang w:val="en-AE" w:bidi="ar-JO"/>
        </w:rPr>
      </w:pPr>
      <w:r>
        <w:rPr>
          <w:rFonts w:ascii="Arabic Transparent" w:hAnsi="Arabic Transparent" w:cs="Arabic Transparent"/>
          <w:b/>
          <w:bCs/>
          <w:sz w:val="28"/>
          <w:szCs w:val="28"/>
          <w:rtl/>
          <w:lang w:val="en-AE" w:bidi="ar-JO"/>
        </w:rPr>
        <w:br w:type="page"/>
      </w:r>
    </w:p>
    <w:p w14:paraId="276E0595" w14:textId="7CF30191" w:rsidR="00F97E24" w:rsidRPr="00DF6864" w:rsidRDefault="00F97E24" w:rsidP="0083782B">
      <w:pPr>
        <w:spacing w:after="0" w:line="360" w:lineRule="auto"/>
        <w:jc w:val="both"/>
        <w:rPr>
          <w:rFonts w:ascii="Arabic Transparent" w:hAnsi="Arabic Transparent" w:cs="Arabic Transparent"/>
          <w:b/>
          <w:bCs/>
          <w:sz w:val="28"/>
          <w:szCs w:val="28"/>
          <w:rtl/>
          <w:lang w:val="en-AE" w:bidi="ar-JO"/>
        </w:rPr>
      </w:pPr>
      <w:r w:rsidRPr="00DF6864">
        <w:rPr>
          <w:rFonts w:ascii="Arabic Transparent" w:hAnsi="Arabic Transparent" w:cs="Arabic Transparent" w:hint="cs"/>
          <w:b/>
          <w:bCs/>
          <w:sz w:val="28"/>
          <w:szCs w:val="28"/>
          <w:rtl/>
          <w:lang w:val="en-AE" w:bidi="ar-JO"/>
        </w:rPr>
        <w:t xml:space="preserve">الفرع الثالث: القياس </w:t>
      </w:r>
    </w:p>
    <w:p w14:paraId="074E860A" w14:textId="405900C1" w:rsidR="001D6980" w:rsidRDefault="00F97E24" w:rsidP="003B0624">
      <w:pPr>
        <w:spacing w:after="0" w:line="360" w:lineRule="auto"/>
        <w:ind w:firstLine="332"/>
        <w:jc w:val="both"/>
        <w:rPr>
          <w:rFonts w:ascii="Arabic Transparent" w:hAnsi="Arabic Transparent" w:cs="Arabic Transparent"/>
          <w:sz w:val="28"/>
          <w:szCs w:val="28"/>
          <w:rtl/>
          <w:lang w:val="en-AE" w:bidi="ar-JO"/>
        </w:rPr>
      </w:pPr>
      <w:r w:rsidRPr="00B529EB">
        <w:rPr>
          <w:rFonts w:ascii="Arabic Transparent" w:hAnsi="Arabic Transparent" w:cs="Arabic Transparent" w:hint="cs"/>
          <w:sz w:val="28"/>
          <w:szCs w:val="28"/>
          <w:rtl/>
          <w:lang w:val="en-AE" w:bidi="ar-JO"/>
        </w:rPr>
        <w:t>يعرّف</w:t>
      </w:r>
      <w:r w:rsidR="00C7230A">
        <w:rPr>
          <w:rFonts w:ascii="Arabic Transparent" w:hAnsi="Arabic Transparent" w:cs="Arabic Transparent" w:hint="cs"/>
          <w:sz w:val="28"/>
          <w:szCs w:val="28"/>
          <w:rtl/>
          <w:lang w:val="en-AE" w:bidi="ar-JO"/>
        </w:rPr>
        <w:t xml:space="preserve"> القياس</w:t>
      </w:r>
      <w:r w:rsidRPr="00B529EB">
        <w:rPr>
          <w:rFonts w:ascii="Arabic Transparent" w:hAnsi="Arabic Transparent" w:cs="Arabic Transparent" w:hint="cs"/>
          <w:sz w:val="28"/>
          <w:szCs w:val="28"/>
          <w:rtl/>
          <w:lang w:val="en-AE" w:bidi="ar-JO"/>
        </w:rPr>
        <w:t xml:space="preserve"> بأنه</w:t>
      </w:r>
      <w:r w:rsidR="004933D5">
        <w:rPr>
          <w:rFonts w:ascii="Arabic Transparent" w:hAnsi="Arabic Transparent" w:cs="Arabic Transparent" w:hint="cs"/>
          <w:sz w:val="28"/>
          <w:szCs w:val="28"/>
          <w:rtl/>
          <w:lang w:val="en-AE" w:bidi="ar-JO"/>
        </w:rPr>
        <w:t>:</w:t>
      </w:r>
      <w:r w:rsidRPr="00B529EB">
        <w:rPr>
          <w:rFonts w:ascii="Arabic Transparent" w:hAnsi="Arabic Transparent" w:cs="Arabic Transparent" w:hint="cs"/>
          <w:sz w:val="28"/>
          <w:szCs w:val="28"/>
          <w:rtl/>
          <w:lang w:val="en-AE" w:bidi="ar-JO"/>
        </w:rPr>
        <w:t xml:space="preserve"> </w:t>
      </w:r>
      <w:r w:rsidR="004933D5">
        <w:rPr>
          <w:rFonts w:ascii="Arabic Transparent" w:hAnsi="Arabic Transparent" w:cs="Arabic Transparent" w:hint="cs"/>
          <w:sz w:val="28"/>
          <w:szCs w:val="28"/>
          <w:rtl/>
          <w:lang w:val="en-AE" w:bidi="ar-JO"/>
        </w:rPr>
        <w:t>"</w:t>
      </w:r>
      <w:r w:rsidRPr="00B529EB">
        <w:rPr>
          <w:rFonts w:ascii="Arabic Transparent" w:hAnsi="Arabic Transparent" w:cs="Arabic Transparent" w:hint="cs"/>
          <w:sz w:val="28"/>
          <w:szCs w:val="28"/>
          <w:rtl/>
          <w:lang w:val="en-AE" w:bidi="ar-JO"/>
        </w:rPr>
        <w:t>إلحاق صورة مجهولة الحكم بصورة معلومة الحكم، لأمر جامع بينهما يقتضي ذلك الحكم</w:t>
      </w:r>
      <w:r w:rsidR="004933D5">
        <w:rPr>
          <w:rFonts w:ascii="Arabic Transparent" w:hAnsi="Arabic Transparent" w:cs="Arabic Transparent" w:hint="cs"/>
          <w:sz w:val="28"/>
          <w:szCs w:val="28"/>
          <w:vertAlign w:val="superscript"/>
          <w:rtl/>
          <w:lang w:val="en-AE" w:bidi="ar-JO"/>
        </w:rPr>
        <w:t>"</w:t>
      </w:r>
      <w:r w:rsidRPr="00B529EB">
        <w:rPr>
          <w:rFonts w:ascii="Arabic Transparent" w:hAnsi="Arabic Transparent" w:cs="Arabic Transparent" w:hint="cs"/>
          <w:sz w:val="28"/>
          <w:szCs w:val="28"/>
          <w:vertAlign w:val="superscript"/>
          <w:rtl/>
          <w:lang w:val="en-AE" w:bidi="ar-JO"/>
        </w:rPr>
        <w:t>(</w:t>
      </w:r>
      <w:r w:rsidRPr="00B529EB">
        <w:rPr>
          <w:rStyle w:val="FootnoteReference"/>
          <w:rFonts w:ascii="Arabic Transparent" w:hAnsi="Arabic Transparent" w:cs="Arabic Transparent" w:hint="cs"/>
          <w:sz w:val="28"/>
          <w:szCs w:val="28"/>
          <w:rtl/>
          <w:lang w:val="en-AE" w:bidi="ar-JO"/>
        </w:rPr>
        <w:footnoteReference w:id="64"/>
      </w:r>
      <w:r w:rsidRPr="00B529EB">
        <w:rPr>
          <w:rFonts w:ascii="Arabic Transparent" w:hAnsi="Arabic Transparent" w:cs="Arabic Transparent" w:hint="cs"/>
          <w:sz w:val="28"/>
          <w:szCs w:val="28"/>
          <w:vertAlign w:val="superscript"/>
          <w:rtl/>
          <w:lang w:val="en-AE" w:bidi="ar-JO"/>
        </w:rPr>
        <w:t>)</w:t>
      </w:r>
      <w:r w:rsidR="000E1385">
        <w:rPr>
          <w:rFonts w:ascii="Arabic Transparent" w:hAnsi="Arabic Transparent" w:cs="Arabic Transparent" w:hint="cs"/>
          <w:sz w:val="28"/>
          <w:szCs w:val="28"/>
          <w:rtl/>
          <w:lang w:val="en-AE" w:bidi="ar-JO"/>
        </w:rPr>
        <w:t xml:space="preserve">، </w:t>
      </w:r>
      <w:r w:rsidRPr="00B529EB">
        <w:rPr>
          <w:rFonts w:ascii="Arabic Transparent" w:hAnsi="Arabic Transparent" w:cs="Arabic Transparent" w:hint="cs"/>
          <w:sz w:val="28"/>
          <w:szCs w:val="28"/>
          <w:rtl/>
          <w:lang w:val="en-AE" w:bidi="ar-JO"/>
        </w:rPr>
        <w:t>يتبين من خلال التعريف السابق</w:t>
      </w:r>
      <w:r w:rsidR="00C7230A">
        <w:rPr>
          <w:rFonts w:ascii="Arabic Transparent" w:hAnsi="Arabic Transparent" w:cs="Arabic Transparent" w:hint="cs"/>
          <w:sz w:val="28"/>
          <w:szCs w:val="28"/>
          <w:rtl/>
          <w:lang w:val="en-AE" w:bidi="ar-JO"/>
        </w:rPr>
        <w:t xml:space="preserve"> العلاقة بينهما كما </w:t>
      </w:r>
      <w:r w:rsidR="00BF1052">
        <w:rPr>
          <w:rFonts w:ascii="Arabic Transparent" w:hAnsi="Arabic Transparent" w:cs="Arabic Transparent" w:hint="cs"/>
          <w:sz w:val="28"/>
          <w:szCs w:val="28"/>
          <w:rtl/>
          <w:lang w:val="en-AE" w:bidi="ar-JO"/>
        </w:rPr>
        <w:t>يأتي</w:t>
      </w:r>
      <w:r w:rsidR="00C7230A">
        <w:rPr>
          <w:rFonts w:ascii="Arabic Transparent" w:hAnsi="Arabic Transparent" w:cs="Arabic Transparent" w:hint="cs"/>
          <w:sz w:val="28"/>
          <w:szCs w:val="28"/>
          <w:rtl/>
          <w:lang w:val="en-AE" w:bidi="ar-JO"/>
        </w:rPr>
        <w:t>:</w:t>
      </w:r>
    </w:p>
    <w:p w14:paraId="317EB82B" w14:textId="656C0B1B" w:rsidR="001D6980" w:rsidRDefault="001D6980">
      <w:pPr>
        <w:bidi w:val="0"/>
        <w:spacing w:after="0" w:line="240" w:lineRule="auto"/>
        <w:rPr>
          <w:rFonts w:ascii="Arabic Transparent" w:hAnsi="Arabic Transparent" w:cs="Arabic Transparent"/>
          <w:sz w:val="28"/>
          <w:szCs w:val="28"/>
          <w:rtl/>
          <w:lang w:val="en-AE" w:bidi="ar-JO"/>
        </w:rPr>
      </w:pPr>
    </w:p>
    <w:p w14:paraId="48882F38" w14:textId="7E2CB157" w:rsidR="004048F1" w:rsidRDefault="002E52E1" w:rsidP="002E52E1">
      <w:pPr>
        <w:spacing w:after="0" w:line="360" w:lineRule="auto"/>
        <w:ind w:hanging="1"/>
        <w:jc w:val="both"/>
        <w:rPr>
          <w:rFonts w:ascii="Arabic Transparent" w:hAnsi="Arabic Transparent" w:cs="Arabic Transparent"/>
          <w:sz w:val="28"/>
          <w:szCs w:val="28"/>
          <w:rtl/>
          <w:lang w:val="en-AE" w:bidi="ar-JO"/>
        </w:rPr>
      </w:pPr>
      <w:r>
        <w:rPr>
          <w:rFonts w:ascii="Arabic Transparent" w:hAnsi="Arabic Transparent" w:cs="Arabic Transparent" w:hint="cs"/>
          <w:sz w:val="28"/>
          <w:szCs w:val="28"/>
          <w:rtl/>
          <w:lang w:val="en-AE" w:bidi="ar-JO"/>
        </w:rPr>
        <w:t xml:space="preserve">     </w:t>
      </w:r>
      <w:r w:rsidR="00C7230A">
        <w:rPr>
          <w:rFonts w:ascii="Arabic Transparent" w:hAnsi="Arabic Transparent" w:cs="Arabic Transparent" w:hint="cs"/>
          <w:sz w:val="28"/>
          <w:szCs w:val="28"/>
          <w:rtl/>
          <w:lang w:val="en-AE" w:bidi="ar-JO"/>
        </w:rPr>
        <w:t>وجه الاتفاق بين القياس وتحقيق المناط،</w:t>
      </w:r>
      <w:r w:rsidR="00F97E24" w:rsidRPr="00B529EB">
        <w:rPr>
          <w:rFonts w:ascii="Arabic Transparent" w:hAnsi="Arabic Transparent" w:cs="Arabic Transparent" w:hint="cs"/>
          <w:sz w:val="28"/>
          <w:szCs w:val="28"/>
          <w:rtl/>
          <w:lang w:val="en-AE" w:bidi="ar-JO"/>
        </w:rPr>
        <w:t xml:space="preserve"> من حيث </w:t>
      </w:r>
      <w:r w:rsidR="004A63AC">
        <w:rPr>
          <w:rFonts w:ascii="Arabic Transparent" w:hAnsi="Arabic Transparent" w:cs="Arabic Transparent" w:hint="cs"/>
          <w:sz w:val="28"/>
          <w:szCs w:val="28"/>
          <w:rtl/>
          <w:lang w:val="en-AE" w:bidi="ar-JO"/>
        </w:rPr>
        <w:t>تنزيل الحكم على الوقائع فمن خلال القياس يتم تعدية حكم الأصل إلى الفرع وفي تحقيق المناط يتم تنزيل حكم المناط العام على الواقعة والتأكد من صلاحيته أو العدول عنه لحكم جديد يتناسب مع معطيات الواقعة الجديدة، ففي تحقيق المناط يقوم المجتهد بتعدية حكم الأصل إلى الواقعة غير المنصوص عليها</w:t>
      </w:r>
      <w:r w:rsidR="001C4267" w:rsidRPr="001C4267">
        <w:rPr>
          <w:rFonts w:ascii="Arabic Transparent" w:hAnsi="Arabic Transparent" w:cs="Arabic Transparent" w:hint="cs"/>
          <w:sz w:val="28"/>
          <w:szCs w:val="28"/>
          <w:vertAlign w:val="superscript"/>
          <w:rtl/>
          <w:lang w:val="en-AE" w:bidi="ar-JO"/>
        </w:rPr>
        <w:t>(</w:t>
      </w:r>
      <w:r w:rsidR="001C4267" w:rsidRPr="001C4267">
        <w:rPr>
          <w:rStyle w:val="FootnoteReference"/>
          <w:rFonts w:ascii="Arabic Transparent" w:hAnsi="Arabic Transparent" w:cs="Arabic Transparent" w:hint="cs"/>
          <w:sz w:val="28"/>
          <w:szCs w:val="28"/>
          <w:rtl/>
          <w:lang w:val="en-AE" w:bidi="ar-JO"/>
        </w:rPr>
        <w:footnoteReference w:id="65"/>
      </w:r>
      <w:r w:rsidR="001C4267" w:rsidRPr="001C4267">
        <w:rPr>
          <w:rFonts w:ascii="Arabic Transparent" w:hAnsi="Arabic Transparent" w:cs="Arabic Transparent" w:hint="cs"/>
          <w:sz w:val="28"/>
          <w:szCs w:val="28"/>
          <w:vertAlign w:val="superscript"/>
          <w:rtl/>
          <w:lang w:val="en-AE" w:bidi="ar-JO"/>
        </w:rPr>
        <w:t>)</w:t>
      </w:r>
      <w:r w:rsidR="001C4267">
        <w:rPr>
          <w:rFonts w:ascii="Arabic Transparent" w:hAnsi="Arabic Transparent" w:cs="Arabic Transparent" w:hint="cs"/>
          <w:sz w:val="28"/>
          <w:szCs w:val="28"/>
          <w:rtl/>
          <w:lang w:val="en-AE" w:bidi="ar-JO"/>
        </w:rPr>
        <w:t>.</w:t>
      </w:r>
    </w:p>
    <w:p w14:paraId="79F8CBFC" w14:textId="6D3CF1A7" w:rsidR="00F97E24" w:rsidRPr="00B529EB" w:rsidRDefault="005D7B91" w:rsidP="004933D5">
      <w:pPr>
        <w:spacing w:after="0" w:line="360" w:lineRule="auto"/>
        <w:ind w:firstLine="48"/>
        <w:jc w:val="both"/>
        <w:rPr>
          <w:rFonts w:ascii="Arabic Transparent" w:hAnsi="Arabic Transparent" w:cs="Arabic Transparent"/>
          <w:sz w:val="28"/>
          <w:szCs w:val="28"/>
          <w:rtl/>
          <w:lang w:val="en-AE" w:bidi="ar-JO"/>
        </w:rPr>
      </w:pPr>
      <w:r>
        <w:rPr>
          <w:rFonts w:ascii="Arabic Transparent" w:hAnsi="Arabic Transparent" w:cs="Arabic Transparent" w:hint="cs"/>
          <w:sz w:val="28"/>
          <w:szCs w:val="28"/>
          <w:rtl/>
          <w:lang w:val="en-AE" w:bidi="ar-JO"/>
        </w:rPr>
        <w:t xml:space="preserve">     </w:t>
      </w:r>
      <w:r w:rsidR="004A63AC">
        <w:rPr>
          <w:rFonts w:ascii="Arabic Transparent" w:hAnsi="Arabic Transparent" w:cs="Arabic Transparent" w:hint="cs"/>
          <w:sz w:val="28"/>
          <w:szCs w:val="28"/>
          <w:rtl/>
          <w:lang w:val="en-AE" w:bidi="ar-JO"/>
        </w:rPr>
        <w:t xml:space="preserve">وأما </w:t>
      </w:r>
      <w:r w:rsidR="001C4267">
        <w:rPr>
          <w:rFonts w:ascii="Arabic Transparent" w:hAnsi="Arabic Transparent" w:cs="Arabic Transparent" w:hint="cs"/>
          <w:sz w:val="28"/>
          <w:szCs w:val="28"/>
          <w:rtl/>
          <w:lang w:val="en-AE" w:bidi="ar-JO"/>
        </w:rPr>
        <w:t xml:space="preserve">وجه الاختلاف بين القياس وتحقيق المناط، </w:t>
      </w:r>
      <w:r w:rsidR="004A63AC">
        <w:rPr>
          <w:rFonts w:ascii="Arabic Transparent" w:hAnsi="Arabic Transparent" w:cs="Arabic Transparent" w:hint="cs"/>
          <w:sz w:val="28"/>
          <w:szCs w:val="28"/>
          <w:rtl/>
          <w:lang w:val="en-AE" w:bidi="ar-JO"/>
        </w:rPr>
        <w:t xml:space="preserve">من </w:t>
      </w:r>
      <w:r w:rsidR="001C4267">
        <w:rPr>
          <w:rFonts w:ascii="Arabic Transparent" w:hAnsi="Arabic Transparent" w:cs="Arabic Transparent" w:hint="cs"/>
          <w:sz w:val="28"/>
          <w:szCs w:val="28"/>
          <w:rtl/>
          <w:lang w:val="en-AE" w:bidi="ar-JO"/>
        </w:rPr>
        <w:t xml:space="preserve">حيث </w:t>
      </w:r>
      <w:r w:rsidR="004A63AC">
        <w:rPr>
          <w:rFonts w:ascii="Arabic Transparent" w:hAnsi="Arabic Transparent" w:cs="Arabic Transparent" w:hint="cs"/>
          <w:sz w:val="28"/>
          <w:szCs w:val="28"/>
          <w:rtl/>
          <w:lang w:val="en-AE" w:bidi="ar-JO"/>
        </w:rPr>
        <w:t>كون</w:t>
      </w:r>
      <w:r w:rsidR="001C4267">
        <w:rPr>
          <w:rFonts w:ascii="Arabic Transparent" w:hAnsi="Arabic Transparent" w:cs="Arabic Transparent" w:hint="cs"/>
          <w:sz w:val="28"/>
          <w:szCs w:val="28"/>
          <w:rtl/>
          <w:lang w:val="en-AE" w:bidi="ar-JO"/>
        </w:rPr>
        <w:t xml:space="preserve"> تحقيق المناط أعم من القياس</w:t>
      </w:r>
      <w:r w:rsidR="004933D5">
        <w:rPr>
          <w:rFonts w:ascii="Arabic Transparent" w:hAnsi="Arabic Transparent" w:cs="Arabic Transparent" w:hint="cs"/>
          <w:sz w:val="28"/>
          <w:szCs w:val="28"/>
          <w:rtl/>
          <w:lang w:val="en-AE" w:bidi="ar-JO"/>
        </w:rPr>
        <w:t xml:space="preserve"> من جهة التطبيق</w:t>
      </w:r>
      <w:r w:rsidR="001C4267">
        <w:rPr>
          <w:rFonts w:ascii="Arabic Transparent" w:hAnsi="Arabic Transparent" w:cs="Arabic Transparent" w:hint="cs"/>
          <w:sz w:val="28"/>
          <w:szCs w:val="28"/>
          <w:rtl/>
          <w:lang w:val="en-AE" w:bidi="ar-JO"/>
        </w:rPr>
        <w:t>، بالرغم من كون</w:t>
      </w:r>
      <w:r w:rsidR="00F97E24" w:rsidRPr="00B529EB">
        <w:rPr>
          <w:rFonts w:ascii="Arabic Transparent" w:hAnsi="Arabic Transparent" w:cs="Arabic Transparent" w:hint="cs"/>
          <w:sz w:val="28"/>
          <w:szCs w:val="28"/>
          <w:rtl/>
          <w:lang w:val="en-AE" w:bidi="ar-JO"/>
        </w:rPr>
        <w:t xml:space="preserve"> تحقيق المناط أحد مستلزمات عملية القياس؛ </w:t>
      </w:r>
      <w:r w:rsidR="002E52E1">
        <w:rPr>
          <w:rFonts w:ascii="Arabic Transparent" w:hAnsi="Arabic Transparent" w:cs="Arabic Transparent" w:hint="cs"/>
          <w:sz w:val="28"/>
          <w:szCs w:val="28"/>
          <w:rtl/>
          <w:lang w:val="en-AE" w:bidi="ar-JO"/>
        </w:rPr>
        <w:t>"</w:t>
      </w:r>
      <w:r w:rsidR="001C4267">
        <w:rPr>
          <w:rFonts w:ascii="Arabic Transparent" w:hAnsi="Arabic Transparent" w:cs="Arabic Transparent" w:hint="cs"/>
          <w:sz w:val="28"/>
          <w:szCs w:val="28"/>
          <w:rtl/>
          <w:lang w:val="en-AE" w:bidi="ar-JO"/>
        </w:rPr>
        <w:t>و</w:t>
      </w:r>
      <w:r w:rsidR="00F97E24" w:rsidRPr="00B529EB">
        <w:rPr>
          <w:rFonts w:ascii="Arabic Transparent" w:hAnsi="Arabic Transparent" w:cs="Arabic Transparent" w:hint="cs"/>
          <w:sz w:val="28"/>
          <w:szCs w:val="28"/>
          <w:rtl/>
          <w:lang w:val="en-AE" w:bidi="ar-JO"/>
        </w:rPr>
        <w:t xml:space="preserve">القياس يتكون من ثلاث خطوات مهمة وهي: الخطوة الأولى: تخريج العلة من الأصل، </w:t>
      </w:r>
      <w:r w:rsidR="001C4267">
        <w:rPr>
          <w:rFonts w:ascii="Arabic Transparent" w:hAnsi="Arabic Transparent" w:cs="Arabic Transparent" w:hint="cs"/>
          <w:sz w:val="28"/>
          <w:szCs w:val="28"/>
          <w:rtl/>
          <w:lang w:val="en-AE" w:bidi="ar-JO"/>
        </w:rPr>
        <w:t>و</w:t>
      </w:r>
      <w:r w:rsidR="00F97E24" w:rsidRPr="00B529EB">
        <w:rPr>
          <w:rFonts w:ascii="Arabic Transparent" w:hAnsi="Arabic Transparent" w:cs="Arabic Transparent" w:hint="cs"/>
          <w:sz w:val="28"/>
          <w:szCs w:val="28"/>
          <w:rtl/>
          <w:lang w:val="en-AE" w:bidi="ar-JO"/>
        </w:rPr>
        <w:t>الخطوة الثانية: التحقق من وجود العلة في الفرع،</w:t>
      </w:r>
      <w:r w:rsidR="004933D5">
        <w:rPr>
          <w:rFonts w:ascii="Arabic Transparent" w:hAnsi="Arabic Transparent" w:cs="Arabic Transparent" w:hint="cs"/>
          <w:sz w:val="28"/>
          <w:szCs w:val="28"/>
          <w:rtl/>
          <w:lang w:val="en-AE" w:bidi="ar-JO"/>
        </w:rPr>
        <w:t xml:space="preserve"> </w:t>
      </w:r>
      <w:r w:rsidR="001C4267">
        <w:rPr>
          <w:rFonts w:ascii="Arabic Transparent" w:hAnsi="Arabic Transparent" w:cs="Arabic Transparent" w:hint="cs"/>
          <w:sz w:val="28"/>
          <w:szCs w:val="28"/>
          <w:rtl/>
          <w:lang w:val="en-AE" w:bidi="ar-JO"/>
        </w:rPr>
        <w:t>و</w:t>
      </w:r>
      <w:r w:rsidR="00F97E24" w:rsidRPr="00B529EB">
        <w:rPr>
          <w:rFonts w:ascii="Arabic Transparent" w:hAnsi="Arabic Transparent" w:cs="Arabic Transparent" w:hint="cs"/>
          <w:sz w:val="28"/>
          <w:szCs w:val="28"/>
          <w:rtl/>
          <w:lang w:val="en-AE" w:bidi="ar-JO"/>
        </w:rPr>
        <w:t>الخطوة الثالثة: إلحاق الفرع بحكم الأصل أو التسوية بين حكم الأصل وحكم الفرع، وعليه</w:t>
      </w:r>
      <w:r w:rsidR="004A3231">
        <w:rPr>
          <w:rFonts w:ascii="Arabic Transparent" w:hAnsi="Arabic Transparent" w:cs="Arabic Transparent" w:hint="cs"/>
          <w:sz w:val="28"/>
          <w:szCs w:val="28"/>
          <w:rtl/>
          <w:lang w:val="en-AE" w:bidi="ar-JO"/>
        </w:rPr>
        <w:t>،</w:t>
      </w:r>
      <w:r w:rsidR="00F97E24" w:rsidRPr="00B529EB">
        <w:rPr>
          <w:rFonts w:ascii="Arabic Transparent" w:hAnsi="Arabic Transparent" w:cs="Arabic Transparent" w:hint="cs"/>
          <w:sz w:val="28"/>
          <w:szCs w:val="28"/>
          <w:rtl/>
          <w:lang w:val="en-AE" w:bidi="ar-JO"/>
        </w:rPr>
        <w:t xml:space="preserve"> فإن</w:t>
      </w:r>
      <w:r w:rsidR="004A3231">
        <w:rPr>
          <w:rFonts w:ascii="Arabic Transparent" w:hAnsi="Arabic Transparent" w:cs="Arabic Transparent" w:hint="cs"/>
          <w:sz w:val="28"/>
          <w:szCs w:val="28"/>
          <w:rtl/>
          <w:lang w:val="en-AE" w:bidi="ar-JO"/>
        </w:rPr>
        <w:t>َّ</w:t>
      </w:r>
      <w:r w:rsidR="00F97E24" w:rsidRPr="00B529EB">
        <w:rPr>
          <w:rFonts w:ascii="Arabic Transparent" w:hAnsi="Arabic Transparent" w:cs="Arabic Transparent" w:hint="cs"/>
          <w:sz w:val="28"/>
          <w:szCs w:val="28"/>
          <w:rtl/>
          <w:lang w:val="en-AE" w:bidi="ar-JO"/>
        </w:rPr>
        <w:t xml:space="preserve"> تحقيق المناط هو أحد خطوات عملية القياس</w:t>
      </w:r>
      <w:r w:rsidR="004A3231">
        <w:rPr>
          <w:rFonts w:ascii="Arabic Transparent" w:hAnsi="Arabic Transparent" w:cs="Arabic Transparent" w:hint="cs"/>
          <w:sz w:val="28"/>
          <w:szCs w:val="28"/>
          <w:rtl/>
          <w:lang w:val="en-AE" w:bidi="ar-JO"/>
        </w:rPr>
        <w:t>،</w:t>
      </w:r>
      <w:r w:rsidR="00F97E24" w:rsidRPr="00B529EB">
        <w:rPr>
          <w:rFonts w:ascii="Arabic Transparent" w:hAnsi="Arabic Transparent" w:cs="Arabic Transparent" w:hint="cs"/>
          <w:sz w:val="28"/>
          <w:szCs w:val="28"/>
          <w:rtl/>
          <w:lang w:val="en-AE" w:bidi="ar-JO"/>
        </w:rPr>
        <w:t xml:space="preserve"> وهو يتقاطع مع أحد نوعيه وه</w:t>
      </w:r>
      <w:r w:rsidR="00C7230A">
        <w:rPr>
          <w:rFonts w:ascii="Arabic Transparent" w:hAnsi="Arabic Transparent" w:cs="Arabic Transparent" w:hint="cs"/>
          <w:sz w:val="28"/>
          <w:szCs w:val="28"/>
          <w:rtl/>
          <w:lang w:val="en-AE" w:bidi="ar-JO"/>
        </w:rPr>
        <w:t>ما:</w:t>
      </w:r>
      <w:r w:rsidR="00F97E24" w:rsidRPr="00B529EB">
        <w:rPr>
          <w:rFonts w:ascii="Arabic Transparent" w:hAnsi="Arabic Transparent" w:cs="Arabic Transparent" w:hint="cs"/>
          <w:sz w:val="28"/>
          <w:szCs w:val="28"/>
          <w:rtl/>
          <w:lang w:val="en-AE" w:bidi="ar-JO"/>
        </w:rPr>
        <w:t xml:space="preserve"> العلة المنصوص عليها</w:t>
      </w:r>
      <w:r w:rsidR="004A3231">
        <w:rPr>
          <w:rFonts w:ascii="Arabic Transparent" w:hAnsi="Arabic Transparent" w:cs="Arabic Transparent" w:hint="cs"/>
          <w:sz w:val="28"/>
          <w:szCs w:val="28"/>
          <w:rtl/>
          <w:lang w:val="en-AE" w:bidi="ar-JO"/>
        </w:rPr>
        <w:t>،</w:t>
      </w:r>
      <w:r w:rsidR="00F97E24" w:rsidRPr="00B529EB">
        <w:rPr>
          <w:rFonts w:ascii="Arabic Transparent" w:hAnsi="Arabic Transparent" w:cs="Arabic Transparent" w:hint="cs"/>
          <w:sz w:val="28"/>
          <w:szCs w:val="28"/>
          <w:rtl/>
          <w:lang w:val="en-AE" w:bidi="ar-JO"/>
        </w:rPr>
        <w:t xml:space="preserve"> أو ال</w:t>
      </w:r>
      <w:r w:rsidR="00C7230A">
        <w:rPr>
          <w:rFonts w:ascii="Arabic Transparent" w:hAnsi="Arabic Transparent" w:cs="Arabic Transparent" w:hint="cs"/>
          <w:sz w:val="28"/>
          <w:szCs w:val="28"/>
          <w:rtl/>
          <w:lang w:val="en-AE" w:bidi="ar-JO"/>
        </w:rPr>
        <w:t>م</w:t>
      </w:r>
      <w:r w:rsidR="00F97E24" w:rsidRPr="00B529EB">
        <w:rPr>
          <w:rFonts w:ascii="Arabic Transparent" w:hAnsi="Arabic Transparent" w:cs="Arabic Transparent" w:hint="cs"/>
          <w:sz w:val="28"/>
          <w:szCs w:val="28"/>
          <w:rtl/>
          <w:lang w:val="en-AE" w:bidi="ar-JO"/>
        </w:rPr>
        <w:t>جمع عليها</w:t>
      </w:r>
      <w:r w:rsidR="004A3231">
        <w:rPr>
          <w:rFonts w:ascii="Arabic Transparent" w:hAnsi="Arabic Transparent" w:cs="Arabic Transparent" w:hint="cs"/>
          <w:sz w:val="28"/>
          <w:szCs w:val="28"/>
          <w:rtl/>
          <w:lang w:val="en-AE" w:bidi="ar-JO"/>
        </w:rPr>
        <w:t>،</w:t>
      </w:r>
      <w:r w:rsidR="00F97E24" w:rsidRPr="00B529EB">
        <w:rPr>
          <w:rFonts w:ascii="Arabic Transparent" w:hAnsi="Arabic Transparent" w:cs="Arabic Transparent" w:hint="cs"/>
          <w:sz w:val="28"/>
          <w:szCs w:val="28"/>
          <w:rtl/>
          <w:lang w:val="en-AE" w:bidi="ar-JO"/>
        </w:rPr>
        <w:t xml:space="preserve"> </w:t>
      </w:r>
      <w:r w:rsidR="004A3231">
        <w:rPr>
          <w:rFonts w:ascii="Arabic Transparent" w:hAnsi="Arabic Transparent" w:cs="Arabic Transparent" w:hint="cs"/>
          <w:sz w:val="28"/>
          <w:szCs w:val="28"/>
          <w:rtl/>
          <w:lang w:val="en-AE" w:bidi="ar-JO"/>
        </w:rPr>
        <w:t>أ</w:t>
      </w:r>
      <w:r w:rsidR="00F97E24" w:rsidRPr="00B529EB">
        <w:rPr>
          <w:rFonts w:ascii="Arabic Transparent" w:hAnsi="Arabic Transparent" w:cs="Arabic Transparent" w:hint="cs"/>
          <w:sz w:val="28"/>
          <w:szCs w:val="28"/>
          <w:rtl/>
          <w:lang w:val="en-AE" w:bidi="ar-JO"/>
        </w:rPr>
        <w:t>و المستنبطة دون النوع الثاني</w:t>
      </w:r>
      <w:r w:rsidR="004A3231">
        <w:rPr>
          <w:rFonts w:ascii="Arabic Transparent" w:hAnsi="Arabic Transparent" w:cs="Arabic Transparent" w:hint="cs"/>
          <w:sz w:val="28"/>
          <w:szCs w:val="28"/>
          <w:rtl/>
          <w:lang w:val="en-AE" w:bidi="ar-JO"/>
        </w:rPr>
        <w:t>،</w:t>
      </w:r>
      <w:r w:rsidR="00F97E24" w:rsidRPr="00B529EB">
        <w:rPr>
          <w:rFonts w:ascii="Arabic Transparent" w:hAnsi="Arabic Transparent" w:cs="Arabic Transparent" w:hint="cs"/>
          <w:sz w:val="28"/>
          <w:szCs w:val="28"/>
          <w:rtl/>
          <w:lang w:val="en-AE" w:bidi="ar-JO"/>
        </w:rPr>
        <w:t xml:space="preserve"> وهو القاعدة الشرعية</w:t>
      </w:r>
      <w:r w:rsidR="002E52E1">
        <w:rPr>
          <w:rFonts w:ascii="Arabic Transparent" w:hAnsi="Arabic Transparent" w:cs="Arabic Transparent" w:hint="cs"/>
          <w:sz w:val="28"/>
          <w:szCs w:val="28"/>
          <w:rtl/>
          <w:lang w:val="en-AE" w:bidi="ar-JO"/>
        </w:rPr>
        <w:t>"</w:t>
      </w:r>
      <w:r w:rsidR="00F97E24" w:rsidRPr="00B529EB">
        <w:rPr>
          <w:rFonts w:ascii="Arabic Transparent" w:hAnsi="Arabic Transparent" w:cs="Arabic Transparent" w:hint="cs"/>
          <w:sz w:val="28"/>
          <w:szCs w:val="28"/>
          <w:vertAlign w:val="superscript"/>
          <w:rtl/>
          <w:lang w:val="en-AE" w:bidi="ar-JO"/>
        </w:rPr>
        <w:t>(</w:t>
      </w:r>
      <w:r w:rsidR="00F97E24" w:rsidRPr="00B529EB">
        <w:rPr>
          <w:rStyle w:val="FootnoteReference"/>
          <w:rFonts w:ascii="Arabic Transparent" w:hAnsi="Arabic Transparent" w:cs="Arabic Transparent" w:hint="cs"/>
          <w:sz w:val="28"/>
          <w:szCs w:val="28"/>
          <w:rtl/>
          <w:lang w:val="en-AE" w:bidi="ar-JO"/>
        </w:rPr>
        <w:footnoteReference w:id="66"/>
      </w:r>
      <w:r w:rsidR="00F97E24" w:rsidRPr="00B529EB">
        <w:rPr>
          <w:rFonts w:ascii="Arabic Transparent" w:hAnsi="Arabic Transparent" w:cs="Arabic Transparent" w:hint="cs"/>
          <w:sz w:val="28"/>
          <w:szCs w:val="28"/>
          <w:vertAlign w:val="superscript"/>
          <w:rtl/>
          <w:lang w:val="en-AE" w:bidi="ar-JO"/>
        </w:rPr>
        <w:t>)</w:t>
      </w:r>
      <w:r w:rsidR="00F97E24" w:rsidRPr="00B529EB">
        <w:rPr>
          <w:rFonts w:ascii="Arabic Transparent" w:hAnsi="Arabic Transparent" w:cs="Arabic Transparent" w:hint="cs"/>
          <w:sz w:val="28"/>
          <w:szCs w:val="28"/>
          <w:rtl/>
          <w:lang w:val="en-AE" w:bidi="ar-JO"/>
        </w:rPr>
        <w:t>، لذلك عبر بعض الأصوليين بقولهم "إن تحقيق المناط أعم من القياس"</w:t>
      </w:r>
      <w:r w:rsidR="00F97E24" w:rsidRPr="00B529EB">
        <w:rPr>
          <w:rFonts w:ascii="Arabic Transparent" w:hAnsi="Arabic Transparent" w:cs="Arabic Transparent" w:hint="cs"/>
          <w:sz w:val="28"/>
          <w:szCs w:val="28"/>
          <w:vertAlign w:val="superscript"/>
          <w:rtl/>
          <w:lang w:val="en-AE" w:bidi="ar-JO"/>
        </w:rPr>
        <w:t>(</w:t>
      </w:r>
      <w:r w:rsidR="00F97E24" w:rsidRPr="00B529EB">
        <w:rPr>
          <w:rStyle w:val="FootnoteReference"/>
          <w:rFonts w:ascii="Arabic Transparent" w:hAnsi="Arabic Transparent" w:cs="Arabic Transparent" w:hint="cs"/>
          <w:sz w:val="28"/>
          <w:szCs w:val="28"/>
          <w:rtl/>
          <w:lang w:val="en-AE" w:bidi="ar-JO"/>
        </w:rPr>
        <w:footnoteReference w:id="67"/>
      </w:r>
      <w:r w:rsidR="00F97E24" w:rsidRPr="00B529EB">
        <w:rPr>
          <w:rFonts w:ascii="Arabic Transparent" w:hAnsi="Arabic Transparent" w:cs="Arabic Transparent" w:hint="cs"/>
          <w:sz w:val="28"/>
          <w:szCs w:val="28"/>
          <w:vertAlign w:val="superscript"/>
          <w:rtl/>
          <w:lang w:val="en-AE" w:bidi="ar-JO"/>
        </w:rPr>
        <w:t xml:space="preserve">) </w:t>
      </w:r>
      <w:r w:rsidR="00F97E24" w:rsidRPr="00B529EB">
        <w:rPr>
          <w:rFonts w:ascii="Arabic Transparent" w:hAnsi="Arabic Transparent" w:cs="Arabic Transparent" w:hint="cs"/>
          <w:sz w:val="28"/>
          <w:szCs w:val="28"/>
          <w:rtl/>
          <w:lang w:val="en-AE" w:bidi="ar-JO"/>
        </w:rPr>
        <w:t xml:space="preserve">بمعنى أنه لا ينحصر وجوده في تطبيقات القياس فقط. </w:t>
      </w:r>
    </w:p>
    <w:p w14:paraId="6528C6D2" w14:textId="77777777" w:rsidR="00B15CC5" w:rsidRDefault="00B15CC5">
      <w:pPr>
        <w:bidi w:val="0"/>
        <w:spacing w:after="0" w:line="240" w:lineRule="auto"/>
        <w:rPr>
          <w:rFonts w:ascii="Arabic Transparent" w:hAnsi="Arabic Transparent" w:cs="Arabic Transparent"/>
          <w:b/>
          <w:bCs/>
          <w:sz w:val="28"/>
          <w:szCs w:val="28"/>
          <w:rtl/>
          <w:lang w:val="en-AE" w:bidi="ar-JO"/>
        </w:rPr>
      </w:pPr>
      <w:r>
        <w:rPr>
          <w:rFonts w:ascii="Arabic Transparent" w:hAnsi="Arabic Transparent" w:cs="Arabic Transparent"/>
          <w:b/>
          <w:bCs/>
          <w:sz w:val="28"/>
          <w:szCs w:val="28"/>
          <w:rtl/>
          <w:lang w:val="en-AE" w:bidi="ar-JO"/>
        </w:rPr>
        <w:br w:type="page"/>
      </w:r>
    </w:p>
    <w:p w14:paraId="545D0C0D" w14:textId="77777777" w:rsidR="00B15CC5" w:rsidRPr="00B15CC5" w:rsidRDefault="004A3231" w:rsidP="00B15CC5">
      <w:pPr>
        <w:spacing w:after="0" w:line="360" w:lineRule="auto"/>
        <w:jc w:val="center"/>
        <w:rPr>
          <w:rFonts w:ascii="Arabic Transparent" w:hAnsi="Arabic Transparent" w:cs="Arabic Transparent"/>
          <w:b/>
          <w:bCs/>
          <w:sz w:val="32"/>
          <w:szCs w:val="32"/>
          <w:rtl/>
          <w:lang w:val="en-AE" w:bidi="ar-JO"/>
        </w:rPr>
      </w:pPr>
      <w:r w:rsidRPr="00B15CC5">
        <w:rPr>
          <w:rFonts w:ascii="Arabic Transparent" w:hAnsi="Arabic Transparent" w:cs="Arabic Transparent" w:hint="cs"/>
          <w:b/>
          <w:bCs/>
          <w:sz w:val="32"/>
          <w:szCs w:val="32"/>
          <w:rtl/>
          <w:lang w:val="en-AE" w:bidi="ar-JO"/>
        </w:rPr>
        <w:t>المبحث الثاني:</w:t>
      </w:r>
    </w:p>
    <w:p w14:paraId="2A28E065" w14:textId="13763C14" w:rsidR="004048F1" w:rsidRPr="00B15CC5" w:rsidRDefault="00360714" w:rsidP="00B15CC5">
      <w:pPr>
        <w:spacing w:after="0" w:line="360" w:lineRule="auto"/>
        <w:jc w:val="center"/>
        <w:rPr>
          <w:rFonts w:ascii="Arabic Transparent" w:hAnsi="Arabic Transparent" w:cs="Arabic Transparent"/>
          <w:b/>
          <w:bCs/>
          <w:sz w:val="32"/>
          <w:szCs w:val="32"/>
          <w:rtl/>
          <w:lang w:val="en-AE" w:bidi="ar-JO"/>
        </w:rPr>
      </w:pPr>
      <w:r w:rsidRPr="00B15CC5">
        <w:rPr>
          <w:rFonts w:ascii="Arabic Transparent" w:hAnsi="Arabic Transparent" w:cs="Arabic Transparent" w:hint="cs"/>
          <w:b/>
          <w:bCs/>
          <w:sz w:val="32"/>
          <w:szCs w:val="32"/>
          <w:rtl/>
          <w:lang w:val="en-AE" w:bidi="ar-JO"/>
        </w:rPr>
        <w:t>مراتب تحقيق المناط</w:t>
      </w:r>
    </w:p>
    <w:p w14:paraId="1FE94F68" w14:textId="3D70C32F" w:rsidR="00495FA3" w:rsidRPr="004048F1" w:rsidRDefault="005D7B91" w:rsidP="004048F1">
      <w:pPr>
        <w:spacing w:after="0" w:line="360" w:lineRule="auto"/>
        <w:jc w:val="both"/>
        <w:rPr>
          <w:rFonts w:ascii="Arabic Transparent" w:hAnsi="Arabic Transparent" w:cs="Arabic Transparent"/>
          <w:b/>
          <w:bCs/>
          <w:sz w:val="28"/>
          <w:szCs w:val="28"/>
          <w:rtl/>
          <w:lang w:val="en-AE" w:bidi="ar-JO"/>
        </w:rPr>
      </w:pPr>
      <w:r>
        <w:rPr>
          <w:rFonts w:ascii="Arabic Transparent" w:hAnsi="Arabic Transparent" w:cs="Arabic Transparent" w:hint="cs"/>
          <w:b/>
          <w:bCs/>
          <w:sz w:val="28"/>
          <w:szCs w:val="28"/>
          <w:rtl/>
          <w:lang w:val="en-AE" w:bidi="ar-JO"/>
        </w:rPr>
        <w:t xml:space="preserve">     </w:t>
      </w:r>
      <w:r w:rsidR="00495FA3" w:rsidRPr="00B529EB">
        <w:rPr>
          <w:rFonts w:ascii="Arabic Transparent" w:hAnsi="Arabic Transparent" w:cs="Arabic Transparent" w:hint="cs"/>
          <w:sz w:val="28"/>
          <w:szCs w:val="28"/>
          <w:rtl/>
          <w:lang w:val="en-AE" w:bidi="ar-JO"/>
        </w:rPr>
        <w:t>ينقسم تحقيق المناط إلى: تحقيق المناط العام، وتحقيق المناط الخاص</w:t>
      </w:r>
      <w:r w:rsidR="004A3231">
        <w:rPr>
          <w:rFonts w:ascii="Arabic Transparent" w:hAnsi="Arabic Transparent" w:cs="Arabic Transparent" w:hint="cs"/>
          <w:sz w:val="28"/>
          <w:szCs w:val="28"/>
          <w:rtl/>
          <w:lang w:val="en-AE" w:bidi="ar-JO"/>
        </w:rPr>
        <w:t xml:space="preserve"> في الأنواع</w:t>
      </w:r>
      <w:r w:rsidR="00080920">
        <w:rPr>
          <w:rFonts w:ascii="Arabic Transparent" w:hAnsi="Arabic Transparent" w:cs="Arabic Transparent" w:hint="cs"/>
          <w:sz w:val="28"/>
          <w:szCs w:val="28"/>
          <w:rtl/>
          <w:lang w:val="en-AE" w:bidi="ar-JO"/>
        </w:rPr>
        <w:t>،</w:t>
      </w:r>
      <w:r w:rsidR="004A3231">
        <w:rPr>
          <w:rFonts w:ascii="Arabic Transparent" w:hAnsi="Arabic Transparent" w:cs="Arabic Transparent" w:hint="cs"/>
          <w:sz w:val="28"/>
          <w:szCs w:val="28"/>
          <w:rtl/>
          <w:lang w:val="en-AE" w:bidi="ar-JO"/>
        </w:rPr>
        <w:t xml:space="preserve"> وفي </w:t>
      </w:r>
      <w:r w:rsidR="00B154EE">
        <w:rPr>
          <w:rFonts w:ascii="Arabic Transparent" w:hAnsi="Arabic Transparent" w:cs="Arabic Transparent" w:hint="cs"/>
          <w:sz w:val="28"/>
          <w:szCs w:val="28"/>
          <w:rtl/>
          <w:lang w:val="en-AE" w:bidi="ar-JO"/>
        </w:rPr>
        <w:t>الأفراد،</w:t>
      </w:r>
      <w:r w:rsidR="000F026C">
        <w:rPr>
          <w:rFonts w:ascii="Arabic Transparent" w:hAnsi="Arabic Transparent" w:cs="Arabic Transparent" w:hint="cs"/>
          <w:sz w:val="28"/>
          <w:szCs w:val="28"/>
          <w:rtl/>
          <w:lang w:val="en-AE" w:bidi="ar-JO"/>
        </w:rPr>
        <w:t xml:space="preserve"> </w:t>
      </w:r>
      <w:r w:rsidR="00495FA3" w:rsidRPr="00B529EB">
        <w:rPr>
          <w:rFonts w:ascii="Arabic Transparent" w:hAnsi="Arabic Transparent" w:cs="Arabic Transparent" w:hint="cs"/>
          <w:sz w:val="28"/>
          <w:szCs w:val="28"/>
          <w:rtl/>
          <w:lang w:val="en-AE" w:bidi="ar-JO"/>
        </w:rPr>
        <w:t>وهي كما ي</w:t>
      </w:r>
      <w:r w:rsidR="00BF1052">
        <w:rPr>
          <w:rFonts w:ascii="Arabic Transparent" w:hAnsi="Arabic Transparent" w:cs="Arabic Transparent" w:hint="cs"/>
          <w:sz w:val="28"/>
          <w:szCs w:val="28"/>
          <w:rtl/>
          <w:lang w:val="en-AE" w:bidi="ar-JO"/>
        </w:rPr>
        <w:t>أتي</w:t>
      </w:r>
      <w:r w:rsidR="00495FA3" w:rsidRPr="00B529EB">
        <w:rPr>
          <w:rFonts w:ascii="Arabic Transparent" w:hAnsi="Arabic Transparent" w:cs="Arabic Transparent" w:hint="cs"/>
          <w:sz w:val="28"/>
          <w:szCs w:val="28"/>
          <w:rtl/>
          <w:lang w:val="en-AE" w:bidi="ar-JO"/>
        </w:rPr>
        <w:t xml:space="preserve">: </w:t>
      </w:r>
    </w:p>
    <w:p w14:paraId="6B44088A" w14:textId="77777777" w:rsidR="004048F1" w:rsidRPr="002C707F" w:rsidRDefault="004A3231" w:rsidP="004048F1">
      <w:pPr>
        <w:spacing w:after="0" w:line="360" w:lineRule="auto"/>
        <w:jc w:val="both"/>
        <w:rPr>
          <w:rFonts w:ascii="Arabic Transparent" w:hAnsi="Arabic Transparent" w:cs="Arabic Transparent"/>
          <w:b/>
          <w:bCs/>
          <w:sz w:val="32"/>
          <w:szCs w:val="32"/>
          <w:rtl/>
          <w:lang w:val="en-AE" w:bidi="ar-JO"/>
        </w:rPr>
      </w:pPr>
      <w:r w:rsidRPr="002C707F">
        <w:rPr>
          <w:rFonts w:ascii="Arabic Transparent" w:hAnsi="Arabic Transparent" w:cs="Arabic Transparent" w:hint="cs"/>
          <w:b/>
          <w:bCs/>
          <w:sz w:val="32"/>
          <w:szCs w:val="32"/>
          <w:rtl/>
          <w:lang w:val="en-AE" w:bidi="ar-JO"/>
        </w:rPr>
        <w:t>المطلب</w:t>
      </w:r>
      <w:r w:rsidR="003B0624" w:rsidRPr="002C707F">
        <w:rPr>
          <w:rFonts w:ascii="Arabic Transparent" w:hAnsi="Arabic Transparent" w:cs="Arabic Transparent" w:hint="cs"/>
          <w:b/>
          <w:bCs/>
          <w:sz w:val="32"/>
          <w:szCs w:val="32"/>
          <w:rtl/>
          <w:lang w:val="en-AE" w:bidi="ar-JO"/>
        </w:rPr>
        <w:t xml:space="preserve"> </w:t>
      </w:r>
      <w:r w:rsidR="00360714" w:rsidRPr="002C707F">
        <w:rPr>
          <w:rFonts w:ascii="Arabic Transparent" w:hAnsi="Arabic Transparent" w:cs="Arabic Transparent" w:hint="cs"/>
          <w:b/>
          <w:bCs/>
          <w:sz w:val="32"/>
          <w:szCs w:val="32"/>
          <w:rtl/>
          <w:lang w:val="en-AE" w:bidi="ar-JO"/>
        </w:rPr>
        <w:t>الأول: تحقيق المناط العام</w:t>
      </w:r>
      <w:r w:rsidR="00495FA3" w:rsidRPr="002C707F">
        <w:rPr>
          <w:rFonts w:ascii="Arabic Transparent" w:hAnsi="Arabic Transparent" w:cs="Arabic Transparent" w:hint="cs"/>
          <w:b/>
          <w:bCs/>
          <w:sz w:val="32"/>
          <w:szCs w:val="32"/>
          <w:rtl/>
          <w:lang w:val="en-AE" w:bidi="ar-JO"/>
        </w:rPr>
        <w:t>:</w:t>
      </w:r>
      <w:r w:rsidR="004048F1" w:rsidRPr="002C707F">
        <w:rPr>
          <w:rFonts w:ascii="Arabic Transparent" w:hAnsi="Arabic Transparent" w:cs="Arabic Transparent" w:hint="cs"/>
          <w:b/>
          <w:bCs/>
          <w:sz w:val="32"/>
          <w:szCs w:val="32"/>
          <w:rtl/>
          <w:lang w:val="en-AE" w:bidi="ar-JO"/>
        </w:rPr>
        <w:t xml:space="preserve"> </w:t>
      </w:r>
    </w:p>
    <w:p w14:paraId="268CD87C" w14:textId="5F5E4B01" w:rsidR="002E52E1" w:rsidRDefault="005D7B91" w:rsidP="001D6980">
      <w:pPr>
        <w:spacing w:after="0" w:line="360" w:lineRule="auto"/>
        <w:jc w:val="both"/>
        <w:rPr>
          <w:rFonts w:ascii="Arabic Transparent" w:hAnsi="Arabic Transparent" w:cs="Arabic Transparent"/>
          <w:b/>
          <w:bCs/>
          <w:sz w:val="28"/>
          <w:szCs w:val="28"/>
          <w:rtl/>
          <w:lang w:val="en-AE" w:bidi="ar-JO"/>
        </w:rPr>
      </w:pPr>
      <w:r>
        <w:rPr>
          <w:rFonts w:ascii="Arabic Transparent" w:hAnsi="Arabic Transparent" w:cs="Arabic Transparent" w:hint="cs"/>
          <w:b/>
          <w:bCs/>
          <w:sz w:val="28"/>
          <w:szCs w:val="28"/>
          <w:rtl/>
          <w:lang w:val="en-AE" w:bidi="ar-JO"/>
        </w:rPr>
        <w:t xml:space="preserve">     </w:t>
      </w:r>
      <w:r w:rsidR="004048F1">
        <w:rPr>
          <w:rFonts w:ascii="Arabic Transparent" w:hAnsi="Arabic Transparent" w:cs="Arabic Transparent" w:hint="cs"/>
          <w:b/>
          <w:bCs/>
          <w:sz w:val="28"/>
          <w:szCs w:val="28"/>
          <w:rtl/>
          <w:lang w:val="en-AE" w:bidi="ar-JO"/>
        </w:rPr>
        <w:t xml:space="preserve"> </w:t>
      </w:r>
      <w:r w:rsidR="00495FA3" w:rsidRPr="00B529EB">
        <w:rPr>
          <w:rFonts w:ascii="Arabic Transparent" w:hAnsi="Arabic Transparent" w:cs="Arabic Transparent" w:hint="cs"/>
          <w:sz w:val="28"/>
          <w:szCs w:val="28"/>
          <w:rtl/>
          <w:lang w:val="en-AE" w:bidi="ar-JO"/>
        </w:rPr>
        <w:t>بالنظر إلى تحقيق المناط فإن أول من قس</w:t>
      </w:r>
      <w:r w:rsidR="003B0624">
        <w:rPr>
          <w:rFonts w:ascii="Arabic Transparent" w:hAnsi="Arabic Transparent" w:cs="Arabic Transparent" w:hint="cs"/>
          <w:sz w:val="28"/>
          <w:szCs w:val="28"/>
          <w:rtl/>
          <w:lang w:val="en-AE" w:bidi="ar-JO"/>
        </w:rPr>
        <w:t>َّ</w:t>
      </w:r>
      <w:r w:rsidR="00495FA3" w:rsidRPr="00B529EB">
        <w:rPr>
          <w:rFonts w:ascii="Arabic Transparent" w:hAnsi="Arabic Transparent" w:cs="Arabic Transparent" w:hint="cs"/>
          <w:sz w:val="28"/>
          <w:szCs w:val="28"/>
          <w:rtl/>
          <w:lang w:val="en-AE" w:bidi="ar-JO"/>
        </w:rPr>
        <w:t xml:space="preserve">مه بهذا التقسيم </w:t>
      </w:r>
      <w:r w:rsidR="00B3335A" w:rsidRPr="00B529EB">
        <w:rPr>
          <w:rFonts w:ascii="Arabic Transparent" w:hAnsi="Arabic Transparent" w:cs="Arabic Transparent" w:hint="cs"/>
          <w:sz w:val="28"/>
          <w:szCs w:val="28"/>
          <w:rtl/>
          <w:lang w:val="en-AE" w:bidi="ar-JO"/>
        </w:rPr>
        <w:t>هو الشاطبي</w:t>
      </w:r>
      <w:r w:rsidR="004A3231">
        <w:rPr>
          <w:rFonts w:ascii="Arabic Transparent" w:hAnsi="Arabic Transparent" w:cs="Arabic Transparent" w:hint="cs"/>
          <w:sz w:val="28"/>
          <w:szCs w:val="28"/>
          <w:rtl/>
          <w:lang w:val="en-AE" w:bidi="ar-JO"/>
        </w:rPr>
        <w:t>،</w:t>
      </w:r>
      <w:r w:rsidR="00495FA3" w:rsidRPr="00B529EB">
        <w:rPr>
          <w:rFonts w:ascii="Arabic Transparent" w:hAnsi="Arabic Transparent" w:cs="Arabic Transparent" w:hint="cs"/>
          <w:sz w:val="28"/>
          <w:szCs w:val="28"/>
          <w:rtl/>
          <w:lang w:val="en-AE" w:bidi="ar-JO"/>
        </w:rPr>
        <w:t xml:space="preserve"> حيث </w:t>
      </w:r>
      <w:r w:rsidR="00500F03" w:rsidRPr="00B529EB">
        <w:rPr>
          <w:rFonts w:ascii="Arabic Transparent" w:hAnsi="Arabic Transparent" w:cs="Arabic Transparent" w:hint="cs"/>
          <w:sz w:val="28"/>
          <w:szCs w:val="28"/>
          <w:rtl/>
          <w:lang w:val="en-AE" w:bidi="ar-JO"/>
        </w:rPr>
        <w:t xml:space="preserve">بيّن </w:t>
      </w:r>
      <w:r w:rsidR="004A3231">
        <w:rPr>
          <w:rFonts w:ascii="Arabic Transparent" w:hAnsi="Arabic Transparent" w:cs="Arabic Transparent" w:hint="cs"/>
          <w:sz w:val="28"/>
          <w:szCs w:val="28"/>
          <w:rtl/>
          <w:lang w:val="en-AE" w:bidi="ar-JO"/>
        </w:rPr>
        <w:t>أ</w:t>
      </w:r>
      <w:r w:rsidR="00500F03" w:rsidRPr="00B529EB">
        <w:rPr>
          <w:rFonts w:ascii="Arabic Transparent" w:hAnsi="Arabic Transparent" w:cs="Arabic Transparent" w:hint="cs"/>
          <w:sz w:val="28"/>
          <w:szCs w:val="28"/>
          <w:rtl/>
          <w:lang w:val="en-AE" w:bidi="ar-JO"/>
        </w:rPr>
        <w:t>ن</w:t>
      </w:r>
      <w:r w:rsidR="004A3231">
        <w:rPr>
          <w:rFonts w:ascii="Arabic Transparent" w:hAnsi="Arabic Transparent" w:cs="Arabic Transparent" w:hint="cs"/>
          <w:sz w:val="28"/>
          <w:szCs w:val="28"/>
          <w:rtl/>
          <w:lang w:val="en-AE" w:bidi="ar-JO"/>
        </w:rPr>
        <w:t>َّ</w:t>
      </w:r>
      <w:r w:rsidR="00500F03" w:rsidRPr="00B529EB">
        <w:rPr>
          <w:rFonts w:ascii="Arabic Transparent" w:hAnsi="Arabic Transparent" w:cs="Arabic Transparent" w:hint="cs"/>
          <w:sz w:val="28"/>
          <w:szCs w:val="28"/>
          <w:rtl/>
          <w:lang w:val="en-AE" w:bidi="ar-JO"/>
        </w:rPr>
        <w:t xml:space="preserve"> تحقيق</w:t>
      </w:r>
      <w:r w:rsidR="003B0624">
        <w:rPr>
          <w:rFonts w:ascii="Arabic Transparent" w:hAnsi="Arabic Transparent" w:cs="Arabic Transparent" w:hint="cs"/>
          <w:sz w:val="28"/>
          <w:szCs w:val="28"/>
          <w:rtl/>
          <w:lang w:val="en-AE" w:bidi="ar-JO"/>
        </w:rPr>
        <w:t xml:space="preserve"> </w:t>
      </w:r>
      <w:r w:rsidR="00500F03" w:rsidRPr="00B529EB">
        <w:rPr>
          <w:rFonts w:ascii="Arabic Transparent" w:hAnsi="Arabic Transparent" w:cs="Arabic Transparent" w:hint="cs"/>
          <w:sz w:val="28"/>
          <w:szCs w:val="28"/>
          <w:rtl/>
          <w:lang w:val="en-AE" w:bidi="ar-JO"/>
        </w:rPr>
        <w:t xml:space="preserve">المناط العام يعني: </w:t>
      </w:r>
      <w:r w:rsidR="003B0624">
        <w:rPr>
          <w:rFonts w:ascii="Arabic Transparent" w:hAnsi="Arabic Transparent" w:cs="Arabic Transparent" w:hint="cs"/>
          <w:sz w:val="28"/>
          <w:szCs w:val="28"/>
          <w:rtl/>
          <w:lang w:val="en-AE" w:bidi="ar-JO"/>
        </w:rPr>
        <w:t>"</w:t>
      </w:r>
      <w:r w:rsidR="00500F03" w:rsidRPr="00B529EB">
        <w:rPr>
          <w:rFonts w:ascii="Arabic Transparent" w:hAnsi="Arabic Transparent" w:cs="Arabic Transparent" w:hint="cs"/>
          <w:sz w:val="28"/>
          <w:szCs w:val="28"/>
          <w:rtl/>
          <w:lang w:val="en-AE" w:bidi="ar-JO"/>
        </w:rPr>
        <w:t>النظر إلى انطباق معنى القاعدة العامة في الوقائع والجزئيات دون الالتفات إلى الظروف الخاصة التي تحتف بتلك الوقائع</w:t>
      </w:r>
      <w:r w:rsidR="003B0624">
        <w:rPr>
          <w:rFonts w:ascii="Arabic Transparent" w:hAnsi="Arabic Transparent" w:cs="Arabic Transparent" w:hint="cs"/>
          <w:sz w:val="28"/>
          <w:szCs w:val="28"/>
          <w:rtl/>
          <w:lang w:val="en-AE" w:bidi="ar-JO"/>
        </w:rPr>
        <w:t>"</w:t>
      </w:r>
      <w:r w:rsidR="00500F03" w:rsidRPr="00B529EB">
        <w:rPr>
          <w:rFonts w:ascii="Arabic Transparent" w:hAnsi="Arabic Transparent" w:cs="Arabic Transparent" w:hint="cs"/>
          <w:sz w:val="28"/>
          <w:szCs w:val="28"/>
          <w:vertAlign w:val="superscript"/>
          <w:rtl/>
          <w:lang w:val="en-AE" w:bidi="ar-JO"/>
        </w:rPr>
        <w:t>(</w:t>
      </w:r>
      <w:r w:rsidR="00500F03" w:rsidRPr="00B529EB">
        <w:rPr>
          <w:rStyle w:val="FootnoteReference"/>
          <w:rFonts w:ascii="Arabic Transparent" w:hAnsi="Arabic Transparent" w:cs="Arabic Transparent" w:hint="cs"/>
          <w:sz w:val="28"/>
          <w:szCs w:val="28"/>
          <w:rtl/>
          <w:lang w:val="en-AE" w:bidi="ar-JO"/>
        </w:rPr>
        <w:footnoteReference w:id="68"/>
      </w:r>
      <w:r w:rsidR="00500F03" w:rsidRPr="00B529EB">
        <w:rPr>
          <w:rFonts w:ascii="Arabic Transparent" w:hAnsi="Arabic Transparent" w:cs="Arabic Transparent" w:hint="cs"/>
          <w:sz w:val="28"/>
          <w:szCs w:val="28"/>
          <w:vertAlign w:val="superscript"/>
          <w:rtl/>
          <w:lang w:val="en-AE" w:bidi="ar-JO"/>
        </w:rPr>
        <w:t>)</w:t>
      </w:r>
      <w:r w:rsidR="00500F03" w:rsidRPr="00B529EB">
        <w:rPr>
          <w:rFonts w:ascii="Arabic Transparent" w:hAnsi="Arabic Transparent" w:cs="Arabic Transparent" w:hint="cs"/>
          <w:sz w:val="28"/>
          <w:szCs w:val="28"/>
          <w:rtl/>
          <w:lang w:val="en-AE" w:bidi="ar-JO"/>
        </w:rPr>
        <w:t xml:space="preserve"> أما تحقيق المناط الخاص</w:t>
      </w:r>
      <w:r w:rsidR="003B0624">
        <w:rPr>
          <w:rFonts w:ascii="Arabic Transparent" w:hAnsi="Arabic Transparent" w:cs="Arabic Transparent" w:hint="cs"/>
          <w:sz w:val="28"/>
          <w:szCs w:val="28"/>
          <w:rtl/>
          <w:lang w:val="en-AE" w:bidi="ar-JO"/>
        </w:rPr>
        <w:t>،</w:t>
      </w:r>
      <w:r w:rsidR="00080920">
        <w:rPr>
          <w:rFonts w:ascii="Arabic Transparent" w:hAnsi="Arabic Transparent" w:cs="Arabic Transparent" w:hint="cs"/>
          <w:sz w:val="28"/>
          <w:szCs w:val="28"/>
          <w:rtl/>
          <w:lang w:val="en-AE" w:bidi="ar-JO"/>
        </w:rPr>
        <w:t>: "</w:t>
      </w:r>
      <w:r w:rsidR="00080920" w:rsidRPr="00080920">
        <w:rPr>
          <w:rFonts w:ascii="Arabic Transparent" w:hAnsi="Arabic Transparent" w:cs="Arabic Transparent"/>
          <w:sz w:val="28"/>
          <w:szCs w:val="28"/>
          <w:rtl/>
          <w:lang w:val="en-AE" w:bidi="ar-JO"/>
        </w:rPr>
        <w:t>نظر في كل مكلف بالنسبة إلى ما وقع عليه من الدلائل التكليفية</w:t>
      </w:r>
      <w:r w:rsidR="00080920">
        <w:rPr>
          <w:rFonts w:ascii="Arabic Transparent" w:hAnsi="Arabic Transparent" w:cs="Arabic Transparent" w:hint="cs"/>
          <w:sz w:val="28"/>
          <w:szCs w:val="28"/>
          <w:rtl/>
          <w:lang w:val="en-AE" w:bidi="ar-JO"/>
        </w:rPr>
        <w:t>"</w:t>
      </w:r>
      <w:r w:rsidR="00080920" w:rsidRPr="00DE3224">
        <w:rPr>
          <w:rFonts w:ascii="Arabic Transparent" w:hAnsi="Arabic Transparent" w:cs="Arabic Transparent" w:hint="cs"/>
          <w:sz w:val="28"/>
          <w:szCs w:val="28"/>
          <w:vertAlign w:val="superscript"/>
          <w:rtl/>
          <w:lang w:val="en-AE" w:bidi="ar-JO"/>
        </w:rPr>
        <w:t>(</w:t>
      </w:r>
      <w:r w:rsidR="00080920" w:rsidRPr="00DE3224">
        <w:rPr>
          <w:rStyle w:val="FootnoteReference"/>
          <w:rFonts w:ascii="Arabic Transparent" w:hAnsi="Arabic Transparent" w:cs="Arabic Transparent" w:hint="cs"/>
          <w:sz w:val="28"/>
          <w:szCs w:val="28"/>
          <w:rtl/>
          <w:lang w:val="en-AE" w:bidi="ar-JO"/>
        </w:rPr>
        <w:footnoteReference w:id="69"/>
      </w:r>
      <w:r w:rsidR="00080920" w:rsidRPr="00DE3224">
        <w:rPr>
          <w:rFonts w:ascii="Arabic Transparent" w:hAnsi="Arabic Transparent" w:cs="Arabic Transparent" w:hint="cs"/>
          <w:sz w:val="28"/>
          <w:szCs w:val="28"/>
          <w:vertAlign w:val="superscript"/>
          <w:rtl/>
          <w:lang w:val="en-AE" w:bidi="ar-JO"/>
        </w:rPr>
        <w:t>)</w:t>
      </w:r>
      <w:r w:rsidR="00080920">
        <w:rPr>
          <w:rFonts w:ascii="Arabic Transparent" w:hAnsi="Arabic Transparent" w:cs="Arabic Transparent" w:hint="cs"/>
          <w:sz w:val="28"/>
          <w:szCs w:val="28"/>
          <w:rtl/>
          <w:lang w:val="en-AE" w:bidi="ar-JO"/>
        </w:rPr>
        <w:t xml:space="preserve">، </w:t>
      </w:r>
      <w:r w:rsidR="00500F03" w:rsidRPr="00B529EB">
        <w:rPr>
          <w:rFonts w:ascii="Arabic Transparent" w:hAnsi="Arabic Transparent" w:cs="Arabic Transparent" w:hint="cs"/>
          <w:sz w:val="28"/>
          <w:szCs w:val="28"/>
          <w:rtl/>
          <w:lang w:val="en-AE" w:bidi="ar-JO"/>
        </w:rPr>
        <w:t xml:space="preserve">فالنظر يكون فيه إلى كل مكلف بالنسبة </w:t>
      </w:r>
      <w:r w:rsidR="003B0624">
        <w:rPr>
          <w:rFonts w:ascii="Arabic Transparent" w:hAnsi="Arabic Transparent" w:cs="Arabic Transparent" w:hint="cs"/>
          <w:sz w:val="28"/>
          <w:szCs w:val="28"/>
          <w:rtl/>
          <w:lang w:val="en-AE" w:bidi="ar-JO"/>
        </w:rPr>
        <w:t>إلى</w:t>
      </w:r>
      <w:r w:rsidR="00500F03" w:rsidRPr="00B529EB">
        <w:rPr>
          <w:rFonts w:ascii="Arabic Transparent" w:hAnsi="Arabic Transparent" w:cs="Arabic Transparent" w:hint="cs"/>
          <w:sz w:val="28"/>
          <w:szCs w:val="28"/>
          <w:rtl/>
          <w:lang w:val="en-AE" w:bidi="ar-JO"/>
        </w:rPr>
        <w:t xml:space="preserve"> الظروف والملابسات والأحوال الخاصة التي تقترن </w:t>
      </w:r>
      <w:r w:rsidR="003B0624">
        <w:rPr>
          <w:rFonts w:ascii="Arabic Transparent" w:hAnsi="Arabic Transparent" w:cs="Arabic Transparent" w:hint="cs"/>
          <w:sz w:val="28"/>
          <w:szCs w:val="28"/>
          <w:rtl/>
          <w:lang w:val="en-AE" w:bidi="ar-JO"/>
        </w:rPr>
        <w:t>به،</w:t>
      </w:r>
      <w:r w:rsidR="00500F03" w:rsidRPr="00B529EB">
        <w:rPr>
          <w:rFonts w:ascii="Arabic Transparent" w:hAnsi="Arabic Transparent" w:cs="Arabic Transparent" w:hint="cs"/>
          <w:sz w:val="28"/>
          <w:szCs w:val="28"/>
          <w:rtl/>
          <w:lang w:val="en-AE" w:bidi="ar-JO"/>
        </w:rPr>
        <w:t xml:space="preserve"> قبل تطبيق القواعد الشرعية</w:t>
      </w:r>
      <w:r w:rsidR="003B0624">
        <w:rPr>
          <w:rFonts w:ascii="Arabic Transparent" w:hAnsi="Arabic Transparent" w:cs="Arabic Transparent" w:hint="cs"/>
          <w:sz w:val="28"/>
          <w:szCs w:val="28"/>
          <w:rtl/>
          <w:lang w:val="en-AE" w:bidi="ar-JO"/>
        </w:rPr>
        <w:t>.</w:t>
      </w:r>
    </w:p>
    <w:p w14:paraId="16EDFC80" w14:textId="125E572C" w:rsidR="00495FA3" w:rsidRPr="004048F1" w:rsidRDefault="005D7B91" w:rsidP="004048F1">
      <w:pPr>
        <w:spacing w:after="0" w:line="360" w:lineRule="auto"/>
        <w:jc w:val="both"/>
        <w:rPr>
          <w:rFonts w:ascii="Arabic Transparent" w:hAnsi="Arabic Transparent" w:cs="Arabic Transparent"/>
          <w:b/>
          <w:bCs/>
          <w:sz w:val="28"/>
          <w:szCs w:val="28"/>
          <w:rtl/>
          <w:lang w:val="en-AE" w:bidi="ar-JO"/>
        </w:rPr>
      </w:pPr>
      <w:r>
        <w:rPr>
          <w:rFonts w:ascii="Arabic Transparent" w:hAnsi="Arabic Transparent" w:cs="Arabic Transparent" w:hint="cs"/>
          <w:b/>
          <w:bCs/>
          <w:sz w:val="28"/>
          <w:szCs w:val="28"/>
          <w:rtl/>
          <w:lang w:val="en-AE" w:bidi="ar-JO"/>
        </w:rPr>
        <w:t xml:space="preserve">     </w:t>
      </w:r>
      <w:r w:rsidR="004048F1">
        <w:rPr>
          <w:rFonts w:ascii="Arabic Transparent" w:hAnsi="Arabic Transparent" w:cs="Arabic Transparent" w:hint="cs"/>
          <w:b/>
          <w:bCs/>
          <w:sz w:val="28"/>
          <w:szCs w:val="28"/>
          <w:rtl/>
          <w:lang w:val="en-AE" w:bidi="ar-JO"/>
        </w:rPr>
        <w:t xml:space="preserve"> </w:t>
      </w:r>
      <w:r w:rsidR="00DE3224">
        <w:rPr>
          <w:rFonts w:ascii="Arabic Transparent" w:hAnsi="Arabic Transparent" w:cs="Arabic Transparent" w:hint="cs"/>
          <w:sz w:val="28"/>
          <w:szCs w:val="28"/>
          <w:rtl/>
          <w:lang w:val="en-AE" w:bidi="ar-JO"/>
        </w:rPr>
        <w:t>فيقال:</w:t>
      </w:r>
      <w:r w:rsidR="00EA17FA" w:rsidRPr="00B529EB">
        <w:rPr>
          <w:rFonts w:ascii="Arabic Transparent" w:hAnsi="Arabic Transparent" w:cs="Arabic Transparent" w:hint="cs"/>
          <w:sz w:val="28"/>
          <w:szCs w:val="28"/>
          <w:rtl/>
          <w:lang w:val="en-AE" w:bidi="ar-JO"/>
        </w:rPr>
        <w:t xml:space="preserve"> ما </w:t>
      </w:r>
      <w:r w:rsidR="00500F03" w:rsidRPr="00B529EB">
        <w:rPr>
          <w:rFonts w:ascii="Arabic Transparent" w:hAnsi="Arabic Transparent" w:cs="Arabic Transparent" w:hint="cs"/>
          <w:sz w:val="28"/>
          <w:szCs w:val="28"/>
          <w:rtl/>
          <w:lang w:val="en-AE" w:bidi="ar-JO"/>
        </w:rPr>
        <w:t>الغاية من هذا</w:t>
      </w:r>
      <w:r w:rsidR="003B0624">
        <w:rPr>
          <w:rFonts w:ascii="Arabic Transparent" w:hAnsi="Arabic Transparent" w:cs="Arabic Transparent" w:hint="cs"/>
          <w:sz w:val="28"/>
          <w:szCs w:val="28"/>
          <w:rtl/>
          <w:lang w:val="en-AE" w:bidi="ar-JO"/>
        </w:rPr>
        <w:t xml:space="preserve"> ال</w:t>
      </w:r>
      <w:r w:rsidR="009809F6">
        <w:rPr>
          <w:rFonts w:ascii="Arabic Transparent" w:hAnsi="Arabic Transparent" w:cs="Arabic Transparent" w:hint="cs"/>
          <w:sz w:val="28"/>
          <w:szCs w:val="28"/>
          <w:rtl/>
          <w:lang w:val="en-AE" w:bidi="ar-JO"/>
        </w:rPr>
        <w:t>استثناء</w:t>
      </w:r>
      <w:r w:rsidR="00500F03" w:rsidRPr="00B529EB">
        <w:rPr>
          <w:rFonts w:ascii="Arabic Transparent" w:hAnsi="Arabic Transparent" w:cs="Arabic Transparent" w:hint="cs"/>
          <w:sz w:val="28"/>
          <w:szCs w:val="28"/>
          <w:rtl/>
          <w:lang w:val="en-AE" w:bidi="ar-JO"/>
        </w:rPr>
        <w:t xml:space="preserve"> الأصولي؛</w:t>
      </w:r>
      <w:r w:rsidR="00DE3224">
        <w:rPr>
          <w:rFonts w:ascii="Arabic Transparent" w:hAnsi="Arabic Transparent" w:cs="Arabic Transparent" w:hint="cs"/>
          <w:sz w:val="28"/>
          <w:szCs w:val="28"/>
          <w:rtl/>
          <w:lang w:val="en-AE" w:bidi="ar-JO"/>
        </w:rPr>
        <w:t xml:space="preserve"> فيرد</w:t>
      </w:r>
      <w:r w:rsidR="003B0624">
        <w:rPr>
          <w:rFonts w:ascii="Arabic Transparent" w:hAnsi="Arabic Transparent" w:cs="Arabic Transparent" w:hint="cs"/>
          <w:sz w:val="28"/>
          <w:szCs w:val="28"/>
          <w:rtl/>
          <w:lang w:val="en-AE" w:bidi="ar-JO"/>
        </w:rPr>
        <w:t>:</w:t>
      </w:r>
      <w:r w:rsidR="00500F03" w:rsidRPr="00B529EB">
        <w:rPr>
          <w:rFonts w:ascii="Arabic Transparent" w:hAnsi="Arabic Transparent" w:cs="Arabic Transparent" w:hint="cs"/>
          <w:sz w:val="28"/>
          <w:szCs w:val="28"/>
          <w:rtl/>
          <w:lang w:val="en-AE" w:bidi="ar-JO"/>
        </w:rPr>
        <w:t xml:space="preserve"> </w:t>
      </w:r>
      <w:r w:rsidR="009809F6">
        <w:rPr>
          <w:rFonts w:ascii="Arabic Transparent" w:hAnsi="Arabic Transparent" w:cs="Arabic Transparent" w:hint="cs"/>
          <w:sz w:val="28"/>
          <w:szCs w:val="28"/>
          <w:rtl/>
          <w:lang w:val="en-AE" w:bidi="ar-JO"/>
        </w:rPr>
        <w:t>"</w:t>
      </w:r>
      <w:r w:rsidR="00DE3224">
        <w:rPr>
          <w:rFonts w:ascii="Arabic Transparent" w:hAnsi="Arabic Transparent" w:cs="Arabic Transparent" w:hint="cs"/>
          <w:sz w:val="28"/>
          <w:szCs w:val="28"/>
          <w:rtl/>
          <w:lang w:val="en-AE" w:bidi="ar-JO"/>
        </w:rPr>
        <w:t>إ</w:t>
      </w:r>
      <w:r w:rsidR="00500F03" w:rsidRPr="00B529EB">
        <w:rPr>
          <w:rFonts w:ascii="Arabic Transparent" w:hAnsi="Arabic Transparent" w:cs="Arabic Transparent" w:hint="cs"/>
          <w:sz w:val="28"/>
          <w:szCs w:val="28"/>
          <w:rtl/>
          <w:lang w:val="en-AE" w:bidi="ar-JO"/>
        </w:rPr>
        <w:t>ن</w:t>
      </w:r>
      <w:r w:rsidR="003B0624">
        <w:rPr>
          <w:rFonts w:ascii="Arabic Transparent" w:hAnsi="Arabic Transparent" w:cs="Arabic Transparent" w:hint="cs"/>
          <w:sz w:val="28"/>
          <w:szCs w:val="28"/>
          <w:rtl/>
          <w:lang w:val="en-AE" w:bidi="ar-JO"/>
        </w:rPr>
        <w:t>َّ</w:t>
      </w:r>
      <w:r w:rsidR="00500F03" w:rsidRPr="00B529EB">
        <w:rPr>
          <w:rFonts w:ascii="Arabic Transparent" w:hAnsi="Arabic Transparent" w:cs="Arabic Transparent" w:hint="cs"/>
          <w:sz w:val="28"/>
          <w:szCs w:val="28"/>
          <w:rtl/>
          <w:lang w:val="en-AE" w:bidi="ar-JO"/>
        </w:rPr>
        <w:t xml:space="preserve"> ما </w:t>
      </w:r>
      <w:r w:rsidR="003B0624">
        <w:rPr>
          <w:rFonts w:ascii="Arabic Transparent" w:hAnsi="Arabic Transparent" w:cs="Arabic Transparent" w:hint="cs"/>
          <w:sz w:val="28"/>
          <w:szCs w:val="28"/>
          <w:rtl/>
          <w:lang w:val="en-AE" w:bidi="ar-JO"/>
        </w:rPr>
        <w:t>يَعتري</w:t>
      </w:r>
      <w:r w:rsidR="00500F03" w:rsidRPr="00B529EB">
        <w:rPr>
          <w:rFonts w:ascii="Arabic Transparent" w:hAnsi="Arabic Transparent" w:cs="Arabic Transparent" w:hint="cs"/>
          <w:sz w:val="28"/>
          <w:szCs w:val="28"/>
          <w:rtl/>
          <w:lang w:val="en-AE" w:bidi="ar-JO"/>
        </w:rPr>
        <w:t xml:space="preserve"> بعض المكلفين من الظروف قد يجعل لهم وضعاً خاصاً</w:t>
      </w:r>
      <w:r w:rsidR="003B0624">
        <w:rPr>
          <w:rFonts w:ascii="Arabic Transparent" w:hAnsi="Arabic Transparent" w:cs="Arabic Transparent" w:hint="cs"/>
          <w:sz w:val="28"/>
          <w:szCs w:val="28"/>
          <w:rtl/>
          <w:lang w:val="en-AE" w:bidi="ar-JO"/>
        </w:rPr>
        <w:t xml:space="preserve">، </w:t>
      </w:r>
      <w:r w:rsidR="00500F03" w:rsidRPr="00B529EB">
        <w:rPr>
          <w:rFonts w:ascii="Arabic Transparent" w:hAnsi="Arabic Transparent" w:cs="Arabic Transparent" w:hint="cs"/>
          <w:sz w:val="28"/>
          <w:szCs w:val="28"/>
          <w:rtl/>
          <w:lang w:val="en-AE" w:bidi="ar-JO"/>
        </w:rPr>
        <w:t>مختلفاً عن سائر الأفراد الذين يشتركوا معهم في أصل المناط العام، في</w:t>
      </w:r>
      <w:r w:rsidR="00EA17FA" w:rsidRPr="00B529EB">
        <w:rPr>
          <w:rFonts w:ascii="Arabic Transparent" w:hAnsi="Arabic Transparent" w:cs="Arabic Transparent" w:hint="cs"/>
          <w:sz w:val="28"/>
          <w:szCs w:val="28"/>
          <w:rtl/>
          <w:lang w:val="en-AE" w:bidi="ar-JO"/>
        </w:rPr>
        <w:t>ُ</w:t>
      </w:r>
      <w:r w:rsidR="00500F03" w:rsidRPr="00B529EB">
        <w:rPr>
          <w:rFonts w:ascii="Arabic Transparent" w:hAnsi="Arabic Transparent" w:cs="Arabic Transparent" w:hint="cs"/>
          <w:sz w:val="28"/>
          <w:szCs w:val="28"/>
          <w:rtl/>
          <w:lang w:val="en-AE" w:bidi="ar-JO"/>
        </w:rPr>
        <w:t>وجب</w:t>
      </w:r>
      <w:r w:rsidR="00500F03" w:rsidRPr="00827CC8">
        <w:rPr>
          <w:rFonts w:ascii="Arabic Transparent" w:hAnsi="Arabic Transparent" w:cs="Arabic Transparent" w:hint="cs"/>
          <w:sz w:val="28"/>
          <w:szCs w:val="28"/>
          <w:rtl/>
          <w:lang w:val="en-AE" w:bidi="ar-JO"/>
        </w:rPr>
        <w:t xml:space="preserve"> </w:t>
      </w:r>
      <w:r w:rsidR="00500F03" w:rsidRPr="00B529EB">
        <w:rPr>
          <w:rFonts w:ascii="Arabic Transparent" w:hAnsi="Arabic Transparent" w:cs="Arabic Transparent" w:hint="cs"/>
          <w:sz w:val="28"/>
          <w:szCs w:val="28"/>
          <w:rtl/>
          <w:lang w:val="en-AE" w:bidi="ar-JO"/>
        </w:rPr>
        <w:t>ضم القيود الإضافية التي ثب</w:t>
      </w:r>
      <w:r w:rsidR="00EA17FA" w:rsidRPr="00B529EB">
        <w:rPr>
          <w:rFonts w:ascii="Arabic Transparent" w:hAnsi="Arabic Transparent" w:cs="Arabic Transparent" w:hint="cs"/>
          <w:sz w:val="28"/>
          <w:szCs w:val="28"/>
          <w:rtl/>
          <w:lang w:val="en-AE" w:bidi="ar-JO"/>
        </w:rPr>
        <w:t>ت</w:t>
      </w:r>
      <w:r w:rsidR="00500F03" w:rsidRPr="00B529EB">
        <w:rPr>
          <w:rFonts w:ascii="Arabic Transparent" w:hAnsi="Arabic Transparent" w:cs="Arabic Transparent" w:hint="cs"/>
          <w:sz w:val="28"/>
          <w:szCs w:val="28"/>
          <w:rtl/>
          <w:lang w:val="en-AE" w:bidi="ar-JO"/>
        </w:rPr>
        <w:t xml:space="preserve">ت في المناط الخاص إلى القيود الثابتة </w:t>
      </w:r>
      <w:r w:rsidR="00EA17FA" w:rsidRPr="00B529EB">
        <w:rPr>
          <w:rFonts w:ascii="Arabic Transparent" w:hAnsi="Arabic Transparent" w:cs="Arabic Transparent" w:hint="cs"/>
          <w:sz w:val="28"/>
          <w:szCs w:val="28"/>
          <w:rtl/>
          <w:lang w:val="en-AE" w:bidi="ar-JO"/>
        </w:rPr>
        <w:t>ابتداءً</w:t>
      </w:r>
      <w:r w:rsidR="003B0624">
        <w:rPr>
          <w:rFonts w:ascii="Arabic Transparent" w:hAnsi="Arabic Transparent" w:cs="Arabic Transparent" w:hint="cs"/>
          <w:sz w:val="28"/>
          <w:szCs w:val="28"/>
          <w:rtl/>
          <w:lang w:val="en-AE" w:bidi="ar-JO"/>
        </w:rPr>
        <w:t>،</w:t>
      </w:r>
      <w:r w:rsidR="00EA17FA" w:rsidRPr="00B529EB">
        <w:rPr>
          <w:rFonts w:ascii="Arabic Transparent" w:hAnsi="Arabic Transparent" w:cs="Arabic Transparent" w:hint="cs"/>
          <w:sz w:val="28"/>
          <w:szCs w:val="28"/>
          <w:rtl/>
          <w:lang w:val="en-AE" w:bidi="ar-JO"/>
        </w:rPr>
        <w:t xml:space="preserve"> و</w:t>
      </w:r>
      <w:r w:rsidR="00500F03" w:rsidRPr="00B529EB">
        <w:rPr>
          <w:rFonts w:ascii="Arabic Transparent" w:hAnsi="Arabic Transparent" w:cs="Arabic Transparent" w:hint="cs"/>
          <w:sz w:val="28"/>
          <w:szCs w:val="28"/>
          <w:rtl/>
          <w:lang w:val="en-AE" w:bidi="ar-JO"/>
        </w:rPr>
        <w:t xml:space="preserve">التي يشترك </w:t>
      </w:r>
      <w:r w:rsidR="00EA17FA" w:rsidRPr="00B529EB">
        <w:rPr>
          <w:rFonts w:ascii="Arabic Transparent" w:hAnsi="Arabic Transparent" w:cs="Arabic Transparent" w:hint="cs"/>
          <w:sz w:val="28"/>
          <w:szCs w:val="28"/>
          <w:rtl/>
          <w:lang w:val="en-AE" w:bidi="ar-JO"/>
        </w:rPr>
        <w:t>ب</w:t>
      </w:r>
      <w:r w:rsidR="00500F03" w:rsidRPr="00B529EB">
        <w:rPr>
          <w:rFonts w:ascii="Arabic Transparent" w:hAnsi="Arabic Transparent" w:cs="Arabic Transparent" w:hint="cs"/>
          <w:sz w:val="28"/>
          <w:szCs w:val="28"/>
          <w:rtl/>
          <w:lang w:val="en-AE" w:bidi="ar-JO"/>
        </w:rPr>
        <w:t>ها الجميع في المناط العام</w:t>
      </w:r>
      <w:r w:rsidR="009809F6">
        <w:rPr>
          <w:rFonts w:ascii="Arabic Transparent" w:hAnsi="Arabic Transparent" w:cs="Arabic Transparent" w:hint="cs"/>
          <w:sz w:val="28"/>
          <w:szCs w:val="28"/>
          <w:rtl/>
          <w:lang w:val="en-AE" w:bidi="ar-JO"/>
        </w:rPr>
        <w:t>"</w:t>
      </w:r>
      <w:r w:rsidR="00EA17FA" w:rsidRPr="00B529EB">
        <w:rPr>
          <w:rFonts w:ascii="Arabic Transparent" w:hAnsi="Arabic Transparent" w:cs="Arabic Transparent" w:hint="cs"/>
          <w:sz w:val="28"/>
          <w:szCs w:val="28"/>
          <w:vertAlign w:val="superscript"/>
          <w:rtl/>
          <w:lang w:val="en-AE" w:bidi="ar-JO"/>
        </w:rPr>
        <w:t>(</w:t>
      </w:r>
      <w:r w:rsidR="00EA17FA" w:rsidRPr="00B529EB">
        <w:rPr>
          <w:rStyle w:val="FootnoteReference"/>
          <w:rFonts w:ascii="Arabic Transparent" w:hAnsi="Arabic Transparent" w:cs="Arabic Transparent" w:hint="cs"/>
          <w:sz w:val="28"/>
          <w:szCs w:val="28"/>
          <w:rtl/>
          <w:lang w:val="en-AE" w:bidi="ar-JO"/>
        </w:rPr>
        <w:footnoteReference w:id="70"/>
      </w:r>
      <w:r w:rsidR="00EA17FA" w:rsidRPr="00B529EB">
        <w:rPr>
          <w:rFonts w:ascii="Arabic Transparent" w:hAnsi="Arabic Transparent" w:cs="Arabic Transparent" w:hint="cs"/>
          <w:sz w:val="28"/>
          <w:szCs w:val="28"/>
          <w:vertAlign w:val="superscript"/>
          <w:rtl/>
          <w:lang w:val="en-AE" w:bidi="ar-JO"/>
        </w:rPr>
        <w:t>)</w:t>
      </w:r>
      <w:r w:rsidR="009809F6">
        <w:rPr>
          <w:rFonts w:ascii="Arabic Transparent" w:hAnsi="Arabic Transparent" w:cs="Arabic Transparent" w:hint="cs"/>
          <w:b/>
          <w:bCs/>
          <w:sz w:val="28"/>
          <w:szCs w:val="28"/>
          <w:rtl/>
          <w:lang w:val="en-AE" w:bidi="ar-JO"/>
        </w:rPr>
        <w:t>.</w:t>
      </w:r>
    </w:p>
    <w:p w14:paraId="60D9F813" w14:textId="250EE558" w:rsidR="001D6980" w:rsidRDefault="00EA17FA" w:rsidP="001D6980">
      <w:pPr>
        <w:spacing w:after="0" w:line="360" w:lineRule="auto"/>
        <w:ind w:firstLine="332"/>
        <w:jc w:val="both"/>
        <w:rPr>
          <w:rFonts w:ascii="Arabic Transparent" w:hAnsi="Arabic Transparent" w:cs="Arabic Transparent"/>
          <w:sz w:val="28"/>
          <w:szCs w:val="28"/>
          <w:rtl/>
          <w:lang w:val="en-AE" w:bidi="ar-JO"/>
        </w:rPr>
      </w:pPr>
      <w:r w:rsidRPr="00B529EB">
        <w:rPr>
          <w:rFonts w:ascii="Arabic Transparent" w:hAnsi="Arabic Transparent" w:cs="Arabic Transparent" w:hint="cs"/>
          <w:sz w:val="28"/>
          <w:szCs w:val="28"/>
          <w:rtl/>
          <w:lang w:val="en-AE" w:bidi="ar-JO"/>
        </w:rPr>
        <w:t>ومثال ذلك لتوضيح العلاقة بين الع</w:t>
      </w:r>
      <w:r w:rsidR="0048333A" w:rsidRPr="00B529EB">
        <w:rPr>
          <w:rFonts w:ascii="Arabic Transparent" w:hAnsi="Arabic Transparent" w:cs="Arabic Transparent" w:hint="cs"/>
          <w:sz w:val="28"/>
          <w:szCs w:val="28"/>
          <w:rtl/>
          <w:lang w:val="en-AE" w:bidi="ar-JO"/>
        </w:rPr>
        <w:t>ام والخاص</w:t>
      </w:r>
      <w:r w:rsidR="003B0624">
        <w:rPr>
          <w:rFonts w:ascii="Arabic Transparent" w:hAnsi="Arabic Transparent" w:cs="Arabic Transparent" w:hint="cs"/>
          <w:sz w:val="28"/>
          <w:szCs w:val="28"/>
          <w:rtl/>
          <w:lang w:val="en-AE" w:bidi="ar-JO"/>
        </w:rPr>
        <w:t>،</w:t>
      </w:r>
      <w:r w:rsidR="0048333A" w:rsidRPr="00B529EB">
        <w:rPr>
          <w:rFonts w:ascii="Arabic Transparent" w:hAnsi="Arabic Transparent" w:cs="Arabic Transparent" w:hint="cs"/>
          <w:sz w:val="28"/>
          <w:szCs w:val="28"/>
          <w:rtl/>
          <w:lang w:val="en-AE" w:bidi="ar-JO"/>
        </w:rPr>
        <w:t xml:space="preserve"> النصوص الشرعية الثابتة التي ت</w:t>
      </w:r>
      <w:r w:rsidR="003B0624">
        <w:rPr>
          <w:rFonts w:ascii="Arabic Transparent" w:hAnsi="Arabic Transparent" w:cs="Arabic Transparent" w:hint="cs"/>
          <w:sz w:val="28"/>
          <w:szCs w:val="28"/>
          <w:rtl/>
          <w:lang w:val="en-AE" w:bidi="ar-JO"/>
        </w:rPr>
        <w:t>ُ</w:t>
      </w:r>
      <w:r w:rsidR="0048333A" w:rsidRPr="00B529EB">
        <w:rPr>
          <w:rFonts w:ascii="Arabic Transparent" w:hAnsi="Arabic Transparent" w:cs="Arabic Transparent" w:hint="cs"/>
          <w:sz w:val="28"/>
          <w:szCs w:val="28"/>
          <w:rtl/>
          <w:lang w:val="en-AE" w:bidi="ar-JO"/>
        </w:rPr>
        <w:t>حرم الذهب على الرجل مطلقاً</w:t>
      </w:r>
      <w:r w:rsidR="003B0624">
        <w:rPr>
          <w:rFonts w:ascii="Arabic Transparent" w:hAnsi="Arabic Transparent" w:cs="Arabic Transparent" w:hint="cs"/>
          <w:sz w:val="28"/>
          <w:szCs w:val="28"/>
          <w:rtl/>
          <w:lang w:val="en-AE" w:bidi="ar-JO"/>
        </w:rPr>
        <w:t>،</w:t>
      </w:r>
      <w:r w:rsidR="0048333A" w:rsidRPr="00B529EB">
        <w:rPr>
          <w:rFonts w:ascii="Arabic Transparent" w:hAnsi="Arabic Transparent" w:cs="Arabic Transparent" w:hint="cs"/>
          <w:sz w:val="28"/>
          <w:szCs w:val="28"/>
          <w:rtl/>
          <w:lang w:val="en-AE" w:bidi="ar-JO"/>
        </w:rPr>
        <w:t xml:space="preserve"> والنظر الخاص بالوقائع والملابسات سبب في تغي</w:t>
      </w:r>
      <w:r w:rsidR="00CB0D2E">
        <w:rPr>
          <w:rFonts w:ascii="Arabic Transparent" w:hAnsi="Arabic Transparent" w:cs="Arabic Transparent" w:hint="cs"/>
          <w:sz w:val="28"/>
          <w:szCs w:val="28"/>
          <w:rtl/>
          <w:lang w:val="en-AE" w:bidi="ar-JO"/>
        </w:rPr>
        <w:t>ُّ</w:t>
      </w:r>
      <w:r w:rsidR="0048333A" w:rsidRPr="00B529EB">
        <w:rPr>
          <w:rFonts w:ascii="Arabic Transparent" w:hAnsi="Arabic Transparent" w:cs="Arabic Transparent" w:hint="cs"/>
          <w:sz w:val="28"/>
          <w:szCs w:val="28"/>
          <w:rtl/>
          <w:lang w:val="en-AE" w:bidi="ar-JO"/>
        </w:rPr>
        <w:t>ر الحكم العام</w:t>
      </w:r>
      <w:r w:rsidR="00DE3224">
        <w:rPr>
          <w:rFonts w:ascii="Arabic Transparent" w:hAnsi="Arabic Transparent" w:cs="Arabic Transparent" w:hint="cs"/>
          <w:sz w:val="28"/>
          <w:szCs w:val="28"/>
          <w:rtl/>
          <w:lang w:val="en-AE" w:bidi="ar-JO"/>
        </w:rPr>
        <w:t xml:space="preserve"> في بعض الوقائع أو في حق بعض الأشخاص للضرورة أو الحاجة الملحة والتي يجب معها أن يتغير الحكم العام لخصوص</w:t>
      </w:r>
      <w:r w:rsidR="005D7B91">
        <w:rPr>
          <w:rFonts w:ascii="Arabic Transparent" w:hAnsi="Arabic Transparent" w:cs="Arabic Transparent" w:hint="cs"/>
          <w:sz w:val="28"/>
          <w:szCs w:val="28"/>
          <w:rtl/>
          <w:lang w:val="en-AE" w:bidi="ar-JO"/>
        </w:rPr>
        <w:t xml:space="preserve"> </w:t>
      </w:r>
      <w:r w:rsidR="00DE3224">
        <w:rPr>
          <w:rFonts w:ascii="Arabic Transparent" w:hAnsi="Arabic Transparent" w:cs="Arabic Transparent" w:hint="cs"/>
          <w:sz w:val="28"/>
          <w:szCs w:val="28"/>
          <w:rtl/>
          <w:lang w:val="en-AE" w:bidi="ar-JO"/>
        </w:rPr>
        <w:t>السبب،</w:t>
      </w:r>
      <w:r w:rsidR="0048333A" w:rsidRPr="00B529EB">
        <w:rPr>
          <w:rFonts w:ascii="Arabic Transparent" w:hAnsi="Arabic Transparent" w:cs="Arabic Transparent" w:hint="cs"/>
          <w:sz w:val="28"/>
          <w:szCs w:val="28"/>
          <w:rtl/>
          <w:lang w:val="en-AE" w:bidi="ar-JO"/>
        </w:rPr>
        <w:t xml:space="preserve"> كما حدث مع "عرفجةَ بنَ أسعدَ قُطِعَ أنفُهُ يومَ الكُلابِ فاتَّخذَ أنفًا من وَرِقٍ فأنتَنَ عليهِ فأمرَهُ النبيُّ </w:t>
      </w:r>
      <w:r w:rsidR="005E3842">
        <w:rPr>
          <w:rFonts w:ascii="AGA Arabesque" w:eastAsia="AGA Arabesque" w:hAnsi="AGA Arabesque" w:cs="AGA Arabesque"/>
          <w:sz w:val="28"/>
          <w:szCs w:val="28"/>
          <w:lang w:val="en-AE" w:bidi="ar-JO"/>
        </w:rPr>
        <w:t></w:t>
      </w:r>
      <w:r w:rsidR="0048333A" w:rsidRPr="00B529EB">
        <w:rPr>
          <w:rFonts w:ascii="Arabic Transparent" w:hAnsi="Arabic Transparent" w:cs="Arabic Transparent" w:hint="cs"/>
          <w:sz w:val="28"/>
          <w:szCs w:val="28"/>
          <w:rtl/>
          <w:lang w:val="en-AE" w:bidi="ar-JO"/>
        </w:rPr>
        <w:t xml:space="preserve"> فاتَّخذ أنفًا من ذهبٍ"</w:t>
      </w:r>
      <w:r w:rsidR="0048333A" w:rsidRPr="00B529EB">
        <w:rPr>
          <w:rFonts w:ascii="Arabic Transparent" w:hAnsi="Arabic Transparent" w:cs="Arabic Transparent" w:hint="cs"/>
          <w:sz w:val="28"/>
          <w:szCs w:val="28"/>
          <w:vertAlign w:val="superscript"/>
          <w:rtl/>
          <w:lang w:val="en-AE" w:bidi="ar-JO"/>
        </w:rPr>
        <w:t>(</w:t>
      </w:r>
      <w:r w:rsidR="0048333A" w:rsidRPr="00B529EB">
        <w:rPr>
          <w:rStyle w:val="FootnoteReference"/>
          <w:rFonts w:ascii="Arabic Transparent" w:hAnsi="Arabic Transparent" w:cs="Arabic Transparent" w:hint="cs"/>
          <w:sz w:val="28"/>
          <w:szCs w:val="28"/>
          <w:rtl/>
          <w:lang w:val="en-AE" w:bidi="ar-JO"/>
        </w:rPr>
        <w:footnoteReference w:id="71"/>
      </w:r>
      <w:r w:rsidR="0048333A" w:rsidRPr="00B529EB">
        <w:rPr>
          <w:rFonts w:ascii="Arabic Transparent" w:hAnsi="Arabic Transparent" w:cs="Arabic Transparent" w:hint="cs"/>
          <w:sz w:val="28"/>
          <w:szCs w:val="28"/>
          <w:vertAlign w:val="superscript"/>
          <w:rtl/>
          <w:lang w:val="en-AE" w:bidi="ar-JO"/>
        </w:rPr>
        <w:t>)</w:t>
      </w:r>
      <w:r w:rsidR="000E1385">
        <w:rPr>
          <w:rFonts w:ascii="Arabic Transparent" w:hAnsi="Arabic Transparent" w:cs="Arabic Transparent" w:hint="cs"/>
          <w:sz w:val="28"/>
          <w:szCs w:val="28"/>
          <w:rtl/>
          <w:lang w:val="en-AE" w:bidi="ar-JO"/>
        </w:rPr>
        <w:t>.</w:t>
      </w:r>
      <w:r w:rsidR="001D6980">
        <w:rPr>
          <w:rFonts w:ascii="Arabic Transparent" w:hAnsi="Arabic Transparent" w:cs="Arabic Transparent"/>
          <w:sz w:val="28"/>
          <w:szCs w:val="28"/>
          <w:rtl/>
          <w:lang w:val="en-AE" w:bidi="ar-JO"/>
        </w:rPr>
        <w:br w:type="page"/>
      </w:r>
    </w:p>
    <w:p w14:paraId="0B071E30" w14:textId="77777777" w:rsidR="004048F1" w:rsidRPr="002C707F" w:rsidRDefault="003B0624" w:rsidP="00B974BC">
      <w:pPr>
        <w:spacing w:after="0" w:line="360" w:lineRule="auto"/>
        <w:jc w:val="both"/>
        <w:rPr>
          <w:rFonts w:ascii="Arabic Transparent" w:hAnsi="Arabic Transparent" w:cs="Arabic Transparent"/>
          <w:b/>
          <w:bCs/>
          <w:sz w:val="32"/>
          <w:szCs w:val="32"/>
          <w:rtl/>
          <w:lang w:val="en-AE" w:bidi="ar-JO"/>
        </w:rPr>
      </w:pPr>
      <w:r w:rsidRPr="002C707F">
        <w:rPr>
          <w:rFonts w:ascii="Arabic Transparent" w:hAnsi="Arabic Transparent" w:cs="Arabic Transparent" w:hint="cs"/>
          <w:b/>
          <w:bCs/>
          <w:sz w:val="32"/>
          <w:szCs w:val="32"/>
          <w:rtl/>
          <w:lang w:val="en-AE" w:bidi="ar-JO"/>
        </w:rPr>
        <w:t xml:space="preserve">المطلب </w:t>
      </w:r>
      <w:r w:rsidR="00360714" w:rsidRPr="002C707F">
        <w:rPr>
          <w:rFonts w:ascii="Arabic Transparent" w:hAnsi="Arabic Transparent" w:cs="Arabic Transparent" w:hint="cs"/>
          <w:b/>
          <w:bCs/>
          <w:sz w:val="32"/>
          <w:szCs w:val="32"/>
          <w:rtl/>
          <w:lang w:val="en-AE" w:bidi="ar-JO"/>
        </w:rPr>
        <w:t>الثاني: تحقيق المناط ال</w:t>
      </w:r>
      <w:r w:rsidR="00033D13" w:rsidRPr="002C707F">
        <w:rPr>
          <w:rFonts w:ascii="Arabic Transparent" w:hAnsi="Arabic Transparent" w:cs="Arabic Transparent" w:hint="cs"/>
          <w:b/>
          <w:bCs/>
          <w:sz w:val="32"/>
          <w:szCs w:val="32"/>
          <w:rtl/>
          <w:lang w:val="en-AE" w:bidi="ar-JO"/>
        </w:rPr>
        <w:t>خاص</w:t>
      </w:r>
      <w:r w:rsidR="00495FA3" w:rsidRPr="002C707F">
        <w:rPr>
          <w:rFonts w:ascii="Arabic Transparent" w:hAnsi="Arabic Transparent" w:cs="Arabic Transparent" w:hint="cs"/>
          <w:b/>
          <w:bCs/>
          <w:sz w:val="32"/>
          <w:szCs w:val="32"/>
          <w:rtl/>
          <w:lang w:val="en-AE" w:bidi="ar-JO"/>
        </w:rPr>
        <w:t>:</w:t>
      </w:r>
    </w:p>
    <w:p w14:paraId="5316F443" w14:textId="378480DA" w:rsidR="00033D13" w:rsidRPr="004048F1" w:rsidRDefault="005D7B91" w:rsidP="00B974BC">
      <w:pPr>
        <w:spacing w:after="0" w:line="360" w:lineRule="auto"/>
        <w:jc w:val="both"/>
        <w:rPr>
          <w:rFonts w:ascii="Arabic Transparent" w:hAnsi="Arabic Transparent" w:cs="Arabic Transparent"/>
          <w:b/>
          <w:bCs/>
          <w:sz w:val="28"/>
          <w:szCs w:val="28"/>
          <w:rtl/>
          <w:lang w:val="en-AE" w:bidi="ar-JO"/>
        </w:rPr>
      </w:pPr>
      <w:r>
        <w:rPr>
          <w:rFonts w:ascii="Arabic Transparent" w:hAnsi="Arabic Transparent" w:cs="Arabic Transparent"/>
          <w:sz w:val="28"/>
          <w:szCs w:val="28"/>
          <w:rtl/>
          <w:lang w:val="en-AE" w:bidi="ar-JO"/>
        </w:rPr>
        <w:t xml:space="preserve">     </w:t>
      </w:r>
      <w:r w:rsidR="00033D13" w:rsidRPr="00B529EB">
        <w:rPr>
          <w:rFonts w:ascii="Arabic Transparent" w:hAnsi="Arabic Transparent" w:cs="Arabic Transparent" w:hint="cs"/>
          <w:sz w:val="28"/>
          <w:szCs w:val="28"/>
          <w:rtl/>
          <w:lang w:val="en-AE" w:bidi="ar-JO"/>
        </w:rPr>
        <w:t xml:space="preserve">تعرفنا سابقاً </w:t>
      </w:r>
      <w:r w:rsidR="00CB0D2E">
        <w:rPr>
          <w:rFonts w:ascii="Arabic Transparent" w:hAnsi="Arabic Transparent" w:cs="Arabic Transparent" w:hint="cs"/>
          <w:sz w:val="28"/>
          <w:szCs w:val="28"/>
          <w:rtl/>
          <w:lang w:val="en-AE" w:bidi="ar-JO"/>
        </w:rPr>
        <w:t>إلى حقيقة</w:t>
      </w:r>
      <w:r w:rsidR="00033D13" w:rsidRPr="00B529EB">
        <w:rPr>
          <w:rFonts w:ascii="Arabic Transparent" w:hAnsi="Arabic Transparent" w:cs="Arabic Transparent" w:hint="cs"/>
          <w:sz w:val="28"/>
          <w:szCs w:val="28"/>
          <w:rtl/>
          <w:lang w:val="en-AE" w:bidi="ar-JO"/>
        </w:rPr>
        <w:t xml:space="preserve"> تحقيق المناط الخاص </w:t>
      </w:r>
      <w:r w:rsidR="00CB0D2E">
        <w:rPr>
          <w:rFonts w:ascii="Arabic Transparent" w:hAnsi="Arabic Transparent" w:cs="Arabic Transparent" w:hint="cs"/>
          <w:sz w:val="28"/>
          <w:szCs w:val="28"/>
          <w:rtl/>
          <w:lang w:val="en-AE" w:bidi="ar-JO"/>
        </w:rPr>
        <w:t>و</w:t>
      </w:r>
      <w:r w:rsidR="00033D13" w:rsidRPr="00B529EB">
        <w:rPr>
          <w:rFonts w:ascii="Arabic Transparent" w:hAnsi="Arabic Transparent" w:cs="Arabic Transparent" w:hint="cs"/>
          <w:sz w:val="28"/>
          <w:szCs w:val="28"/>
          <w:rtl/>
          <w:lang w:val="en-AE" w:bidi="ar-JO"/>
        </w:rPr>
        <w:t>هي قسيم تحقيق المناط العام وا</w:t>
      </w:r>
      <w:r w:rsidR="00CB0D2E">
        <w:rPr>
          <w:rFonts w:ascii="Arabic Transparent" w:hAnsi="Arabic Transparent" w:cs="Arabic Transparent" w:hint="cs"/>
          <w:sz w:val="28"/>
          <w:szCs w:val="28"/>
          <w:rtl/>
          <w:lang w:val="en-AE" w:bidi="ar-JO"/>
        </w:rPr>
        <w:t>لقواعد الكليّة</w:t>
      </w:r>
      <w:r w:rsidR="00033D13" w:rsidRPr="00B529EB">
        <w:rPr>
          <w:rFonts w:ascii="Arabic Transparent" w:hAnsi="Arabic Transparent" w:cs="Arabic Transparent" w:hint="cs"/>
          <w:sz w:val="28"/>
          <w:szCs w:val="28"/>
          <w:rtl/>
          <w:lang w:val="en-AE" w:bidi="ar-JO"/>
        </w:rPr>
        <w:t xml:space="preserve">، حيث </w:t>
      </w:r>
      <w:r w:rsidR="00CB0D2E">
        <w:rPr>
          <w:rFonts w:ascii="Arabic Transparent" w:hAnsi="Arabic Transparent" w:cs="Arabic Transparent" w:hint="cs"/>
          <w:sz w:val="28"/>
          <w:szCs w:val="28"/>
          <w:rtl/>
          <w:lang w:val="en-AE" w:bidi="ar-JO"/>
        </w:rPr>
        <w:t>ي</w:t>
      </w:r>
      <w:r w:rsidR="00033D13" w:rsidRPr="00B529EB">
        <w:rPr>
          <w:rFonts w:ascii="Arabic Transparent" w:hAnsi="Arabic Transparent" w:cs="Arabic Transparent" w:hint="cs"/>
          <w:sz w:val="28"/>
          <w:szCs w:val="28"/>
          <w:rtl/>
          <w:lang w:val="en-AE" w:bidi="ar-JO"/>
        </w:rPr>
        <w:t>تعلق بالأحكام الجزئية التفصيلي</w:t>
      </w:r>
      <w:r w:rsidR="00CB0D2E">
        <w:rPr>
          <w:rFonts w:ascii="Arabic Transparent" w:hAnsi="Arabic Transparent" w:cs="Arabic Transparent" w:hint="cs"/>
          <w:sz w:val="28"/>
          <w:szCs w:val="28"/>
          <w:rtl/>
          <w:lang w:val="en-AE" w:bidi="ar-JO"/>
        </w:rPr>
        <w:t>َّ</w:t>
      </w:r>
      <w:r w:rsidR="00033D13" w:rsidRPr="00B529EB">
        <w:rPr>
          <w:rFonts w:ascii="Arabic Transparent" w:hAnsi="Arabic Transparent" w:cs="Arabic Transparent" w:hint="cs"/>
          <w:sz w:val="28"/>
          <w:szCs w:val="28"/>
          <w:rtl/>
          <w:lang w:val="en-AE" w:bidi="ar-JO"/>
        </w:rPr>
        <w:t>ة</w:t>
      </w:r>
      <w:r w:rsidR="00CB0D2E">
        <w:rPr>
          <w:rFonts w:ascii="Arabic Transparent" w:hAnsi="Arabic Transparent" w:cs="Arabic Transparent" w:hint="cs"/>
          <w:sz w:val="28"/>
          <w:szCs w:val="28"/>
          <w:rtl/>
          <w:lang w:val="en-AE" w:bidi="ar-JO"/>
        </w:rPr>
        <w:t>،</w:t>
      </w:r>
      <w:r w:rsidR="00033D13" w:rsidRPr="00B529EB">
        <w:rPr>
          <w:rFonts w:ascii="Arabic Transparent" w:hAnsi="Arabic Transparent" w:cs="Arabic Transparent" w:hint="cs"/>
          <w:sz w:val="28"/>
          <w:szCs w:val="28"/>
          <w:rtl/>
          <w:lang w:val="en-AE" w:bidi="ar-JO"/>
        </w:rPr>
        <w:t xml:space="preserve"> وقد قسم العلماء تحقيق المناط الخاص إلى قسمين: </w:t>
      </w:r>
    </w:p>
    <w:p w14:paraId="335F147A" w14:textId="61A167A8" w:rsidR="002E52E1" w:rsidRDefault="003B0624" w:rsidP="002E52E1">
      <w:pPr>
        <w:spacing w:after="0" w:line="360" w:lineRule="auto"/>
        <w:jc w:val="both"/>
        <w:rPr>
          <w:rFonts w:ascii="Arabic Transparent" w:hAnsi="Arabic Transparent" w:cs="Arabic Transparent"/>
          <w:b/>
          <w:bCs/>
          <w:sz w:val="28"/>
          <w:szCs w:val="28"/>
          <w:rtl/>
          <w:lang w:val="en-AE" w:bidi="ar-JO"/>
        </w:rPr>
      </w:pPr>
      <w:r w:rsidRPr="003B0624">
        <w:rPr>
          <w:rFonts w:ascii="Arabic Transparent" w:hAnsi="Arabic Transparent" w:cs="Arabic Transparent" w:hint="cs"/>
          <w:b/>
          <w:bCs/>
          <w:sz w:val="28"/>
          <w:szCs w:val="28"/>
          <w:rtl/>
          <w:lang w:val="en-AE" w:bidi="ar-JO"/>
        </w:rPr>
        <w:t>الفرع الأول</w:t>
      </w:r>
      <w:r w:rsidR="00033D13" w:rsidRPr="003B0624">
        <w:rPr>
          <w:rFonts w:ascii="Arabic Transparent" w:hAnsi="Arabic Transparent" w:cs="Arabic Transparent" w:hint="cs"/>
          <w:b/>
          <w:bCs/>
          <w:sz w:val="28"/>
          <w:szCs w:val="28"/>
          <w:rtl/>
          <w:lang w:val="en-AE" w:bidi="ar-JO"/>
        </w:rPr>
        <w:t>: تحقيق المناط الخاص في الأنواع</w:t>
      </w:r>
    </w:p>
    <w:p w14:paraId="22B7C3D7" w14:textId="3348D94B" w:rsidR="00C42EC8" w:rsidRDefault="005D7B91" w:rsidP="001D6980">
      <w:pPr>
        <w:spacing w:line="360" w:lineRule="auto"/>
        <w:jc w:val="both"/>
        <w:rPr>
          <w:rFonts w:ascii="Arabic Transparent" w:hAnsi="Arabic Transparent" w:cs="Arabic Transparent"/>
          <w:sz w:val="28"/>
          <w:szCs w:val="28"/>
          <w:rtl/>
          <w:lang w:val="en-AE" w:bidi="ar-JO"/>
        </w:rPr>
      </w:pPr>
      <w:r>
        <w:rPr>
          <w:rFonts w:ascii="Arabic Transparent" w:hAnsi="Arabic Transparent" w:cs="Arabic Transparent"/>
          <w:sz w:val="28"/>
          <w:szCs w:val="28"/>
          <w:rtl/>
          <w:lang w:val="en-AE" w:bidi="ar-JO"/>
        </w:rPr>
        <w:t xml:space="preserve">     </w:t>
      </w:r>
      <w:r w:rsidR="00A372EF" w:rsidRPr="00B529EB">
        <w:rPr>
          <w:rFonts w:ascii="Arabic Transparent" w:hAnsi="Arabic Transparent" w:cs="Arabic Transparent" w:hint="cs"/>
          <w:sz w:val="28"/>
          <w:szCs w:val="28"/>
          <w:rtl/>
          <w:lang w:val="en-AE" w:bidi="ar-JO"/>
        </w:rPr>
        <w:t xml:space="preserve">والمراد منه </w:t>
      </w:r>
      <w:r w:rsidR="009809F6">
        <w:rPr>
          <w:rFonts w:ascii="Arabic Transparent" w:hAnsi="Arabic Transparent" w:cs="Arabic Transparent" w:hint="cs"/>
          <w:sz w:val="28"/>
          <w:szCs w:val="28"/>
          <w:rtl/>
          <w:lang w:val="en-AE" w:bidi="ar-JO"/>
        </w:rPr>
        <w:t>"</w:t>
      </w:r>
      <w:r w:rsidR="00A372EF" w:rsidRPr="00B529EB">
        <w:rPr>
          <w:rFonts w:ascii="Arabic Transparent" w:hAnsi="Arabic Transparent" w:cs="Arabic Transparent" w:hint="cs"/>
          <w:sz w:val="28"/>
          <w:szCs w:val="28"/>
          <w:rtl/>
          <w:lang w:val="en-AE" w:bidi="ar-JO"/>
        </w:rPr>
        <w:t>الاجتهاد في تحقيق مناط الحكم الشرعي في حالة التجرد المعنوي</w:t>
      </w:r>
      <w:r w:rsidR="009809F6">
        <w:rPr>
          <w:rFonts w:ascii="Arabic Transparent" w:hAnsi="Arabic Transparent" w:cs="Arabic Transparent" w:hint="cs"/>
          <w:sz w:val="28"/>
          <w:szCs w:val="28"/>
          <w:rtl/>
          <w:lang w:val="en-AE" w:bidi="ar-JO"/>
        </w:rPr>
        <w:t>"</w:t>
      </w:r>
      <w:r w:rsidR="009809F6" w:rsidRPr="00C42EC8">
        <w:rPr>
          <w:rFonts w:ascii="Arabic Transparent" w:hAnsi="Arabic Transparent" w:cs="Arabic Transparent" w:hint="cs"/>
          <w:sz w:val="28"/>
          <w:szCs w:val="28"/>
          <w:vertAlign w:val="superscript"/>
          <w:rtl/>
          <w:lang w:val="en-AE" w:bidi="ar-JO"/>
        </w:rPr>
        <w:t>(</w:t>
      </w:r>
      <w:r w:rsidR="009809F6" w:rsidRPr="00C42EC8">
        <w:rPr>
          <w:rStyle w:val="FootnoteReference"/>
          <w:rFonts w:ascii="Arabic Transparent" w:hAnsi="Arabic Transparent" w:cs="Arabic Transparent" w:hint="cs"/>
          <w:sz w:val="28"/>
          <w:szCs w:val="28"/>
          <w:rtl/>
          <w:lang w:val="en-AE" w:bidi="ar-JO"/>
        </w:rPr>
        <w:footnoteReference w:id="72"/>
      </w:r>
      <w:r w:rsidR="009809F6" w:rsidRPr="00C42EC8">
        <w:rPr>
          <w:rFonts w:ascii="Arabic Transparent" w:hAnsi="Arabic Transparent" w:cs="Arabic Transparent" w:hint="cs"/>
          <w:sz w:val="28"/>
          <w:szCs w:val="28"/>
          <w:vertAlign w:val="superscript"/>
          <w:rtl/>
          <w:lang w:val="en-AE" w:bidi="ar-JO"/>
        </w:rPr>
        <w:t>)</w:t>
      </w:r>
      <w:r w:rsidR="00A372EF" w:rsidRPr="00B529EB">
        <w:rPr>
          <w:rFonts w:ascii="Arabic Transparent" w:hAnsi="Arabic Transparent" w:cs="Arabic Transparent" w:hint="cs"/>
          <w:sz w:val="28"/>
          <w:szCs w:val="28"/>
          <w:rtl/>
          <w:lang w:val="en-AE" w:bidi="ar-JO"/>
        </w:rPr>
        <w:t>، أي: في الدليل الذي ثبت به الحكم لا في الواقعة المراد تنزيل الحكم عليها، لذا عبر الشاطبي عنه بأن</w:t>
      </w:r>
      <w:r w:rsidR="00CB0D2E">
        <w:rPr>
          <w:rFonts w:ascii="Arabic Transparent" w:hAnsi="Arabic Transparent" w:cs="Arabic Transparent" w:hint="cs"/>
          <w:sz w:val="28"/>
          <w:szCs w:val="28"/>
          <w:rtl/>
          <w:lang w:val="en-AE" w:bidi="ar-JO"/>
        </w:rPr>
        <w:t>ه</w:t>
      </w:r>
      <w:r w:rsidR="00A372EF" w:rsidRPr="00B529EB">
        <w:rPr>
          <w:rFonts w:ascii="Arabic Transparent" w:hAnsi="Arabic Transparent" w:cs="Arabic Transparent" w:hint="cs"/>
          <w:sz w:val="28"/>
          <w:szCs w:val="28"/>
          <w:rtl/>
          <w:lang w:val="en-AE" w:bidi="ar-JO"/>
        </w:rPr>
        <w:t xml:space="preserve">: </w:t>
      </w:r>
      <w:r w:rsidR="00CB0D2E">
        <w:rPr>
          <w:rFonts w:ascii="Arabic Transparent" w:hAnsi="Arabic Transparent" w:cs="Arabic Transparent" w:hint="cs"/>
          <w:sz w:val="28"/>
          <w:szCs w:val="28"/>
          <w:rtl/>
          <w:lang w:val="en-AE" w:bidi="ar-JO"/>
        </w:rPr>
        <w:t>"</w:t>
      </w:r>
      <w:r w:rsidR="00A372EF" w:rsidRPr="00B529EB">
        <w:rPr>
          <w:rFonts w:ascii="Arabic Transparent" w:hAnsi="Arabic Transparent" w:cs="Arabic Transparent" w:hint="cs"/>
          <w:sz w:val="28"/>
          <w:szCs w:val="28"/>
          <w:rtl/>
          <w:lang w:val="en-AE" w:bidi="ar-JO"/>
        </w:rPr>
        <w:t>اجتهاد متعين على الأنواع لا على الأشخاص المعينة</w:t>
      </w:r>
      <w:r w:rsidR="00CB0D2E">
        <w:rPr>
          <w:rFonts w:ascii="Arabic Transparent" w:hAnsi="Arabic Transparent" w:cs="Arabic Transparent" w:hint="cs"/>
          <w:sz w:val="28"/>
          <w:szCs w:val="28"/>
          <w:rtl/>
          <w:lang w:val="en-AE" w:bidi="ar-JO"/>
        </w:rPr>
        <w:t>"</w:t>
      </w:r>
      <w:r w:rsidR="00A372EF" w:rsidRPr="00B529EB">
        <w:rPr>
          <w:rFonts w:ascii="Arabic Transparent" w:hAnsi="Arabic Transparent" w:cs="Arabic Transparent" w:hint="cs"/>
          <w:sz w:val="28"/>
          <w:szCs w:val="28"/>
          <w:vertAlign w:val="superscript"/>
          <w:rtl/>
          <w:lang w:val="en-AE" w:bidi="ar-JO"/>
        </w:rPr>
        <w:t>(</w:t>
      </w:r>
      <w:r w:rsidR="00A372EF" w:rsidRPr="00B529EB">
        <w:rPr>
          <w:rStyle w:val="FootnoteReference"/>
          <w:rFonts w:ascii="Arabic Transparent" w:hAnsi="Arabic Transparent" w:cs="Arabic Transparent" w:hint="cs"/>
          <w:sz w:val="28"/>
          <w:szCs w:val="28"/>
          <w:rtl/>
          <w:lang w:val="en-AE" w:bidi="ar-JO"/>
        </w:rPr>
        <w:footnoteReference w:id="73"/>
      </w:r>
      <w:r w:rsidR="00A372EF" w:rsidRPr="00B529EB">
        <w:rPr>
          <w:rFonts w:ascii="Arabic Transparent" w:hAnsi="Arabic Transparent" w:cs="Arabic Transparent" w:hint="cs"/>
          <w:sz w:val="28"/>
          <w:szCs w:val="28"/>
          <w:vertAlign w:val="superscript"/>
          <w:rtl/>
          <w:lang w:val="en-AE" w:bidi="ar-JO"/>
        </w:rPr>
        <w:t>)</w:t>
      </w:r>
      <w:r w:rsidR="00A372EF" w:rsidRPr="00B529EB">
        <w:rPr>
          <w:rFonts w:ascii="Arabic Transparent" w:hAnsi="Arabic Transparent" w:cs="Arabic Transparent" w:hint="cs"/>
          <w:sz w:val="28"/>
          <w:szCs w:val="28"/>
          <w:rtl/>
          <w:lang w:val="en-AE" w:bidi="ar-JO"/>
        </w:rPr>
        <w:t xml:space="preserve">، </w:t>
      </w:r>
      <w:r w:rsidR="00CF4B20" w:rsidRPr="00B529EB">
        <w:rPr>
          <w:rFonts w:ascii="Arabic Transparent" w:hAnsi="Arabic Transparent" w:cs="Arabic Transparent" w:hint="cs"/>
          <w:sz w:val="28"/>
          <w:szCs w:val="28"/>
          <w:rtl/>
          <w:lang w:val="en-AE" w:bidi="ar-JO"/>
        </w:rPr>
        <w:t>فهو اجتهاد مجرد عن أي شخص بعينه</w:t>
      </w:r>
      <w:r w:rsidR="00CB0D2E">
        <w:rPr>
          <w:rFonts w:ascii="Arabic Transparent" w:hAnsi="Arabic Transparent" w:cs="Arabic Transparent" w:hint="cs"/>
          <w:sz w:val="28"/>
          <w:szCs w:val="28"/>
          <w:rtl/>
          <w:lang w:val="en-AE" w:bidi="ar-JO"/>
        </w:rPr>
        <w:t>،</w:t>
      </w:r>
      <w:r w:rsidR="00CF4B20" w:rsidRPr="00B529EB">
        <w:rPr>
          <w:rFonts w:ascii="Arabic Transparent" w:hAnsi="Arabic Transparent" w:cs="Arabic Transparent" w:hint="cs"/>
          <w:sz w:val="28"/>
          <w:szCs w:val="28"/>
          <w:rtl/>
          <w:lang w:val="en-AE" w:bidi="ar-JO"/>
        </w:rPr>
        <w:t xml:space="preserve"> أو واقعة بعينها يراد دراستها والبحث فيها، وهذا النوع يمكن إلحاقه بالمقدمة الكلية التي يتكون منها</w:t>
      </w:r>
      <w:r w:rsidR="00CB0D2E">
        <w:rPr>
          <w:rFonts w:ascii="Arabic Transparent" w:hAnsi="Arabic Transparent" w:cs="Arabic Transparent" w:hint="cs"/>
          <w:sz w:val="28"/>
          <w:szCs w:val="28"/>
          <w:rtl/>
          <w:lang w:val="en-AE" w:bidi="ar-JO"/>
        </w:rPr>
        <w:t>،</w:t>
      </w:r>
      <w:r w:rsidR="00CF4B20" w:rsidRPr="00B529EB">
        <w:rPr>
          <w:rFonts w:ascii="Arabic Transparent" w:hAnsi="Arabic Transparent" w:cs="Arabic Transparent" w:hint="cs"/>
          <w:sz w:val="28"/>
          <w:szCs w:val="28"/>
          <w:rtl/>
          <w:lang w:val="en-AE" w:bidi="ar-JO"/>
        </w:rPr>
        <w:t xml:space="preserve"> والمقدمة الجزئية، وهو الحكم الشرعي للوقائع والحوادث كنتيجة لهاتين المقدمتين</w:t>
      </w:r>
      <w:r w:rsidR="00CB0D2E">
        <w:rPr>
          <w:rFonts w:ascii="Arabic Transparent" w:hAnsi="Arabic Transparent" w:cs="Arabic Transparent" w:hint="cs"/>
          <w:sz w:val="28"/>
          <w:szCs w:val="28"/>
          <w:rtl/>
          <w:lang w:val="en-AE" w:bidi="ar-JO"/>
        </w:rPr>
        <w:t>،</w:t>
      </w:r>
      <w:r w:rsidR="00CF4B20" w:rsidRPr="00B529EB">
        <w:rPr>
          <w:rFonts w:ascii="Arabic Transparent" w:hAnsi="Arabic Transparent" w:cs="Arabic Transparent" w:hint="cs"/>
          <w:sz w:val="28"/>
          <w:szCs w:val="28"/>
          <w:rtl/>
          <w:lang w:val="en-AE" w:bidi="ar-JO"/>
        </w:rPr>
        <w:t xml:space="preserve"> ومن الأمثلة على</w:t>
      </w:r>
      <w:r w:rsidR="00C42EC8">
        <w:rPr>
          <w:rFonts w:ascii="Arabic Transparent" w:hAnsi="Arabic Transparent" w:cs="Arabic Transparent" w:hint="cs"/>
          <w:sz w:val="28"/>
          <w:szCs w:val="28"/>
          <w:rtl/>
          <w:lang w:val="en-AE" w:bidi="ar-JO"/>
        </w:rPr>
        <w:t xml:space="preserve"> ذلك</w:t>
      </w:r>
      <w:r w:rsidR="00CF4B20" w:rsidRPr="00B529EB">
        <w:rPr>
          <w:rFonts w:ascii="Arabic Transparent" w:hAnsi="Arabic Transparent" w:cs="Arabic Transparent" w:hint="cs"/>
          <w:sz w:val="28"/>
          <w:szCs w:val="28"/>
          <w:rtl/>
          <w:lang w:val="en-AE" w:bidi="ar-JO"/>
        </w:rPr>
        <w:t xml:space="preserve"> تحقيق نوع الصيد الواجب جزاءً على المحرم عند ارتكابه جناية الصيد وهو محرم، فقد اعتبر المثل بالنص الشرعي</w:t>
      </w:r>
      <w:r w:rsidR="0025498F">
        <w:rPr>
          <w:rFonts w:ascii="Arabic Transparent" w:hAnsi="Arabic Transparent" w:cs="Arabic Transparent" w:hint="cs"/>
          <w:sz w:val="28"/>
          <w:szCs w:val="28"/>
          <w:rtl/>
          <w:lang w:val="en-AE" w:bidi="ar-JO"/>
        </w:rPr>
        <w:t>،</w:t>
      </w:r>
      <w:r w:rsidR="00CF4B20" w:rsidRPr="00B529EB">
        <w:rPr>
          <w:rFonts w:ascii="Arabic Transparent" w:hAnsi="Arabic Transparent" w:cs="Arabic Transparent" w:hint="cs"/>
          <w:sz w:val="28"/>
          <w:szCs w:val="28"/>
          <w:rtl/>
          <w:lang w:val="en-AE" w:bidi="ar-JO"/>
        </w:rPr>
        <w:t xml:space="preserve"> كما قي قوله تعالى: </w:t>
      </w:r>
      <w:r w:rsidR="000B47C7" w:rsidRPr="00001A51">
        <w:rPr>
          <w:rFonts w:ascii="KFGQPC HAFS Uthmanic Script" w:eastAsia="Aptos" w:hAnsi="Aptos" w:cs="KFGQPC HAFS Uthmanic Script"/>
          <w:color w:val="000000"/>
          <w:sz w:val="28"/>
          <w:szCs w:val="28"/>
          <w:rtl/>
        </w:rPr>
        <w:t>ﵟ فَجَزَآءٞ مِّثۡلُ مَا قَتَلَ مِنَ ٱلنَّعَمِ ٩٥ﵞ ﵝالمَائـِدَة</w:t>
      </w:r>
      <w:r w:rsidRPr="00001A51">
        <w:rPr>
          <w:rFonts w:ascii="KFGQPC HAFS Uthmanic Script" w:eastAsia="Aptos" w:hAnsi="Aptos" w:cs="KFGQPC HAFS Uthmanic Script"/>
          <w:color w:val="000000"/>
          <w:sz w:val="28"/>
          <w:szCs w:val="28"/>
          <w:rtl/>
        </w:rPr>
        <w:t>:</w:t>
      </w:r>
      <w:r w:rsidR="000B47C7" w:rsidRPr="00001A51">
        <w:rPr>
          <w:rFonts w:ascii="KFGQPC HAFS Uthmanic Script" w:eastAsia="Aptos" w:hAnsi="Aptos" w:cs="KFGQPC HAFS Uthmanic Script"/>
          <w:color w:val="000000"/>
          <w:sz w:val="28"/>
          <w:szCs w:val="28"/>
          <w:rtl/>
        </w:rPr>
        <w:t>ﵕﵙﵜ</w:t>
      </w:r>
      <w:r w:rsidR="007A308B" w:rsidRPr="00001A51">
        <w:rPr>
          <w:rFonts w:ascii="Aptos" w:eastAsia="Aptos" w:hAnsi="Aptos" w:hint="cs"/>
          <w:kern w:val="2"/>
          <w:sz w:val="28"/>
          <w:szCs w:val="28"/>
          <w:rtl/>
          <w:lang w:bidi="ar-JO"/>
        </w:rPr>
        <w:t xml:space="preserve">، </w:t>
      </w:r>
      <w:r w:rsidR="00C55E6C" w:rsidRPr="00B529EB">
        <w:rPr>
          <w:rFonts w:ascii="Arabic Transparent" w:hAnsi="Arabic Transparent" w:cs="Arabic Transparent" w:hint="cs"/>
          <w:sz w:val="28"/>
          <w:szCs w:val="28"/>
          <w:rtl/>
          <w:lang w:val="en-AE" w:bidi="ar-JO"/>
        </w:rPr>
        <w:t>ولابد من تعي</w:t>
      </w:r>
      <w:r w:rsidR="007506CA">
        <w:rPr>
          <w:rFonts w:ascii="Arabic Transparent" w:hAnsi="Arabic Transparent" w:cs="Arabic Transparent" w:hint="cs"/>
          <w:sz w:val="28"/>
          <w:szCs w:val="28"/>
          <w:rtl/>
          <w:lang w:val="en-AE" w:bidi="ar-JO"/>
        </w:rPr>
        <w:t>ي</w:t>
      </w:r>
      <w:r w:rsidR="00C55E6C" w:rsidRPr="00B529EB">
        <w:rPr>
          <w:rFonts w:ascii="Arabic Transparent" w:hAnsi="Arabic Transparent" w:cs="Arabic Transparent" w:hint="cs"/>
          <w:sz w:val="28"/>
          <w:szCs w:val="28"/>
          <w:rtl/>
          <w:lang w:val="en-AE" w:bidi="ar-JO"/>
        </w:rPr>
        <w:t>ن نوع المثل، وكونه مماثلاً لهذا الصيد من كونه بقرة</w:t>
      </w:r>
      <w:r w:rsidR="0025498F">
        <w:rPr>
          <w:rFonts w:ascii="Arabic Transparent" w:hAnsi="Arabic Transparent" w:cs="Arabic Transparent" w:hint="cs"/>
          <w:sz w:val="28"/>
          <w:szCs w:val="28"/>
          <w:rtl/>
          <w:lang w:val="en-AE" w:bidi="ar-JO"/>
        </w:rPr>
        <w:t>ً،</w:t>
      </w:r>
      <w:r w:rsidR="00C55E6C" w:rsidRPr="00B529EB">
        <w:rPr>
          <w:rFonts w:ascii="Arabic Transparent" w:hAnsi="Arabic Transparent" w:cs="Arabic Transparent" w:hint="cs"/>
          <w:sz w:val="28"/>
          <w:szCs w:val="28"/>
          <w:rtl/>
          <w:lang w:val="en-AE" w:bidi="ar-JO"/>
        </w:rPr>
        <w:t xml:space="preserve"> أو شاةً</w:t>
      </w:r>
      <w:r w:rsidR="0025498F">
        <w:rPr>
          <w:rFonts w:ascii="Arabic Transparent" w:hAnsi="Arabic Transparent" w:cs="Arabic Transparent" w:hint="cs"/>
          <w:sz w:val="28"/>
          <w:szCs w:val="28"/>
          <w:rtl/>
          <w:lang w:val="en-AE" w:bidi="ar-JO"/>
        </w:rPr>
        <w:t>،</w:t>
      </w:r>
      <w:r w:rsidR="00C55E6C" w:rsidRPr="00B529EB">
        <w:rPr>
          <w:rFonts w:ascii="Arabic Transparent" w:hAnsi="Arabic Transparent" w:cs="Arabic Transparent" w:hint="cs"/>
          <w:sz w:val="28"/>
          <w:szCs w:val="28"/>
          <w:rtl/>
          <w:lang w:val="en-AE" w:bidi="ar-JO"/>
        </w:rPr>
        <w:t xml:space="preserve"> أو </w:t>
      </w:r>
      <w:r w:rsidR="007A308B">
        <w:rPr>
          <w:rFonts w:ascii="Arabic Transparent" w:hAnsi="Arabic Transparent" w:cs="Arabic Transparent" w:hint="cs"/>
          <w:sz w:val="28"/>
          <w:szCs w:val="28"/>
          <w:rtl/>
          <w:lang w:val="en-AE" w:bidi="ar-JO"/>
        </w:rPr>
        <w:t>إبلاً</w:t>
      </w:r>
      <w:r w:rsidR="0025498F">
        <w:rPr>
          <w:rFonts w:ascii="Arabic Transparent" w:hAnsi="Arabic Transparent" w:cs="Arabic Transparent" w:hint="cs"/>
          <w:sz w:val="28"/>
          <w:szCs w:val="28"/>
          <w:rtl/>
          <w:lang w:val="en-AE" w:bidi="ar-JO"/>
        </w:rPr>
        <w:t>،</w:t>
      </w:r>
      <w:r w:rsidR="00C55E6C" w:rsidRPr="00B529EB">
        <w:rPr>
          <w:rFonts w:ascii="Arabic Transparent" w:hAnsi="Arabic Transparent" w:cs="Arabic Transparent" w:hint="cs"/>
          <w:sz w:val="28"/>
          <w:szCs w:val="28"/>
          <w:rtl/>
          <w:lang w:val="en-AE" w:bidi="ar-JO"/>
        </w:rPr>
        <w:t xml:space="preserve"> هو من قبيل الاجتهاد في تحقيق المناط الخاص</w:t>
      </w:r>
      <w:r w:rsidR="0025498F">
        <w:rPr>
          <w:rFonts w:ascii="Arabic Transparent" w:hAnsi="Arabic Transparent" w:cs="Arabic Transparent" w:hint="cs"/>
          <w:sz w:val="28"/>
          <w:szCs w:val="28"/>
          <w:rtl/>
          <w:lang w:val="en-AE" w:bidi="ar-JO"/>
        </w:rPr>
        <w:t xml:space="preserve"> النوعي</w:t>
      </w:r>
      <w:r w:rsidR="00C55E6C" w:rsidRPr="00B529EB">
        <w:rPr>
          <w:rFonts w:ascii="Arabic Transparent" w:hAnsi="Arabic Transparent" w:cs="Arabic Transparent" w:hint="cs"/>
          <w:sz w:val="28"/>
          <w:szCs w:val="28"/>
          <w:vertAlign w:val="superscript"/>
          <w:rtl/>
          <w:lang w:val="en-AE" w:bidi="ar-JO"/>
        </w:rPr>
        <w:t>(</w:t>
      </w:r>
      <w:r w:rsidR="00C55E6C" w:rsidRPr="00B529EB">
        <w:rPr>
          <w:rStyle w:val="FootnoteReference"/>
          <w:rFonts w:ascii="Arabic Transparent" w:hAnsi="Arabic Transparent" w:cs="Arabic Transparent" w:hint="cs"/>
          <w:sz w:val="28"/>
          <w:szCs w:val="28"/>
          <w:rtl/>
          <w:lang w:val="en-AE" w:bidi="ar-JO"/>
        </w:rPr>
        <w:footnoteReference w:id="74"/>
      </w:r>
      <w:r w:rsidR="00C55E6C" w:rsidRPr="00B529EB">
        <w:rPr>
          <w:rFonts w:ascii="Arabic Transparent" w:hAnsi="Arabic Transparent" w:cs="Arabic Transparent" w:hint="cs"/>
          <w:sz w:val="28"/>
          <w:szCs w:val="28"/>
          <w:vertAlign w:val="superscript"/>
          <w:rtl/>
          <w:lang w:val="en-AE" w:bidi="ar-JO"/>
        </w:rPr>
        <w:t>)</w:t>
      </w:r>
      <w:r w:rsidR="007A308B">
        <w:rPr>
          <w:rFonts w:ascii="Arabic Transparent" w:hAnsi="Arabic Transparent" w:cs="Arabic Transparent" w:hint="cs"/>
          <w:sz w:val="28"/>
          <w:szCs w:val="28"/>
          <w:rtl/>
          <w:lang w:val="en-AE" w:bidi="ar-JO"/>
        </w:rPr>
        <w:t>.</w:t>
      </w:r>
    </w:p>
    <w:p w14:paraId="12AA1A3A" w14:textId="39C67171" w:rsidR="00033D13" w:rsidRPr="003B0624" w:rsidRDefault="003B0624" w:rsidP="0083782B">
      <w:pPr>
        <w:spacing w:after="0" w:line="360" w:lineRule="auto"/>
        <w:jc w:val="both"/>
        <w:rPr>
          <w:rFonts w:ascii="Arabic Transparent" w:hAnsi="Arabic Transparent" w:cs="Arabic Transparent"/>
          <w:b/>
          <w:bCs/>
          <w:sz w:val="28"/>
          <w:szCs w:val="28"/>
          <w:rtl/>
          <w:lang w:val="en-AE" w:bidi="ar-JO"/>
        </w:rPr>
      </w:pPr>
      <w:r w:rsidRPr="003B0624">
        <w:rPr>
          <w:rFonts w:ascii="Arabic Transparent" w:hAnsi="Arabic Transparent" w:cs="Arabic Transparent" w:hint="cs"/>
          <w:b/>
          <w:bCs/>
          <w:sz w:val="28"/>
          <w:szCs w:val="28"/>
          <w:rtl/>
          <w:lang w:val="en-AE" w:bidi="ar-JO"/>
        </w:rPr>
        <w:t>الفرع الثاني</w:t>
      </w:r>
      <w:r w:rsidR="00033D13" w:rsidRPr="003B0624">
        <w:rPr>
          <w:rFonts w:ascii="Arabic Transparent" w:hAnsi="Arabic Transparent" w:cs="Arabic Transparent" w:hint="cs"/>
          <w:b/>
          <w:bCs/>
          <w:sz w:val="28"/>
          <w:szCs w:val="28"/>
          <w:rtl/>
          <w:lang w:val="en-AE" w:bidi="ar-JO"/>
        </w:rPr>
        <w:t xml:space="preserve">: تحقيق المناط الخاص في الأفراد: </w:t>
      </w:r>
    </w:p>
    <w:p w14:paraId="4511A168" w14:textId="462EE3E6" w:rsidR="001D6980" w:rsidRDefault="00C55E6C" w:rsidP="003B0624">
      <w:pPr>
        <w:spacing w:after="0" w:line="360" w:lineRule="auto"/>
        <w:ind w:firstLine="332"/>
        <w:jc w:val="both"/>
        <w:rPr>
          <w:rFonts w:ascii="Arabic Transparent" w:hAnsi="Arabic Transparent" w:cs="Arabic Transparent"/>
          <w:sz w:val="28"/>
          <w:szCs w:val="28"/>
          <w:rtl/>
          <w:lang w:val="en-AE" w:bidi="ar-JO"/>
        </w:rPr>
      </w:pPr>
      <w:r w:rsidRPr="00B529EB">
        <w:rPr>
          <w:rFonts w:ascii="Arabic Transparent" w:hAnsi="Arabic Transparent" w:cs="Arabic Transparent" w:hint="cs"/>
          <w:sz w:val="28"/>
          <w:szCs w:val="28"/>
          <w:rtl/>
          <w:lang w:val="en-AE" w:bidi="ar-JO"/>
        </w:rPr>
        <w:t>هو المتعين في الأشخاص والأعيان</w:t>
      </w:r>
      <w:r w:rsidR="0025498F">
        <w:rPr>
          <w:rFonts w:ascii="Arabic Transparent" w:hAnsi="Arabic Transparent" w:cs="Arabic Transparent" w:hint="cs"/>
          <w:sz w:val="28"/>
          <w:szCs w:val="28"/>
          <w:rtl/>
          <w:lang w:val="en-AE" w:bidi="ar-JO"/>
        </w:rPr>
        <w:t>،</w:t>
      </w:r>
      <w:r w:rsidRPr="00B529EB">
        <w:rPr>
          <w:rFonts w:ascii="Arabic Transparent" w:hAnsi="Arabic Transparent" w:cs="Arabic Transparent" w:hint="cs"/>
          <w:sz w:val="28"/>
          <w:szCs w:val="28"/>
          <w:rtl/>
          <w:lang w:val="en-AE" w:bidi="ar-JO"/>
        </w:rPr>
        <w:t xml:space="preserve"> والذي عبر </w:t>
      </w:r>
      <w:r w:rsidR="00B3335A" w:rsidRPr="00B529EB">
        <w:rPr>
          <w:rFonts w:ascii="Arabic Transparent" w:hAnsi="Arabic Transparent" w:cs="Arabic Transparent" w:hint="cs"/>
          <w:sz w:val="28"/>
          <w:szCs w:val="28"/>
          <w:rtl/>
          <w:lang w:val="en-AE" w:bidi="ar-JO"/>
        </w:rPr>
        <w:t>عنه الشاطبي</w:t>
      </w:r>
      <w:r w:rsidRPr="00B529EB">
        <w:rPr>
          <w:rFonts w:ascii="Arabic Transparent" w:hAnsi="Arabic Transparent" w:cs="Arabic Transparent" w:hint="cs"/>
          <w:sz w:val="28"/>
          <w:szCs w:val="28"/>
          <w:rtl/>
          <w:lang w:val="en-AE" w:bidi="ar-JO"/>
        </w:rPr>
        <w:t xml:space="preserve"> بقوله: "هو النظر في كل مكلف بالنسبة إلى ما وقع عليه من الدلائل التكليفية</w:t>
      </w:r>
      <w:r w:rsidR="002B1CCB" w:rsidRPr="00B529EB">
        <w:rPr>
          <w:rFonts w:ascii="Arabic Transparent" w:hAnsi="Arabic Transparent" w:cs="Arabic Transparent" w:hint="cs"/>
          <w:sz w:val="28"/>
          <w:szCs w:val="28"/>
          <w:rtl/>
          <w:lang w:val="en-AE" w:bidi="ar-JO"/>
        </w:rPr>
        <w:t>"</w:t>
      </w:r>
      <w:r w:rsidR="002B1CCB" w:rsidRPr="00B529EB">
        <w:rPr>
          <w:rFonts w:ascii="Arabic Transparent" w:hAnsi="Arabic Transparent" w:cs="Arabic Transparent" w:hint="cs"/>
          <w:sz w:val="28"/>
          <w:szCs w:val="28"/>
          <w:vertAlign w:val="superscript"/>
          <w:rtl/>
          <w:lang w:val="en-AE" w:bidi="ar-JO"/>
        </w:rPr>
        <w:t>(</w:t>
      </w:r>
      <w:r w:rsidR="002B1CCB" w:rsidRPr="00B529EB">
        <w:rPr>
          <w:rStyle w:val="FootnoteReference"/>
          <w:rFonts w:ascii="Arabic Transparent" w:hAnsi="Arabic Transparent" w:cs="Arabic Transparent" w:hint="cs"/>
          <w:sz w:val="28"/>
          <w:szCs w:val="28"/>
          <w:rtl/>
          <w:lang w:val="en-AE" w:bidi="ar-JO"/>
        </w:rPr>
        <w:footnoteReference w:id="75"/>
      </w:r>
      <w:r w:rsidR="002B1CCB" w:rsidRPr="00B529EB">
        <w:rPr>
          <w:rFonts w:ascii="Arabic Transparent" w:hAnsi="Arabic Transparent" w:cs="Arabic Transparent" w:hint="cs"/>
          <w:sz w:val="28"/>
          <w:szCs w:val="28"/>
          <w:vertAlign w:val="superscript"/>
          <w:rtl/>
          <w:lang w:val="en-AE" w:bidi="ar-JO"/>
        </w:rPr>
        <w:t>)</w:t>
      </w:r>
      <w:r w:rsidRPr="00B529EB">
        <w:rPr>
          <w:rFonts w:ascii="Arabic Transparent" w:hAnsi="Arabic Transparent" w:cs="Arabic Transparent" w:hint="cs"/>
          <w:sz w:val="28"/>
          <w:szCs w:val="28"/>
          <w:rtl/>
          <w:lang w:val="en-AE" w:bidi="ar-JO"/>
        </w:rPr>
        <w:t xml:space="preserve">، ومعناه بذل المجتهد جهده في تنزيل المناط العام أو الحكم الأصلي على المحل بعد </w:t>
      </w:r>
      <w:r w:rsidR="0085245F" w:rsidRPr="00B529EB">
        <w:rPr>
          <w:rFonts w:ascii="Arabic Transparent" w:hAnsi="Arabic Transparent" w:cs="Arabic Transparent" w:hint="cs"/>
          <w:sz w:val="28"/>
          <w:szCs w:val="28"/>
          <w:rtl/>
          <w:lang w:val="en-AE" w:bidi="ar-JO"/>
        </w:rPr>
        <w:t>النظر في الظروف والملابسات الخاصة التي يترتب على وجودها حكماً جديداً، بحسب الأحوال والأشخاص والأزمان، لذلك عر</w:t>
      </w:r>
      <w:r w:rsidR="0025498F">
        <w:rPr>
          <w:rFonts w:ascii="Arabic Transparent" w:hAnsi="Arabic Transparent" w:cs="Arabic Transparent" w:hint="cs"/>
          <w:sz w:val="28"/>
          <w:szCs w:val="28"/>
          <w:rtl/>
          <w:lang w:val="en-AE" w:bidi="ar-JO"/>
        </w:rPr>
        <w:t>َّ</w:t>
      </w:r>
      <w:r w:rsidR="0085245F" w:rsidRPr="00B529EB">
        <w:rPr>
          <w:rFonts w:ascii="Arabic Transparent" w:hAnsi="Arabic Transparent" w:cs="Arabic Transparent" w:hint="cs"/>
          <w:sz w:val="28"/>
          <w:szCs w:val="28"/>
          <w:rtl/>
          <w:lang w:val="en-AE" w:bidi="ar-JO"/>
        </w:rPr>
        <w:t xml:space="preserve">فه الشاطبي تعريفاً جلياً: </w:t>
      </w:r>
      <w:r w:rsidR="0085245F" w:rsidRPr="00B529EB">
        <w:rPr>
          <w:rFonts w:ascii="Arabic Transparent" w:hAnsi="Arabic Transparent" w:cs="Arabic Transparent" w:hint="cs"/>
          <w:sz w:val="28"/>
          <w:szCs w:val="28"/>
          <w:rtl/>
          <w:lang w:val="en-AE" w:bidi="ar-JO"/>
        </w:rPr>
        <w:lastRenderedPageBreak/>
        <w:t>حيث قال: "هو النظر فيما يصلح لكل مكلف في نفسه بحسب وقت دون وقت</w:t>
      </w:r>
      <w:r w:rsidR="003414CC">
        <w:rPr>
          <w:rFonts w:ascii="Arabic Transparent" w:hAnsi="Arabic Transparent" w:cs="Arabic Transparent" w:hint="cs"/>
          <w:sz w:val="28"/>
          <w:szCs w:val="28"/>
          <w:rtl/>
          <w:lang w:val="en-AE" w:bidi="ar-JO"/>
        </w:rPr>
        <w:t>،</w:t>
      </w:r>
      <w:r w:rsidR="0085245F" w:rsidRPr="00B529EB">
        <w:rPr>
          <w:rFonts w:ascii="Arabic Transparent" w:hAnsi="Arabic Transparent" w:cs="Arabic Transparent" w:hint="cs"/>
          <w:sz w:val="28"/>
          <w:szCs w:val="28"/>
          <w:rtl/>
          <w:lang w:val="en-AE" w:bidi="ar-JO"/>
        </w:rPr>
        <w:t xml:space="preserve"> وحال دون حال، وشخص دون شخص"</w:t>
      </w:r>
      <w:r w:rsidR="0085245F" w:rsidRPr="00B529EB">
        <w:rPr>
          <w:rFonts w:ascii="Arabic Transparent" w:hAnsi="Arabic Transparent" w:cs="Arabic Transparent" w:hint="cs"/>
          <w:sz w:val="28"/>
          <w:szCs w:val="28"/>
          <w:vertAlign w:val="superscript"/>
          <w:rtl/>
          <w:lang w:val="en-AE" w:bidi="ar-JO"/>
        </w:rPr>
        <w:t>(</w:t>
      </w:r>
      <w:r w:rsidR="0085245F" w:rsidRPr="00B529EB">
        <w:rPr>
          <w:rStyle w:val="FootnoteReference"/>
          <w:rFonts w:ascii="Arabic Transparent" w:hAnsi="Arabic Transparent" w:cs="Arabic Transparent" w:hint="cs"/>
          <w:sz w:val="28"/>
          <w:szCs w:val="28"/>
          <w:rtl/>
          <w:lang w:val="en-AE" w:bidi="ar-JO"/>
        </w:rPr>
        <w:footnoteReference w:id="76"/>
      </w:r>
      <w:r w:rsidR="0085245F" w:rsidRPr="00B529EB">
        <w:rPr>
          <w:rFonts w:ascii="Arabic Transparent" w:hAnsi="Arabic Transparent" w:cs="Arabic Transparent" w:hint="cs"/>
          <w:sz w:val="28"/>
          <w:szCs w:val="28"/>
          <w:vertAlign w:val="superscript"/>
          <w:rtl/>
          <w:lang w:val="en-AE" w:bidi="ar-JO"/>
        </w:rPr>
        <w:t>)</w:t>
      </w:r>
      <w:r w:rsidR="000E1385">
        <w:rPr>
          <w:rFonts w:ascii="Arabic Transparent" w:hAnsi="Arabic Transparent" w:cs="Arabic Transparent" w:hint="cs"/>
          <w:sz w:val="28"/>
          <w:szCs w:val="28"/>
          <w:rtl/>
          <w:lang w:val="en-AE" w:bidi="ar-JO"/>
        </w:rPr>
        <w:t>.</w:t>
      </w:r>
    </w:p>
    <w:p w14:paraId="0FE9D5E2" w14:textId="77777777" w:rsidR="001D6980" w:rsidRDefault="001D6980">
      <w:pPr>
        <w:bidi w:val="0"/>
        <w:spacing w:after="0" w:line="240" w:lineRule="auto"/>
        <w:rPr>
          <w:rFonts w:ascii="Arabic Transparent" w:hAnsi="Arabic Transparent" w:cs="Arabic Transparent"/>
          <w:sz w:val="28"/>
          <w:szCs w:val="28"/>
          <w:rtl/>
          <w:lang w:val="en-AE" w:bidi="ar-JO"/>
        </w:rPr>
      </w:pPr>
      <w:r>
        <w:rPr>
          <w:rFonts w:ascii="Arabic Transparent" w:hAnsi="Arabic Transparent" w:cs="Arabic Transparent"/>
          <w:sz w:val="28"/>
          <w:szCs w:val="28"/>
          <w:rtl/>
          <w:lang w:val="en-AE" w:bidi="ar-JO"/>
        </w:rPr>
        <w:br w:type="page"/>
      </w:r>
    </w:p>
    <w:p w14:paraId="163097E5" w14:textId="15ECA06E" w:rsidR="00625C31" w:rsidRDefault="0085245F" w:rsidP="004048F1">
      <w:pPr>
        <w:spacing w:after="0" w:line="360" w:lineRule="auto"/>
        <w:ind w:firstLine="332"/>
        <w:jc w:val="both"/>
        <w:rPr>
          <w:rFonts w:ascii="Arabic Transparent" w:hAnsi="Arabic Transparent" w:cs="Arabic Transparent"/>
          <w:sz w:val="28"/>
          <w:szCs w:val="28"/>
          <w:rtl/>
          <w:lang w:val="en-AE" w:bidi="ar-JO"/>
        </w:rPr>
      </w:pPr>
      <w:r w:rsidRPr="00B529EB">
        <w:rPr>
          <w:rFonts w:ascii="Arabic Transparent" w:hAnsi="Arabic Transparent" w:cs="Arabic Transparent" w:hint="cs"/>
          <w:sz w:val="28"/>
          <w:szCs w:val="28"/>
          <w:rtl/>
          <w:lang w:val="en-AE" w:bidi="ar-JO"/>
        </w:rPr>
        <w:t>ومثاله عند الفقهاء أن النكاح تعتريه الأحكام</w:t>
      </w:r>
      <w:r w:rsidR="003414CC">
        <w:rPr>
          <w:rFonts w:ascii="Arabic Transparent" w:hAnsi="Arabic Transparent" w:cs="Arabic Transparent" w:hint="cs"/>
          <w:sz w:val="28"/>
          <w:szCs w:val="28"/>
          <w:rtl/>
          <w:lang w:val="en-AE" w:bidi="ar-JO"/>
        </w:rPr>
        <w:t xml:space="preserve"> التكليفية</w:t>
      </w:r>
      <w:r w:rsidRPr="00B529EB">
        <w:rPr>
          <w:rFonts w:ascii="Arabic Transparent" w:hAnsi="Arabic Transparent" w:cs="Arabic Transparent" w:hint="cs"/>
          <w:sz w:val="28"/>
          <w:szCs w:val="28"/>
          <w:rtl/>
          <w:lang w:val="en-AE" w:bidi="ar-JO"/>
        </w:rPr>
        <w:t xml:space="preserve"> الخمس</w:t>
      </w:r>
      <w:r w:rsidR="00C42EC8">
        <w:rPr>
          <w:rFonts w:ascii="Arabic Transparent" w:hAnsi="Arabic Transparent" w:cs="Arabic Transparent" w:hint="cs"/>
          <w:sz w:val="28"/>
          <w:szCs w:val="28"/>
          <w:rtl/>
          <w:lang w:val="en-AE" w:bidi="ar-JO"/>
        </w:rPr>
        <w:t>ة</w:t>
      </w:r>
      <w:r w:rsidR="003414CC">
        <w:rPr>
          <w:rFonts w:ascii="Arabic Transparent" w:hAnsi="Arabic Transparent" w:cs="Arabic Transparent" w:hint="cs"/>
          <w:sz w:val="28"/>
          <w:szCs w:val="28"/>
          <w:rtl/>
          <w:lang w:val="en-AE" w:bidi="ar-JO"/>
        </w:rPr>
        <w:t>،</w:t>
      </w:r>
      <w:r w:rsidRPr="00B529EB">
        <w:rPr>
          <w:rFonts w:ascii="Arabic Transparent" w:hAnsi="Arabic Transparent" w:cs="Arabic Transparent" w:hint="cs"/>
          <w:sz w:val="28"/>
          <w:szCs w:val="28"/>
          <w:rtl/>
          <w:lang w:val="en-AE" w:bidi="ar-JO"/>
        </w:rPr>
        <w:t xml:space="preserve"> حسب حال الرجل الذي ي</w:t>
      </w:r>
      <w:r w:rsidR="003414CC">
        <w:rPr>
          <w:rFonts w:ascii="Arabic Transparent" w:hAnsi="Arabic Transparent" w:cs="Arabic Transparent" w:hint="cs"/>
          <w:sz w:val="28"/>
          <w:szCs w:val="28"/>
          <w:rtl/>
          <w:lang w:val="en-AE" w:bidi="ar-JO"/>
        </w:rPr>
        <w:t>ُ</w:t>
      </w:r>
      <w:r w:rsidRPr="00B529EB">
        <w:rPr>
          <w:rFonts w:ascii="Arabic Transparent" w:hAnsi="Arabic Transparent" w:cs="Arabic Transparent" w:hint="cs"/>
          <w:sz w:val="28"/>
          <w:szCs w:val="28"/>
          <w:rtl/>
          <w:lang w:val="en-AE" w:bidi="ar-JO"/>
        </w:rPr>
        <w:t>قبل عليه وحسب الأوصاف التي سوف يرتب الحكم الشرعي عليها، وعند تحقيق المناط العام نقول</w:t>
      </w:r>
      <w:r w:rsidR="003414CC">
        <w:rPr>
          <w:rFonts w:ascii="Arabic Transparent" w:hAnsi="Arabic Transparent" w:cs="Arabic Transparent" w:hint="cs"/>
          <w:sz w:val="28"/>
          <w:szCs w:val="28"/>
          <w:rtl/>
          <w:lang w:val="en-AE" w:bidi="ar-JO"/>
        </w:rPr>
        <w:t>:</w:t>
      </w:r>
      <w:r w:rsidRPr="00B529EB">
        <w:rPr>
          <w:rFonts w:ascii="Arabic Transparent" w:hAnsi="Arabic Transparent" w:cs="Arabic Transparent" w:hint="cs"/>
          <w:sz w:val="28"/>
          <w:szCs w:val="28"/>
          <w:rtl/>
          <w:lang w:val="en-AE" w:bidi="ar-JO"/>
        </w:rPr>
        <w:t xml:space="preserve"> </w:t>
      </w:r>
      <w:r w:rsidR="00C61F85" w:rsidRPr="00B529EB">
        <w:rPr>
          <w:rFonts w:ascii="Arabic Transparent" w:hAnsi="Arabic Transparent" w:cs="Arabic Transparent" w:hint="cs"/>
          <w:sz w:val="28"/>
          <w:szCs w:val="28"/>
          <w:rtl/>
          <w:lang w:val="en-AE" w:bidi="ar-JO"/>
        </w:rPr>
        <w:t>إن</w:t>
      </w:r>
      <w:r w:rsidR="003414CC">
        <w:rPr>
          <w:rFonts w:ascii="Arabic Transparent" w:hAnsi="Arabic Transparent" w:cs="Arabic Transparent" w:hint="cs"/>
          <w:sz w:val="28"/>
          <w:szCs w:val="28"/>
          <w:rtl/>
          <w:lang w:val="en-AE" w:bidi="ar-JO"/>
        </w:rPr>
        <w:t>َّ</w:t>
      </w:r>
      <w:r w:rsidRPr="00B529EB">
        <w:rPr>
          <w:rFonts w:ascii="Arabic Transparent" w:hAnsi="Arabic Transparent" w:cs="Arabic Transparent" w:hint="cs"/>
          <w:sz w:val="28"/>
          <w:szCs w:val="28"/>
          <w:rtl/>
          <w:lang w:val="en-AE" w:bidi="ar-JO"/>
        </w:rPr>
        <w:t xml:space="preserve"> الأصل فيه الندب</w:t>
      </w:r>
      <w:r w:rsidR="003414CC">
        <w:rPr>
          <w:rFonts w:ascii="Arabic Transparent" w:hAnsi="Arabic Transparent" w:cs="Arabic Transparent" w:hint="cs"/>
          <w:sz w:val="28"/>
          <w:szCs w:val="28"/>
          <w:rtl/>
          <w:lang w:val="en-AE" w:bidi="ar-JO"/>
        </w:rPr>
        <w:t>،</w:t>
      </w:r>
      <w:r w:rsidRPr="00B529EB">
        <w:rPr>
          <w:rFonts w:ascii="Arabic Transparent" w:hAnsi="Arabic Transparent" w:cs="Arabic Transparent" w:hint="cs"/>
          <w:sz w:val="28"/>
          <w:szCs w:val="28"/>
          <w:rtl/>
          <w:lang w:val="en-AE" w:bidi="ar-JO"/>
        </w:rPr>
        <w:t xml:space="preserve"> ثم انقلب الندب إلى التحريم</w:t>
      </w:r>
      <w:r w:rsidR="002B1CCB" w:rsidRPr="00B529EB">
        <w:rPr>
          <w:rFonts w:ascii="Arabic Transparent" w:hAnsi="Arabic Transparent" w:cs="Arabic Transparent" w:hint="cs"/>
          <w:sz w:val="28"/>
          <w:szCs w:val="28"/>
          <w:rtl/>
          <w:lang w:val="en-AE" w:bidi="ar-JO"/>
        </w:rPr>
        <w:t xml:space="preserve"> </w:t>
      </w:r>
      <w:r w:rsidRPr="00B529EB">
        <w:rPr>
          <w:rFonts w:ascii="Arabic Transparent" w:hAnsi="Arabic Transparent" w:cs="Arabic Transparent" w:hint="cs"/>
          <w:sz w:val="28"/>
          <w:szCs w:val="28"/>
          <w:rtl/>
          <w:lang w:val="en-AE" w:bidi="ar-JO"/>
        </w:rPr>
        <w:t>عند تحقيق المناط الخاص على رجل</w:t>
      </w:r>
      <w:r w:rsidR="003414CC">
        <w:rPr>
          <w:rFonts w:ascii="Arabic Transparent" w:hAnsi="Arabic Transparent" w:cs="Arabic Transparent" w:hint="cs"/>
          <w:sz w:val="28"/>
          <w:szCs w:val="28"/>
          <w:rtl/>
          <w:lang w:val="en-AE" w:bidi="ar-JO"/>
        </w:rPr>
        <w:t xml:space="preserve"> محدد</w:t>
      </w:r>
      <w:r w:rsidR="002B1CCB" w:rsidRPr="00B529EB">
        <w:rPr>
          <w:rFonts w:ascii="Arabic Transparent" w:hAnsi="Arabic Transparent" w:cs="Arabic Transparent" w:hint="cs"/>
          <w:sz w:val="28"/>
          <w:szCs w:val="28"/>
          <w:rtl/>
          <w:lang w:val="en-AE" w:bidi="ar-JO"/>
        </w:rPr>
        <w:t xml:space="preserve"> ع</w:t>
      </w:r>
      <w:r w:rsidR="003414CC">
        <w:rPr>
          <w:rFonts w:ascii="Arabic Transparent" w:hAnsi="Arabic Transparent" w:cs="Arabic Transparent" w:hint="cs"/>
          <w:sz w:val="28"/>
          <w:szCs w:val="28"/>
          <w:rtl/>
          <w:lang w:val="en-AE" w:bidi="ar-JO"/>
        </w:rPr>
        <w:t>ُ</w:t>
      </w:r>
      <w:r w:rsidR="00C42EC8">
        <w:rPr>
          <w:rFonts w:ascii="Arabic Transparent" w:hAnsi="Arabic Transparent" w:cs="Arabic Transparent" w:hint="cs"/>
          <w:sz w:val="28"/>
          <w:szCs w:val="28"/>
          <w:rtl/>
          <w:lang w:val="en-AE" w:bidi="ar-JO"/>
        </w:rPr>
        <w:t>ر</w:t>
      </w:r>
      <w:r w:rsidR="002B1CCB" w:rsidRPr="00B529EB">
        <w:rPr>
          <w:rFonts w:ascii="Arabic Transparent" w:hAnsi="Arabic Transparent" w:cs="Arabic Transparent" w:hint="cs"/>
          <w:sz w:val="28"/>
          <w:szCs w:val="28"/>
          <w:rtl/>
          <w:lang w:val="en-AE" w:bidi="ar-JO"/>
        </w:rPr>
        <w:t>ف أن</w:t>
      </w:r>
      <w:r w:rsidR="003414CC">
        <w:rPr>
          <w:rFonts w:ascii="Arabic Transparent" w:hAnsi="Arabic Transparent" w:cs="Arabic Transparent" w:hint="cs"/>
          <w:sz w:val="28"/>
          <w:szCs w:val="28"/>
          <w:rtl/>
          <w:lang w:val="en-AE" w:bidi="ar-JO"/>
        </w:rPr>
        <w:t>َّ</w:t>
      </w:r>
      <w:r w:rsidR="002B1CCB" w:rsidRPr="00B529EB">
        <w:rPr>
          <w:rFonts w:ascii="Arabic Transparent" w:hAnsi="Arabic Transparent" w:cs="Arabic Transparent" w:hint="cs"/>
          <w:sz w:val="28"/>
          <w:szCs w:val="28"/>
          <w:rtl/>
          <w:lang w:val="en-AE" w:bidi="ar-JO"/>
        </w:rPr>
        <w:t>ه مضار في</w:t>
      </w:r>
      <w:r w:rsidR="007506CA">
        <w:rPr>
          <w:rFonts w:ascii="Arabic Transparent" w:hAnsi="Arabic Transparent" w:cs="Arabic Transparent" w:hint="cs"/>
          <w:sz w:val="28"/>
          <w:szCs w:val="28"/>
          <w:rtl/>
          <w:lang w:val="en-AE" w:bidi="ar-JO"/>
        </w:rPr>
        <w:t xml:space="preserve"> عِشرة</w:t>
      </w:r>
      <w:r w:rsidR="002B1CCB" w:rsidRPr="00B529EB">
        <w:rPr>
          <w:rFonts w:ascii="Arabic Transparent" w:hAnsi="Arabic Transparent" w:cs="Arabic Transparent" w:hint="cs"/>
          <w:sz w:val="28"/>
          <w:szCs w:val="28"/>
          <w:vertAlign w:val="superscript"/>
          <w:rtl/>
          <w:lang w:val="en-AE" w:bidi="ar-JO"/>
        </w:rPr>
        <w:t xml:space="preserve"> </w:t>
      </w:r>
      <w:r w:rsidR="002B1CCB" w:rsidRPr="00B529EB">
        <w:rPr>
          <w:rFonts w:ascii="Arabic Transparent" w:hAnsi="Arabic Transparent" w:cs="Arabic Transparent" w:hint="cs"/>
          <w:sz w:val="28"/>
          <w:szCs w:val="28"/>
          <w:rtl/>
          <w:lang w:val="en-AE" w:bidi="ar-JO"/>
        </w:rPr>
        <w:t>النساء لا يؤتمن جانبه</w:t>
      </w:r>
      <w:r w:rsidR="002B1CCB" w:rsidRPr="00B529EB">
        <w:rPr>
          <w:rFonts w:ascii="Arabic Transparent" w:hAnsi="Arabic Transparent" w:cs="Arabic Transparent" w:hint="cs"/>
          <w:sz w:val="28"/>
          <w:szCs w:val="28"/>
          <w:vertAlign w:val="superscript"/>
          <w:rtl/>
          <w:lang w:val="en-AE" w:bidi="ar-JO"/>
        </w:rPr>
        <w:t xml:space="preserve"> (</w:t>
      </w:r>
      <w:r w:rsidR="002B1CCB" w:rsidRPr="00B529EB">
        <w:rPr>
          <w:rStyle w:val="FootnoteReference"/>
          <w:rFonts w:ascii="Arabic Transparent" w:hAnsi="Arabic Transparent" w:cs="Arabic Transparent" w:hint="cs"/>
          <w:sz w:val="28"/>
          <w:szCs w:val="28"/>
          <w:rtl/>
          <w:lang w:val="en-AE" w:bidi="ar-JO"/>
        </w:rPr>
        <w:footnoteReference w:id="77"/>
      </w:r>
      <w:r w:rsidR="002B1CCB" w:rsidRPr="00B529EB">
        <w:rPr>
          <w:rFonts w:ascii="Arabic Transparent" w:hAnsi="Arabic Transparent" w:cs="Arabic Transparent" w:hint="cs"/>
          <w:sz w:val="28"/>
          <w:szCs w:val="28"/>
          <w:vertAlign w:val="superscript"/>
          <w:rtl/>
          <w:lang w:val="en-AE" w:bidi="ar-JO"/>
        </w:rPr>
        <w:t>)</w:t>
      </w:r>
      <w:r w:rsidR="002B1CCB" w:rsidRPr="00B529EB">
        <w:rPr>
          <w:rFonts w:ascii="Arabic Transparent" w:hAnsi="Arabic Transparent" w:cs="Arabic Transparent" w:hint="cs"/>
          <w:sz w:val="28"/>
          <w:szCs w:val="28"/>
          <w:rtl/>
          <w:lang w:val="en-AE" w:bidi="ar-JO"/>
        </w:rPr>
        <w:t>.</w:t>
      </w:r>
      <w:r w:rsidRPr="00B529EB">
        <w:rPr>
          <w:rFonts w:ascii="Arabic Transparent" w:hAnsi="Arabic Transparent" w:cs="Arabic Transparent" w:hint="cs"/>
          <w:sz w:val="28"/>
          <w:szCs w:val="28"/>
          <w:rtl/>
          <w:lang w:val="en-AE" w:bidi="ar-JO"/>
        </w:rPr>
        <w:t xml:space="preserve"> </w:t>
      </w:r>
      <w:r w:rsidR="00625C31">
        <w:rPr>
          <w:rFonts w:ascii="Arabic Transparent" w:hAnsi="Arabic Transparent" w:cs="Arabic Transparent"/>
          <w:sz w:val="28"/>
          <w:szCs w:val="28"/>
          <w:rtl/>
          <w:lang w:val="en-AE" w:bidi="ar-JO"/>
        </w:rPr>
        <w:br w:type="page"/>
      </w:r>
    </w:p>
    <w:p w14:paraId="72D4B256" w14:textId="37DE9A08" w:rsidR="00273C5C" w:rsidRPr="00B529EB" w:rsidRDefault="003E592D" w:rsidP="00B15CC5">
      <w:pPr>
        <w:spacing w:after="0" w:line="360" w:lineRule="auto"/>
        <w:jc w:val="center"/>
        <w:rPr>
          <w:rFonts w:ascii="Arabic Transparent" w:hAnsi="Arabic Transparent" w:cs="Arabic Transparent"/>
          <w:b/>
          <w:bCs/>
          <w:sz w:val="32"/>
          <w:szCs w:val="32"/>
          <w:rtl/>
          <w:lang w:bidi="ar-JO"/>
        </w:rPr>
      </w:pPr>
      <w:r w:rsidRPr="00B529EB">
        <w:rPr>
          <w:rFonts w:ascii="Arabic Transparent" w:hAnsi="Arabic Transparent" w:cs="Arabic Transparent" w:hint="cs"/>
          <w:b/>
          <w:bCs/>
          <w:sz w:val="32"/>
          <w:szCs w:val="32"/>
          <w:rtl/>
          <w:lang w:bidi="ar-JO"/>
        </w:rPr>
        <w:t>المبحث الث</w:t>
      </w:r>
      <w:r w:rsidR="00D930C1" w:rsidRPr="00B529EB">
        <w:rPr>
          <w:rFonts w:ascii="Arabic Transparent" w:hAnsi="Arabic Transparent" w:cs="Arabic Transparent" w:hint="cs"/>
          <w:b/>
          <w:bCs/>
          <w:sz w:val="32"/>
          <w:szCs w:val="32"/>
          <w:rtl/>
          <w:lang w:bidi="ar-JO"/>
        </w:rPr>
        <w:t>الث</w:t>
      </w:r>
      <w:r w:rsidRPr="00B529EB">
        <w:rPr>
          <w:rFonts w:ascii="Arabic Transparent" w:hAnsi="Arabic Transparent" w:cs="Arabic Transparent" w:hint="cs"/>
          <w:b/>
          <w:bCs/>
          <w:sz w:val="32"/>
          <w:szCs w:val="32"/>
          <w:rtl/>
          <w:lang w:bidi="ar-JO"/>
        </w:rPr>
        <w:t>:</w:t>
      </w:r>
    </w:p>
    <w:p w14:paraId="64CA759E" w14:textId="74F2B3DA" w:rsidR="003E592D" w:rsidRPr="00B529EB" w:rsidRDefault="003E592D" w:rsidP="00B15CC5">
      <w:pPr>
        <w:spacing w:after="0" w:line="360" w:lineRule="auto"/>
        <w:jc w:val="center"/>
        <w:rPr>
          <w:rFonts w:ascii="Arabic Transparent" w:hAnsi="Arabic Transparent" w:cs="Arabic Transparent"/>
          <w:b/>
          <w:bCs/>
          <w:sz w:val="32"/>
          <w:szCs w:val="32"/>
          <w:rtl/>
          <w:lang w:bidi="ar-JO"/>
        </w:rPr>
      </w:pPr>
      <w:r w:rsidRPr="00B529EB">
        <w:rPr>
          <w:rFonts w:ascii="Arabic Transparent" w:hAnsi="Arabic Transparent" w:cs="Arabic Transparent" w:hint="cs"/>
          <w:b/>
          <w:bCs/>
          <w:sz w:val="32"/>
          <w:szCs w:val="32"/>
          <w:rtl/>
          <w:lang w:bidi="ar-JO"/>
        </w:rPr>
        <w:t xml:space="preserve"> </w:t>
      </w:r>
      <w:r w:rsidR="00E356F4" w:rsidRPr="00B529EB">
        <w:rPr>
          <w:rFonts w:ascii="Arabic Transparent" w:hAnsi="Arabic Transparent" w:cs="Arabic Transparent" w:hint="cs"/>
          <w:b/>
          <w:bCs/>
          <w:sz w:val="32"/>
          <w:szCs w:val="32"/>
          <w:rtl/>
          <w:lang w:bidi="ar-JO"/>
        </w:rPr>
        <w:t>تحقيق المناط</w:t>
      </w:r>
      <w:r w:rsidR="00B2298F" w:rsidRPr="00B529EB">
        <w:rPr>
          <w:rFonts w:ascii="Arabic Transparent" w:hAnsi="Arabic Transparent" w:cs="Arabic Transparent" w:hint="cs"/>
          <w:b/>
          <w:bCs/>
          <w:sz w:val="32"/>
          <w:szCs w:val="32"/>
          <w:rtl/>
          <w:lang w:bidi="ar-JO"/>
        </w:rPr>
        <w:t xml:space="preserve"> الخاص</w:t>
      </w:r>
      <w:r w:rsidR="00E356F4" w:rsidRPr="00B529EB">
        <w:rPr>
          <w:rFonts w:ascii="Arabic Transparent" w:hAnsi="Arabic Transparent" w:cs="Arabic Transparent" w:hint="cs"/>
          <w:b/>
          <w:bCs/>
          <w:sz w:val="32"/>
          <w:szCs w:val="32"/>
          <w:rtl/>
          <w:lang w:bidi="ar-JO"/>
        </w:rPr>
        <w:t xml:space="preserve"> نشأته </w:t>
      </w:r>
      <w:r w:rsidR="009C1941" w:rsidRPr="00B529EB">
        <w:rPr>
          <w:rFonts w:ascii="Arabic Transparent" w:hAnsi="Arabic Transparent" w:cs="Arabic Transparent" w:hint="cs"/>
          <w:b/>
          <w:bCs/>
          <w:sz w:val="32"/>
          <w:szCs w:val="32"/>
          <w:rtl/>
          <w:lang w:bidi="ar-JO"/>
        </w:rPr>
        <w:t xml:space="preserve">ومشروعيته </w:t>
      </w:r>
      <w:r w:rsidR="00E356F4" w:rsidRPr="00B529EB">
        <w:rPr>
          <w:rFonts w:ascii="Arabic Transparent" w:hAnsi="Arabic Transparent" w:cs="Arabic Transparent" w:hint="cs"/>
          <w:b/>
          <w:bCs/>
          <w:sz w:val="32"/>
          <w:szCs w:val="32"/>
          <w:rtl/>
          <w:lang w:bidi="ar-JO"/>
        </w:rPr>
        <w:t>وأهميته</w:t>
      </w:r>
    </w:p>
    <w:p w14:paraId="460F0949" w14:textId="77777777" w:rsidR="00E356F4" w:rsidRPr="002C707F" w:rsidRDefault="00E356F4" w:rsidP="00273C5C">
      <w:pPr>
        <w:spacing w:after="0" w:line="360" w:lineRule="auto"/>
        <w:ind w:firstLine="48"/>
        <w:rPr>
          <w:rFonts w:ascii="Arabic Transparent" w:hAnsi="Arabic Transparent" w:cs="Arabic Transparent"/>
          <w:b/>
          <w:bCs/>
          <w:sz w:val="32"/>
          <w:szCs w:val="32"/>
          <w:rtl/>
          <w:lang w:bidi="ar-JO"/>
        </w:rPr>
      </w:pPr>
      <w:r w:rsidRPr="002C707F">
        <w:rPr>
          <w:rFonts w:ascii="Arabic Transparent" w:hAnsi="Arabic Transparent" w:cs="Arabic Transparent" w:hint="cs"/>
          <w:b/>
          <w:bCs/>
          <w:sz w:val="32"/>
          <w:szCs w:val="32"/>
          <w:rtl/>
          <w:lang w:bidi="ar-JO"/>
        </w:rPr>
        <w:t xml:space="preserve">المطلب الأول: نشأة </w:t>
      </w:r>
      <w:r w:rsidR="007311E6" w:rsidRPr="002C707F">
        <w:rPr>
          <w:rFonts w:ascii="Arabic Transparent" w:hAnsi="Arabic Transparent" w:cs="Arabic Transparent" w:hint="cs"/>
          <w:b/>
          <w:bCs/>
          <w:sz w:val="32"/>
          <w:szCs w:val="32"/>
          <w:rtl/>
          <w:lang w:bidi="ar-JO"/>
        </w:rPr>
        <w:t>تحقيق المناط</w:t>
      </w:r>
      <w:r w:rsidR="00B2298F" w:rsidRPr="002C707F">
        <w:rPr>
          <w:rFonts w:ascii="Arabic Transparent" w:hAnsi="Arabic Transparent" w:cs="Arabic Transparent" w:hint="cs"/>
          <w:b/>
          <w:bCs/>
          <w:sz w:val="32"/>
          <w:szCs w:val="32"/>
          <w:rtl/>
          <w:lang w:bidi="ar-JO"/>
        </w:rPr>
        <w:t xml:space="preserve"> الخاص</w:t>
      </w:r>
      <w:r w:rsidR="006A11F6" w:rsidRPr="002C707F">
        <w:rPr>
          <w:rFonts w:ascii="Arabic Transparent" w:hAnsi="Arabic Transparent" w:cs="Arabic Transparent" w:hint="cs"/>
          <w:b/>
          <w:bCs/>
          <w:sz w:val="32"/>
          <w:szCs w:val="32"/>
          <w:rtl/>
          <w:lang w:bidi="ar-JO"/>
        </w:rPr>
        <w:t>:</w:t>
      </w:r>
    </w:p>
    <w:p w14:paraId="49E41C05" w14:textId="2D2D8171" w:rsidR="006A11F6" w:rsidRPr="00B529EB" w:rsidRDefault="005D7B91" w:rsidP="00040FBF">
      <w:pPr>
        <w:spacing w:after="0" w:line="360" w:lineRule="auto"/>
        <w:ind w:firstLine="48"/>
        <w:jc w:val="both"/>
        <w:rPr>
          <w:rFonts w:ascii="Arabic Transparent" w:hAnsi="Arabic Transparent" w:cs="Arabic Transparent"/>
          <w:sz w:val="28"/>
          <w:szCs w:val="28"/>
          <w:rtl/>
          <w:lang w:bidi="ar-JO"/>
        </w:rPr>
      </w:pPr>
      <w:r>
        <w:rPr>
          <w:rFonts w:ascii="Arabic Transparent" w:hAnsi="Arabic Transparent" w:cs="Arabic Transparent" w:hint="cs"/>
          <w:sz w:val="28"/>
          <w:szCs w:val="28"/>
          <w:rtl/>
          <w:lang w:bidi="ar-JO"/>
        </w:rPr>
        <w:t xml:space="preserve">     </w:t>
      </w:r>
      <w:r w:rsidR="00672293" w:rsidRPr="00B529EB">
        <w:rPr>
          <w:rFonts w:ascii="Arabic Transparent" w:hAnsi="Arabic Transparent" w:cs="Arabic Transparent" w:hint="cs"/>
          <w:sz w:val="28"/>
          <w:szCs w:val="28"/>
          <w:rtl/>
          <w:lang w:bidi="ar-JO"/>
        </w:rPr>
        <w:t>يعد تحقيق المناط من المسالك الأصولية الدقيقة التي نشأت وتطوّرت بتطور علم أصول الفقه، وقد ظهر الاهتمام بتحقيق المناط منذ بداية التشريع</w:t>
      </w:r>
      <w:r w:rsidR="00442B07">
        <w:rPr>
          <w:rFonts w:ascii="Arabic Transparent" w:hAnsi="Arabic Transparent" w:cs="Arabic Transparent" w:hint="cs"/>
          <w:sz w:val="28"/>
          <w:szCs w:val="28"/>
          <w:rtl/>
          <w:lang w:bidi="ar-JO"/>
        </w:rPr>
        <w:t>،</w:t>
      </w:r>
      <w:r w:rsidR="00672293" w:rsidRPr="00B529EB">
        <w:rPr>
          <w:rFonts w:ascii="Arabic Transparent" w:hAnsi="Arabic Transparent" w:cs="Arabic Transparent" w:hint="cs"/>
          <w:sz w:val="28"/>
          <w:szCs w:val="28"/>
          <w:rtl/>
          <w:lang w:bidi="ar-JO"/>
        </w:rPr>
        <w:t xml:space="preserve"> حيث عُرف في التطبيقات الشرعية المتعلقة بالسياسة الشرعية</w:t>
      </w:r>
      <w:r w:rsidR="007506CA">
        <w:rPr>
          <w:rFonts w:ascii="Arabic Transparent" w:hAnsi="Arabic Transparent" w:cs="Arabic Transparent" w:hint="cs"/>
          <w:sz w:val="28"/>
          <w:szCs w:val="28"/>
          <w:rtl/>
          <w:lang w:bidi="ar-JO"/>
        </w:rPr>
        <w:t>،</w:t>
      </w:r>
      <w:r w:rsidR="00672293" w:rsidRPr="00B529EB">
        <w:rPr>
          <w:rFonts w:ascii="Arabic Transparent" w:hAnsi="Arabic Transparent" w:cs="Arabic Transparent" w:hint="cs"/>
          <w:sz w:val="28"/>
          <w:szCs w:val="28"/>
          <w:rtl/>
          <w:lang w:bidi="ar-JO"/>
        </w:rPr>
        <w:t xml:space="preserve"> والمقاصد الشرعية</w:t>
      </w:r>
      <w:r w:rsidR="00442B07">
        <w:rPr>
          <w:rFonts w:ascii="Arabic Transparent" w:hAnsi="Arabic Transparent" w:cs="Arabic Transparent" w:hint="cs"/>
          <w:sz w:val="28"/>
          <w:szCs w:val="28"/>
          <w:rtl/>
          <w:lang w:bidi="ar-JO"/>
        </w:rPr>
        <w:t>،</w:t>
      </w:r>
      <w:r w:rsidR="00672293" w:rsidRPr="00B529EB">
        <w:rPr>
          <w:rFonts w:ascii="Arabic Transparent" w:hAnsi="Arabic Transparent" w:cs="Arabic Transparent" w:hint="cs"/>
          <w:sz w:val="28"/>
          <w:szCs w:val="28"/>
          <w:rtl/>
          <w:lang w:bidi="ar-JO"/>
        </w:rPr>
        <w:t xml:space="preserve"> حيث يُرجع بعض العلماء </w:t>
      </w:r>
      <w:r w:rsidR="00AA0397">
        <w:rPr>
          <w:rFonts w:ascii="Arabic Transparent" w:hAnsi="Arabic Transparent" w:cs="Arabic Transparent" w:hint="cs"/>
          <w:sz w:val="28"/>
          <w:szCs w:val="28"/>
          <w:rtl/>
          <w:lang w:bidi="ar-JO"/>
        </w:rPr>
        <w:t xml:space="preserve">بدايات </w:t>
      </w:r>
      <w:r w:rsidR="00672293" w:rsidRPr="00B529EB">
        <w:rPr>
          <w:rFonts w:ascii="Arabic Transparent" w:hAnsi="Arabic Transparent" w:cs="Arabic Transparent" w:hint="cs"/>
          <w:sz w:val="28"/>
          <w:szCs w:val="28"/>
          <w:rtl/>
          <w:lang w:bidi="ar-JO"/>
        </w:rPr>
        <w:t>استعمال تحقيق المناط</w:t>
      </w:r>
      <w:r w:rsidR="00040FBF" w:rsidRPr="00B529EB">
        <w:rPr>
          <w:rFonts w:ascii="Arabic Transparent" w:hAnsi="Arabic Transparent" w:cs="Arabic Transparent" w:hint="cs"/>
          <w:sz w:val="28"/>
          <w:szCs w:val="28"/>
          <w:rtl/>
          <w:lang w:bidi="ar-JO"/>
        </w:rPr>
        <w:t xml:space="preserve"> دون التصريح به،</w:t>
      </w:r>
      <w:r w:rsidR="00672293" w:rsidRPr="00B529EB">
        <w:rPr>
          <w:rFonts w:ascii="Arabic Transparent" w:hAnsi="Arabic Transparent" w:cs="Arabic Transparent" w:hint="cs"/>
          <w:sz w:val="28"/>
          <w:szCs w:val="28"/>
          <w:rtl/>
          <w:lang w:bidi="ar-JO"/>
        </w:rPr>
        <w:t xml:space="preserve"> إلى الشافعي</w:t>
      </w:r>
      <w:r w:rsidR="00040FBF" w:rsidRPr="00B529EB">
        <w:rPr>
          <w:rFonts w:ascii="Arabic Transparent" w:hAnsi="Arabic Transparent" w:cs="Arabic Transparent" w:hint="cs"/>
          <w:sz w:val="28"/>
          <w:szCs w:val="28"/>
          <w:rtl/>
          <w:lang w:bidi="ar-JO"/>
        </w:rPr>
        <w:t xml:space="preserve"> (ت 204هـ)</w:t>
      </w:r>
      <w:r w:rsidR="00672293" w:rsidRPr="00B529EB">
        <w:rPr>
          <w:rFonts w:ascii="Arabic Transparent" w:hAnsi="Arabic Transparent" w:cs="Arabic Transparent" w:hint="cs"/>
          <w:sz w:val="28"/>
          <w:szCs w:val="28"/>
          <w:rtl/>
          <w:lang w:bidi="ar-JO"/>
        </w:rPr>
        <w:t xml:space="preserve"> تحت </w:t>
      </w:r>
      <w:r w:rsidR="000814D2" w:rsidRPr="00B529EB">
        <w:rPr>
          <w:rFonts w:ascii="Arabic Transparent" w:hAnsi="Arabic Transparent" w:cs="Arabic Transparent" w:hint="cs"/>
          <w:sz w:val="28"/>
          <w:szCs w:val="28"/>
          <w:rtl/>
          <w:lang w:bidi="ar-JO"/>
        </w:rPr>
        <w:t>أبواب</w:t>
      </w:r>
      <w:r w:rsidR="00672293" w:rsidRPr="00B529EB">
        <w:rPr>
          <w:rFonts w:ascii="Arabic Transparent" w:hAnsi="Arabic Transparent" w:cs="Arabic Transparent" w:hint="cs"/>
          <w:sz w:val="28"/>
          <w:szCs w:val="28"/>
          <w:rtl/>
          <w:lang w:bidi="ar-JO"/>
        </w:rPr>
        <w:t xml:space="preserve"> </w:t>
      </w:r>
      <w:r w:rsidR="000814D2" w:rsidRPr="00B529EB">
        <w:rPr>
          <w:rFonts w:ascii="Arabic Transparent" w:hAnsi="Arabic Transparent" w:cs="Arabic Transparent" w:hint="cs"/>
          <w:sz w:val="28"/>
          <w:szCs w:val="28"/>
          <w:rtl/>
          <w:lang w:bidi="ar-JO"/>
        </w:rPr>
        <w:t>القياس والاجتهاد</w:t>
      </w:r>
      <w:r w:rsidR="000814D2" w:rsidRPr="00B529EB">
        <w:rPr>
          <w:rFonts w:ascii="Arabic Transparent" w:hAnsi="Arabic Transparent" w:cs="Arabic Transparent" w:hint="cs"/>
          <w:sz w:val="28"/>
          <w:szCs w:val="28"/>
          <w:vertAlign w:val="superscript"/>
          <w:rtl/>
          <w:lang w:bidi="ar-JO"/>
        </w:rPr>
        <w:t>(</w:t>
      </w:r>
      <w:r w:rsidR="000814D2" w:rsidRPr="00B529EB">
        <w:rPr>
          <w:rStyle w:val="FootnoteReference"/>
          <w:rFonts w:ascii="Arabic Transparent" w:hAnsi="Arabic Transparent" w:cs="Arabic Transparent" w:hint="cs"/>
          <w:sz w:val="28"/>
          <w:szCs w:val="28"/>
          <w:rtl/>
          <w:lang w:bidi="ar-JO"/>
        </w:rPr>
        <w:footnoteReference w:id="78"/>
      </w:r>
      <w:r w:rsidR="000814D2" w:rsidRPr="00B529EB">
        <w:rPr>
          <w:rFonts w:ascii="Arabic Transparent" w:hAnsi="Arabic Transparent" w:cs="Arabic Transparent" w:hint="cs"/>
          <w:sz w:val="28"/>
          <w:szCs w:val="28"/>
          <w:vertAlign w:val="superscript"/>
          <w:rtl/>
          <w:lang w:bidi="ar-JO"/>
        </w:rPr>
        <w:t>)</w:t>
      </w:r>
      <w:r w:rsidR="00040FBF" w:rsidRPr="00B529EB">
        <w:rPr>
          <w:rFonts w:ascii="Arabic Transparent" w:hAnsi="Arabic Transparent" w:cs="Arabic Transparent" w:hint="cs"/>
          <w:sz w:val="28"/>
          <w:szCs w:val="28"/>
          <w:rtl/>
          <w:lang w:bidi="ar-JO"/>
        </w:rPr>
        <w:t xml:space="preserve"> إلا أن المصطلح تبلور بشكل واضح</w:t>
      </w:r>
      <w:r w:rsidR="00442B07">
        <w:rPr>
          <w:rFonts w:ascii="Arabic Transparent" w:hAnsi="Arabic Transparent" w:cs="Arabic Transparent" w:hint="cs"/>
          <w:sz w:val="28"/>
          <w:szCs w:val="28"/>
          <w:rtl/>
          <w:lang w:bidi="ar-JO"/>
        </w:rPr>
        <w:t xml:space="preserve"> بعده،</w:t>
      </w:r>
      <w:r w:rsidR="00040FBF" w:rsidRPr="00B529EB">
        <w:rPr>
          <w:rFonts w:ascii="Arabic Transparent" w:hAnsi="Arabic Transparent" w:cs="Arabic Transparent" w:hint="cs"/>
          <w:sz w:val="28"/>
          <w:szCs w:val="28"/>
          <w:rtl/>
          <w:lang w:bidi="ar-JO"/>
        </w:rPr>
        <w:t xml:space="preserve"> وكان أول من استعمله </w:t>
      </w:r>
      <w:r w:rsidR="00C42EC8">
        <w:rPr>
          <w:rFonts w:ascii="Arabic Transparent" w:hAnsi="Arabic Transparent" w:cs="Arabic Transparent" w:hint="cs"/>
          <w:sz w:val="28"/>
          <w:szCs w:val="28"/>
          <w:rtl/>
          <w:lang w:bidi="ar-JO"/>
        </w:rPr>
        <w:t>العكبري</w:t>
      </w:r>
      <w:r w:rsidR="00040FBF" w:rsidRPr="00B529EB">
        <w:rPr>
          <w:rFonts w:ascii="Arabic Transparent" w:hAnsi="Arabic Transparent" w:cs="Arabic Transparent" w:hint="cs"/>
          <w:sz w:val="28"/>
          <w:szCs w:val="28"/>
          <w:rtl/>
          <w:lang w:bidi="ar-JO"/>
        </w:rPr>
        <w:t xml:space="preserve"> (ت428هـ) في كتابه رسالة في أصول الفقه</w:t>
      </w:r>
      <w:r w:rsidR="00730F79" w:rsidRPr="00730F79">
        <w:rPr>
          <w:rFonts w:ascii="Arabic Transparent" w:hAnsi="Arabic Transparent" w:cs="Arabic Transparent" w:hint="cs"/>
          <w:sz w:val="28"/>
          <w:szCs w:val="28"/>
          <w:vertAlign w:val="superscript"/>
          <w:rtl/>
          <w:lang w:bidi="ar-JO"/>
        </w:rPr>
        <w:t>(</w:t>
      </w:r>
      <w:r w:rsidR="00730F79" w:rsidRPr="00730F79">
        <w:rPr>
          <w:rStyle w:val="FootnoteReference"/>
          <w:rFonts w:ascii="Arabic Transparent" w:hAnsi="Arabic Transparent" w:cs="Arabic Transparent" w:hint="cs"/>
          <w:sz w:val="28"/>
          <w:szCs w:val="28"/>
          <w:rtl/>
          <w:lang w:bidi="ar-JO"/>
        </w:rPr>
        <w:footnoteReference w:id="79"/>
      </w:r>
      <w:r w:rsidR="00730F79" w:rsidRPr="00730F79">
        <w:rPr>
          <w:rFonts w:ascii="Arabic Transparent" w:hAnsi="Arabic Transparent" w:cs="Arabic Transparent" w:hint="cs"/>
          <w:sz w:val="28"/>
          <w:szCs w:val="28"/>
          <w:vertAlign w:val="superscript"/>
          <w:rtl/>
          <w:lang w:bidi="ar-JO"/>
        </w:rPr>
        <w:t>)</w:t>
      </w:r>
      <w:r w:rsidR="00442B07">
        <w:rPr>
          <w:rFonts w:ascii="Arabic Transparent" w:hAnsi="Arabic Transparent" w:cs="Arabic Transparent" w:hint="cs"/>
          <w:sz w:val="28"/>
          <w:szCs w:val="28"/>
          <w:rtl/>
          <w:lang w:bidi="ar-JO"/>
        </w:rPr>
        <w:t>،</w:t>
      </w:r>
      <w:r w:rsidR="00040FBF" w:rsidRPr="00B529EB">
        <w:rPr>
          <w:rFonts w:ascii="Arabic Transparent" w:hAnsi="Arabic Transparent" w:cs="Arabic Transparent" w:hint="cs"/>
          <w:sz w:val="28"/>
          <w:szCs w:val="28"/>
          <w:rtl/>
          <w:lang w:bidi="ar-JO"/>
        </w:rPr>
        <w:t xml:space="preserve"> وبعده الغزالي (ت505هـ) في كتابه المستصفى</w:t>
      </w:r>
      <w:r w:rsidR="00730F79" w:rsidRPr="00730F79">
        <w:rPr>
          <w:rFonts w:ascii="Arabic Transparent" w:hAnsi="Arabic Transparent" w:cs="Arabic Transparent" w:hint="cs"/>
          <w:sz w:val="28"/>
          <w:szCs w:val="28"/>
          <w:vertAlign w:val="superscript"/>
          <w:rtl/>
          <w:lang w:bidi="ar-JO"/>
        </w:rPr>
        <w:t>(</w:t>
      </w:r>
      <w:r w:rsidR="00730F79" w:rsidRPr="00730F79">
        <w:rPr>
          <w:rStyle w:val="FootnoteReference"/>
          <w:rFonts w:ascii="Arabic Transparent" w:hAnsi="Arabic Transparent" w:cs="Arabic Transparent" w:hint="cs"/>
          <w:sz w:val="28"/>
          <w:szCs w:val="28"/>
          <w:rtl/>
          <w:lang w:bidi="ar-JO"/>
        </w:rPr>
        <w:footnoteReference w:id="80"/>
      </w:r>
      <w:r w:rsidR="00730F79" w:rsidRPr="00730F79">
        <w:rPr>
          <w:rFonts w:ascii="Arabic Transparent" w:hAnsi="Arabic Transparent" w:cs="Arabic Transparent" w:hint="cs"/>
          <w:sz w:val="28"/>
          <w:szCs w:val="28"/>
          <w:vertAlign w:val="superscript"/>
          <w:rtl/>
          <w:lang w:bidi="ar-JO"/>
        </w:rPr>
        <w:t>)</w:t>
      </w:r>
      <w:r w:rsidR="00040FBF" w:rsidRPr="00B529EB">
        <w:rPr>
          <w:rFonts w:ascii="Arabic Transparent" w:hAnsi="Arabic Transparent" w:cs="Arabic Transparent" w:hint="cs"/>
          <w:sz w:val="28"/>
          <w:szCs w:val="28"/>
          <w:rtl/>
          <w:lang w:bidi="ar-JO"/>
        </w:rPr>
        <w:t xml:space="preserve">، حيث </w:t>
      </w:r>
      <w:r w:rsidR="004A6407" w:rsidRPr="00B529EB">
        <w:rPr>
          <w:rFonts w:ascii="Arabic Transparent" w:hAnsi="Arabic Transparent" w:cs="Arabic Transparent" w:hint="cs"/>
          <w:sz w:val="28"/>
          <w:szCs w:val="28"/>
          <w:rtl/>
          <w:lang w:bidi="ar-JO"/>
        </w:rPr>
        <w:t>اعتبروه</w:t>
      </w:r>
      <w:r w:rsidR="00040FBF" w:rsidRPr="00B529EB">
        <w:rPr>
          <w:rFonts w:ascii="Arabic Transparent" w:hAnsi="Arabic Transparent" w:cs="Arabic Transparent" w:hint="cs"/>
          <w:sz w:val="28"/>
          <w:szCs w:val="28"/>
          <w:rtl/>
          <w:lang w:bidi="ar-JO"/>
        </w:rPr>
        <w:t xml:space="preserve"> أهم مسالك الاجتهاد</w:t>
      </w:r>
      <w:r w:rsidR="00B44A52">
        <w:rPr>
          <w:rFonts w:ascii="Arabic Transparent" w:hAnsi="Arabic Transparent" w:cs="Arabic Transparent" w:hint="cs"/>
          <w:sz w:val="28"/>
          <w:szCs w:val="28"/>
          <w:rtl/>
          <w:lang w:bidi="ar-JO"/>
        </w:rPr>
        <w:t xml:space="preserve"> التنزيلي،</w:t>
      </w:r>
      <w:r w:rsidR="00040FBF" w:rsidRPr="00B529EB">
        <w:rPr>
          <w:rFonts w:ascii="Arabic Transparent" w:hAnsi="Arabic Transparent" w:cs="Arabic Transparent" w:hint="cs"/>
          <w:sz w:val="28"/>
          <w:szCs w:val="28"/>
          <w:rtl/>
          <w:lang w:bidi="ar-JO"/>
        </w:rPr>
        <w:t xml:space="preserve"> والتي من خلالها يتم تنزيل النصوص على الوقائع</w:t>
      </w:r>
      <w:r w:rsidR="00040FBF" w:rsidRPr="00B529EB">
        <w:rPr>
          <w:rFonts w:ascii="Arabic Transparent" w:hAnsi="Arabic Transparent" w:cs="Arabic Transparent" w:hint="cs"/>
          <w:sz w:val="28"/>
          <w:szCs w:val="28"/>
          <w:vertAlign w:val="superscript"/>
          <w:rtl/>
          <w:lang w:bidi="ar-JO"/>
        </w:rPr>
        <w:t>(</w:t>
      </w:r>
      <w:r w:rsidR="00040FBF" w:rsidRPr="00B529EB">
        <w:rPr>
          <w:rStyle w:val="FootnoteReference"/>
          <w:rFonts w:ascii="Arabic Transparent" w:hAnsi="Arabic Transparent" w:cs="Arabic Transparent" w:hint="cs"/>
          <w:sz w:val="28"/>
          <w:szCs w:val="28"/>
          <w:rtl/>
          <w:lang w:bidi="ar-JO"/>
        </w:rPr>
        <w:footnoteReference w:id="81"/>
      </w:r>
      <w:r w:rsidR="00040FBF" w:rsidRPr="00B529EB">
        <w:rPr>
          <w:rFonts w:ascii="Arabic Transparent" w:hAnsi="Arabic Transparent" w:cs="Arabic Transparent" w:hint="cs"/>
          <w:sz w:val="28"/>
          <w:szCs w:val="28"/>
          <w:vertAlign w:val="superscript"/>
          <w:rtl/>
          <w:lang w:bidi="ar-JO"/>
        </w:rPr>
        <w:t>)</w:t>
      </w:r>
      <w:r w:rsidR="000F026C">
        <w:rPr>
          <w:rFonts w:ascii="Arabic Transparent" w:hAnsi="Arabic Transparent" w:cs="Arabic Transparent" w:hint="cs"/>
          <w:sz w:val="28"/>
          <w:szCs w:val="28"/>
          <w:vertAlign w:val="superscript"/>
          <w:rtl/>
          <w:lang w:bidi="ar-JO"/>
        </w:rPr>
        <w:t xml:space="preserve">، </w:t>
      </w:r>
      <w:r w:rsidR="00D31CC0" w:rsidRPr="00B529EB">
        <w:rPr>
          <w:rFonts w:ascii="Arabic Transparent" w:hAnsi="Arabic Transparent" w:cs="Arabic Transparent" w:hint="cs"/>
          <w:sz w:val="28"/>
          <w:szCs w:val="28"/>
          <w:rtl/>
          <w:lang w:bidi="ar-JO"/>
        </w:rPr>
        <w:t>ثم تت</w:t>
      </w:r>
      <w:r w:rsidR="004A6407" w:rsidRPr="00B529EB">
        <w:rPr>
          <w:rFonts w:ascii="Arabic Transparent" w:hAnsi="Arabic Transparent" w:cs="Arabic Transparent" w:hint="cs"/>
          <w:sz w:val="28"/>
          <w:szCs w:val="28"/>
          <w:rtl/>
          <w:lang w:bidi="ar-JO"/>
        </w:rPr>
        <w:t>ا</w:t>
      </w:r>
      <w:r w:rsidR="00D31CC0" w:rsidRPr="00B529EB">
        <w:rPr>
          <w:rFonts w:ascii="Arabic Transparent" w:hAnsi="Arabic Transparent" w:cs="Arabic Transparent" w:hint="cs"/>
          <w:sz w:val="28"/>
          <w:szCs w:val="28"/>
          <w:rtl/>
          <w:lang w:bidi="ar-JO"/>
        </w:rPr>
        <w:t xml:space="preserve">بع الأصوليون من بعدهما على تداول مصطلح تحقيق المناط في سياق الحديث عن مسالك العلة، وتحديداً عند توضيحهم لتخريج المناط، وتنقيح المناط، إلى أن جاء الشاطبي فبين </w:t>
      </w:r>
      <w:r w:rsidR="004A6407" w:rsidRPr="00B529EB">
        <w:rPr>
          <w:rFonts w:ascii="Arabic Transparent" w:hAnsi="Arabic Transparent" w:cs="Arabic Transparent" w:hint="cs"/>
          <w:sz w:val="28"/>
          <w:szCs w:val="28"/>
          <w:rtl/>
          <w:lang w:bidi="ar-JO"/>
        </w:rPr>
        <w:t>التفاصيل المتعلقة به، وتوسع في أقسامه إلى عام وخاص وغيرها، وأظهر أهميته ومكانته في عملية الاجتهاد</w:t>
      </w:r>
      <w:r w:rsidR="00730F79">
        <w:rPr>
          <w:rFonts w:ascii="Arabic Transparent" w:hAnsi="Arabic Transparent" w:cs="Arabic Transparent" w:hint="cs"/>
          <w:sz w:val="28"/>
          <w:szCs w:val="28"/>
          <w:rtl/>
          <w:lang w:bidi="ar-JO"/>
        </w:rPr>
        <w:t xml:space="preserve"> التنزيلي</w:t>
      </w:r>
      <w:r w:rsidR="004A6407" w:rsidRPr="00B529EB">
        <w:rPr>
          <w:rFonts w:ascii="Arabic Transparent" w:hAnsi="Arabic Transparent" w:cs="Arabic Transparent" w:hint="cs"/>
          <w:sz w:val="28"/>
          <w:szCs w:val="28"/>
          <w:vertAlign w:val="superscript"/>
          <w:rtl/>
          <w:lang w:bidi="ar-JO"/>
        </w:rPr>
        <w:t>(</w:t>
      </w:r>
      <w:r w:rsidR="004A6407" w:rsidRPr="00B529EB">
        <w:rPr>
          <w:rStyle w:val="FootnoteReference"/>
          <w:rFonts w:ascii="Arabic Transparent" w:hAnsi="Arabic Transparent" w:cs="Arabic Transparent" w:hint="cs"/>
          <w:sz w:val="28"/>
          <w:szCs w:val="28"/>
          <w:rtl/>
          <w:lang w:bidi="ar-JO"/>
        </w:rPr>
        <w:footnoteReference w:id="82"/>
      </w:r>
      <w:r w:rsidR="004A6407" w:rsidRPr="00B529EB">
        <w:rPr>
          <w:rFonts w:ascii="Arabic Transparent" w:hAnsi="Arabic Transparent" w:cs="Arabic Transparent" w:hint="cs"/>
          <w:sz w:val="28"/>
          <w:szCs w:val="28"/>
          <w:vertAlign w:val="superscript"/>
          <w:rtl/>
          <w:lang w:bidi="ar-JO"/>
        </w:rPr>
        <w:t>)</w:t>
      </w:r>
      <w:r w:rsidR="004A6407" w:rsidRPr="00B529EB">
        <w:rPr>
          <w:rFonts w:ascii="Arabic Transparent" w:hAnsi="Arabic Transparent" w:cs="Arabic Transparent" w:hint="cs"/>
          <w:sz w:val="28"/>
          <w:szCs w:val="28"/>
          <w:rtl/>
          <w:lang w:bidi="ar-JO"/>
        </w:rPr>
        <w:t>.</w:t>
      </w:r>
    </w:p>
    <w:p w14:paraId="5F5AFA4E" w14:textId="34091796" w:rsidR="00730F79" w:rsidRDefault="005D7B91" w:rsidP="004048F1">
      <w:pPr>
        <w:spacing w:after="0" w:line="360" w:lineRule="auto"/>
        <w:ind w:firstLine="48"/>
        <w:jc w:val="both"/>
        <w:rPr>
          <w:rFonts w:ascii="Arabic Transparent" w:hAnsi="Arabic Transparent" w:cs="Arabic Transparent"/>
          <w:sz w:val="28"/>
          <w:szCs w:val="28"/>
          <w:rtl/>
          <w:lang w:bidi="ar-JO"/>
        </w:rPr>
      </w:pPr>
      <w:r>
        <w:rPr>
          <w:rFonts w:ascii="Arabic Transparent" w:hAnsi="Arabic Transparent" w:cs="Arabic Transparent" w:hint="cs"/>
          <w:sz w:val="28"/>
          <w:szCs w:val="28"/>
          <w:rtl/>
          <w:lang w:bidi="ar-JO"/>
        </w:rPr>
        <w:t xml:space="preserve">     </w:t>
      </w:r>
      <w:r w:rsidR="00B2298F" w:rsidRPr="00B529EB">
        <w:rPr>
          <w:rFonts w:ascii="Arabic Transparent" w:hAnsi="Arabic Transparent" w:cs="Arabic Transparent" w:hint="cs"/>
          <w:sz w:val="28"/>
          <w:szCs w:val="28"/>
          <w:rtl/>
          <w:lang w:bidi="ar-JO"/>
        </w:rPr>
        <w:t xml:space="preserve">وبعد الشاطبي استمر العلماء في الحديث عن تحقيق المناط الخاص من أجل تجلية جميع الجزئيات العلمية التي تتعلق به، </w:t>
      </w:r>
      <w:r w:rsidR="00442B07" w:rsidRPr="00B529EB">
        <w:rPr>
          <w:rFonts w:ascii="Arabic Transparent" w:hAnsi="Arabic Transparent" w:cs="Arabic Transparent" w:hint="cs"/>
          <w:sz w:val="28"/>
          <w:szCs w:val="28"/>
          <w:rtl/>
          <w:lang w:bidi="ar-JO"/>
        </w:rPr>
        <w:t>فاعتبروه</w:t>
      </w:r>
      <w:r w:rsidR="00B2298F" w:rsidRPr="00B529EB">
        <w:rPr>
          <w:rFonts w:ascii="Arabic Transparent" w:hAnsi="Arabic Transparent" w:cs="Arabic Transparent" w:hint="cs"/>
          <w:sz w:val="28"/>
          <w:szCs w:val="28"/>
          <w:rtl/>
          <w:lang w:bidi="ar-JO"/>
        </w:rPr>
        <w:t xml:space="preserve"> من أبرز أدوات الاجتهاد العلمي في الفقه التطبيقي، خصوصاً في مجالات القضاء</w:t>
      </w:r>
      <w:r w:rsidR="00442B07">
        <w:rPr>
          <w:rFonts w:ascii="Arabic Transparent" w:hAnsi="Arabic Transparent" w:cs="Arabic Transparent" w:hint="cs"/>
          <w:sz w:val="28"/>
          <w:szCs w:val="28"/>
          <w:rtl/>
          <w:lang w:bidi="ar-JO"/>
        </w:rPr>
        <w:t>،</w:t>
      </w:r>
      <w:r w:rsidR="00B2298F" w:rsidRPr="00B529EB">
        <w:rPr>
          <w:rFonts w:ascii="Arabic Transparent" w:hAnsi="Arabic Transparent" w:cs="Arabic Transparent" w:hint="cs"/>
          <w:sz w:val="28"/>
          <w:szCs w:val="28"/>
          <w:rtl/>
          <w:lang w:bidi="ar-JO"/>
        </w:rPr>
        <w:t xml:space="preserve"> وال</w:t>
      </w:r>
      <w:r w:rsidR="006C2330">
        <w:rPr>
          <w:rFonts w:ascii="Arabic Transparent" w:hAnsi="Arabic Transparent" w:cs="Arabic Transparent" w:hint="cs"/>
          <w:sz w:val="28"/>
          <w:szCs w:val="28"/>
          <w:rtl/>
          <w:lang w:bidi="ar-JO"/>
        </w:rPr>
        <w:t>إفتاء</w:t>
      </w:r>
      <w:r w:rsidR="00442B07">
        <w:rPr>
          <w:rFonts w:ascii="Arabic Transparent" w:hAnsi="Arabic Transparent" w:cs="Arabic Transparent" w:hint="cs"/>
          <w:sz w:val="28"/>
          <w:szCs w:val="28"/>
          <w:rtl/>
          <w:lang w:bidi="ar-JO"/>
        </w:rPr>
        <w:t>،</w:t>
      </w:r>
      <w:r w:rsidR="00B2298F" w:rsidRPr="00B529EB">
        <w:rPr>
          <w:rFonts w:ascii="Arabic Transparent" w:hAnsi="Arabic Transparent" w:cs="Arabic Transparent" w:hint="cs"/>
          <w:sz w:val="28"/>
          <w:szCs w:val="28"/>
          <w:rtl/>
          <w:lang w:bidi="ar-JO"/>
        </w:rPr>
        <w:t xml:space="preserve"> والسياسة الشرعية، وقد أولى المتأخرون من الأصوليين والفقهاء عناية</w:t>
      </w:r>
      <w:r w:rsidR="00442B07">
        <w:rPr>
          <w:rFonts w:ascii="Arabic Transparent" w:hAnsi="Arabic Transparent" w:cs="Arabic Transparent" w:hint="cs"/>
          <w:sz w:val="28"/>
          <w:szCs w:val="28"/>
          <w:rtl/>
          <w:lang w:bidi="ar-JO"/>
        </w:rPr>
        <w:t>ً</w:t>
      </w:r>
      <w:r w:rsidR="00B2298F" w:rsidRPr="00B529EB">
        <w:rPr>
          <w:rFonts w:ascii="Arabic Transparent" w:hAnsi="Arabic Transparent" w:cs="Arabic Transparent" w:hint="cs"/>
          <w:sz w:val="28"/>
          <w:szCs w:val="28"/>
          <w:rtl/>
          <w:lang w:bidi="ar-JO"/>
        </w:rPr>
        <w:t xml:space="preserve"> بالغة</w:t>
      </w:r>
      <w:r w:rsidR="00442B07">
        <w:rPr>
          <w:rFonts w:ascii="Arabic Transparent" w:hAnsi="Arabic Transparent" w:cs="Arabic Transparent" w:hint="cs"/>
          <w:sz w:val="28"/>
          <w:szCs w:val="28"/>
          <w:rtl/>
          <w:lang w:bidi="ar-JO"/>
        </w:rPr>
        <w:t>ً</w:t>
      </w:r>
      <w:r w:rsidR="00B2298F" w:rsidRPr="00B529EB">
        <w:rPr>
          <w:rFonts w:ascii="Arabic Transparent" w:hAnsi="Arabic Transparent" w:cs="Arabic Transparent" w:hint="cs"/>
          <w:sz w:val="28"/>
          <w:szCs w:val="28"/>
          <w:rtl/>
          <w:lang w:bidi="ar-JO"/>
        </w:rPr>
        <w:t xml:space="preserve"> </w:t>
      </w:r>
      <w:r w:rsidR="00730F79">
        <w:rPr>
          <w:rFonts w:ascii="Arabic Transparent" w:hAnsi="Arabic Transparent" w:cs="Arabic Transparent" w:hint="cs"/>
          <w:sz w:val="28"/>
          <w:szCs w:val="28"/>
          <w:rtl/>
          <w:lang w:bidi="ar-JO"/>
        </w:rPr>
        <w:t>ل</w:t>
      </w:r>
      <w:r w:rsidR="00B2298F" w:rsidRPr="00B529EB">
        <w:rPr>
          <w:rFonts w:ascii="Arabic Transparent" w:hAnsi="Arabic Transparent" w:cs="Arabic Transparent" w:hint="cs"/>
          <w:sz w:val="28"/>
          <w:szCs w:val="28"/>
          <w:rtl/>
          <w:lang w:bidi="ar-JO"/>
        </w:rPr>
        <w:t xml:space="preserve">هذا النوع من التحقيق، باعتباره حلقة وصل بين الحكم الشرعي المجرد والواقعة الجزئية </w:t>
      </w:r>
      <w:r w:rsidR="00870C32" w:rsidRPr="00B529EB">
        <w:rPr>
          <w:rFonts w:ascii="Arabic Transparent" w:hAnsi="Arabic Transparent" w:cs="Arabic Transparent" w:hint="cs"/>
          <w:sz w:val="28"/>
          <w:szCs w:val="28"/>
          <w:rtl/>
          <w:lang w:bidi="ar-JO"/>
        </w:rPr>
        <w:t>المعاصرة، ومن هؤلاء العلماء ابن تيمية</w:t>
      </w:r>
      <w:r w:rsidR="00D9038F">
        <w:rPr>
          <w:rFonts w:ascii="Arabic Transparent" w:hAnsi="Arabic Transparent" w:cs="Arabic Transparent" w:hint="cs"/>
          <w:sz w:val="28"/>
          <w:szCs w:val="28"/>
          <w:rtl/>
          <w:lang w:bidi="ar-JO"/>
        </w:rPr>
        <w:t xml:space="preserve">، </w:t>
      </w:r>
      <w:r w:rsidR="00870C32" w:rsidRPr="00B529EB">
        <w:rPr>
          <w:rFonts w:ascii="Arabic Transparent" w:hAnsi="Arabic Transparent" w:cs="Arabic Transparent" w:hint="cs"/>
          <w:sz w:val="28"/>
          <w:szCs w:val="28"/>
          <w:rtl/>
          <w:lang w:bidi="ar-JO"/>
        </w:rPr>
        <w:t xml:space="preserve">حيث أشار إلى تحقيق المناط الخاص </w:t>
      </w:r>
      <w:r w:rsidR="00870C32" w:rsidRPr="00B529EB">
        <w:rPr>
          <w:rFonts w:ascii="Arabic Transparent" w:hAnsi="Arabic Transparent" w:cs="Arabic Transparent" w:hint="cs"/>
          <w:sz w:val="28"/>
          <w:szCs w:val="28"/>
          <w:rtl/>
          <w:lang w:bidi="ar-JO"/>
        </w:rPr>
        <w:lastRenderedPageBreak/>
        <w:t>واعتبره أداة</w:t>
      </w:r>
      <w:r w:rsidR="00442B07">
        <w:rPr>
          <w:rFonts w:ascii="Arabic Transparent" w:hAnsi="Arabic Transparent" w:cs="Arabic Transparent" w:hint="cs"/>
          <w:sz w:val="28"/>
          <w:szCs w:val="28"/>
          <w:rtl/>
          <w:lang w:bidi="ar-JO"/>
        </w:rPr>
        <w:t>ً</w:t>
      </w:r>
      <w:r w:rsidR="00870C32" w:rsidRPr="00B529EB">
        <w:rPr>
          <w:rFonts w:ascii="Arabic Transparent" w:hAnsi="Arabic Transparent" w:cs="Arabic Transparent" w:hint="cs"/>
          <w:sz w:val="28"/>
          <w:szCs w:val="28"/>
          <w:rtl/>
          <w:lang w:bidi="ar-JO"/>
        </w:rPr>
        <w:t xml:space="preserve"> لا غنى عنها في تنزيل الأحكام الشرعية </w:t>
      </w:r>
      <w:r w:rsidR="00442B07">
        <w:rPr>
          <w:rFonts w:ascii="Arabic Transparent" w:hAnsi="Arabic Transparent" w:cs="Arabic Transparent" w:hint="cs"/>
          <w:sz w:val="28"/>
          <w:szCs w:val="28"/>
          <w:rtl/>
          <w:lang w:bidi="ar-JO"/>
        </w:rPr>
        <w:t>على</w:t>
      </w:r>
      <w:r w:rsidR="00870C32" w:rsidRPr="00B529EB">
        <w:rPr>
          <w:rFonts w:ascii="Arabic Transparent" w:hAnsi="Arabic Transparent" w:cs="Arabic Transparent" w:hint="cs"/>
          <w:sz w:val="28"/>
          <w:szCs w:val="28"/>
          <w:rtl/>
          <w:lang w:bidi="ar-JO"/>
        </w:rPr>
        <w:t xml:space="preserve"> واقع الناس تحديداً في النوازل المتغيرة، حيث قال: "</w:t>
      </w:r>
      <w:r w:rsidR="001F0340" w:rsidRPr="00B529EB">
        <w:rPr>
          <w:rFonts w:ascii="Arabic Transparent" w:hAnsi="Arabic Transparent" w:cs="Arabic Transparent" w:hint="cs"/>
          <w:sz w:val="28"/>
          <w:szCs w:val="28"/>
          <w:rtl/>
          <w:lang w:bidi="ar-JO"/>
        </w:rPr>
        <w:t>‌تحقيق ‌المناط ليس مما يقبل النزاع باتفاق العلماء وهو جماع الاجتهاد</w:t>
      </w:r>
      <w:r w:rsidR="00870C32" w:rsidRPr="00B529EB">
        <w:rPr>
          <w:rFonts w:ascii="Arabic Transparent" w:hAnsi="Arabic Transparent" w:cs="Arabic Transparent" w:hint="cs"/>
          <w:sz w:val="28"/>
          <w:szCs w:val="28"/>
          <w:rtl/>
          <w:lang w:bidi="ar-JO"/>
        </w:rPr>
        <w:t>"</w:t>
      </w:r>
      <w:r w:rsidR="00870C32" w:rsidRPr="00B529EB">
        <w:rPr>
          <w:rFonts w:ascii="Arabic Transparent" w:hAnsi="Arabic Transparent" w:cs="Arabic Transparent" w:hint="cs"/>
          <w:sz w:val="28"/>
          <w:szCs w:val="28"/>
          <w:vertAlign w:val="superscript"/>
          <w:rtl/>
          <w:lang w:bidi="ar-JO"/>
        </w:rPr>
        <w:t>(</w:t>
      </w:r>
      <w:r w:rsidR="00870C32" w:rsidRPr="00B529EB">
        <w:rPr>
          <w:rStyle w:val="FootnoteReference"/>
          <w:rFonts w:ascii="Arabic Transparent" w:hAnsi="Arabic Transparent" w:cs="Arabic Transparent" w:hint="cs"/>
          <w:sz w:val="28"/>
          <w:szCs w:val="28"/>
          <w:rtl/>
          <w:lang w:bidi="ar-JO"/>
        </w:rPr>
        <w:footnoteReference w:id="83"/>
      </w:r>
      <w:r w:rsidR="00870C32" w:rsidRPr="00B529EB">
        <w:rPr>
          <w:rFonts w:ascii="Arabic Transparent" w:hAnsi="Arabic Transparent" w:cs="Arabic Transparent" w:hint="cs"/>
          <w:sz w:val="28"/>
          <w:szCs w:val="28"/>
          <w:vertAlign w:val="superscript"/>
          <w:rtl/>
          <w:lang w:bidi="ar-JO"/>
        </w:rPr>
        <w:t>)</w:t>
      </w:r>
      <w:r w:rsidR="00730F79">
        <w:rPr>
          <w:rFonts w:ascii="Arabic Transparent" w:hAnsi="Arabic Transparent" w:cs="Arabic Transparent" w:hint="cs"/>
          <w:sz w:val="28"/>
          <w:szCs w:val="28"/>
          <w:rtl/>
          <w:lang w:bidi="ar-JO"/>
        </w:rPr>
        <w:t>.</w:t>
      </w:r>
    </w:p>
    <w:p w14:paraId="5BDAB014" w14:textId="77777777" w:rsidR="00730F79" w:rsidRDefault="00730F79">
      <w:pPr>
        <w:bidi w:val="0"/>
        <w:spacing w:after="0" w:line="240" w:lineRule="auto"/>
        <w:rPr>
          <w:rFonts w:ascii="Arabic Transparent" w:hAnsi="Arabic Transparent" w:cs="Arabic Transparent"/>
          <w:sz w:val="28"/>
          <w:szCs w:val="28"/>
          <w:rtl/>
          <w:lang w:bidi="ar-JO"/>
        </w:rPr>
      </w:pPr>
      <w:r>
        <w:rPr>
          <w:rFonts w:ascii="Arabic Transparent" w:hAnsi="Arabic Transparent" w:cs="Arabic Transparent"/>
          <w:sz w:val="28"/>
          <w:szCs w:val="28"/>
          <w:rtl/>
          <w:lang w:bidi="ar-JO"/>
        </w:rPr>
        <w:br w:type="page"/>
      </w:r>
    </w:p>
    <w:p w14:paraId="4F13D83D" w14:textId="7C9142F6" w:rsidR="00870C32" w:rsidRPr="00B529EB" w:rsidRDefault="00730F79" w:rsidP="00870C32">
      <w:pPr>
        <w:spacing w:after="0" w:line="360" w:lineRule="auto"/>
        <w:ind w:firstLine="48"/>
        <w:jc w:val="both"/>
        <w:rPr>
          <w:rFonts w:ascii="Arabic Transparent" w:hAnsi="Arabic Transparent" w:cs="Arabic Transparent"/>
          <w:sz w:val="28"/>
          <w:szCs w:val="28"/>
          <w:vertAlign w:val="superscript"/>
          <w:rtl/>
          <w:lang w:bidi="ar-JO"/>
        </w:rPr>
      </w:pPr>
      <w:r>
        <w:rPr>
          <w:rFonts w:ascii="Arabic Transparent" w:hAnsi="Arabic Transparent" w:cs="Arabic Transparent" w:hint="cs"/>
          <w:sz w:val="28"/>
          <w:szCs w:val="28"/>
          <w:rtl/>
          <w:lang w:bidi="ar-JO"/>
        </w:rPr>
        <w:t xml:space="preserve">     </w:t>
      </w:r>
      <w:r w:rsidR="00870C32" w:rsidRPr="00B529EB">
        <w:rPr>
          <w:rFonts w:ascii="Arabic Transparent" w:hAnsi="Arabic Transparent" w:cs="Arabic Transparent" w:hint="cs"/>
          <w:sz w:val="28"/>
          <w:szCs w:val="28"/>
          <w:rtl/>
          <w:lang w:bidi="ar-JO"/>
        </w:rPr>
        <w:t>واستمر</w:t>
      </w:r>
      <w:r w:rsidR="00870C32" w:rsidRPr="00827CC8">
        <w:rPr>
          <w:rFonts w:ascii="Arabic Transparent" w:hAnsi="Arabic Transparent" w:cs="Arabic Transparent" w:hint="cs"/>
          <w:sz w:val="28"/>
          <w:szCs w:val="28"/>
          <w:rtl/>
          <w:lang w:bidi="ar-JO"/>
        </w:rPr>
        <w:t xml:space="preserve"> </w:t>
      </w:r>
      <w:r w:rsidR="00870C32" w:rsidRPr="00B529EB">
        <w:rPr>
          <w:rFonts w:ascii="Arabic Transparent" w:hAnsi="Arabic Transparent" w:cs="Arabic Transparent" w:hint="cs"/>
          <w:sz w:val="28"/>
          <w:szCs w:val="28"/>
          <w:rtl/>
          <w:lang w:bidi="ar-JO"/>
        </w:rPr>
        <w:t>على هذا النهج تلميذه ابن القيم الجوزية</w:t>
      </w:r>
      <w:r w:rsidR="00D9038F">
        <w:rPr>
          <w:rFonts w:ascii="Arabic Transparent" w:hAnsi="Arabic Transparent" w:cs="Arabic Transparent" w:hint="cs"/>
          <w:sz w:val="28"/>
          <w:szCs w:val="28"/>
          <w:rtl/>
          <w:lang w:bidi="ar-JO"/>
        </w:rPr>
        <w:t xml:space="preserve"> </w:t>
      </w:r>
      <w:r w:rsidR="00870C32" w:rsidRPr="00B529EB">
        <w:rPr>
          <w:rFonts w:ascii="Arabic Transparent" w:hAnsi="Arabic Transparent" w:cs="Arabic Transparent" w:hint="cs"/>
          <w:sz w:val="28"/>
          <w:szCs w:val="28"/>
          <w:rtl/>
          <w:lang w:bidi="ar-JO"/>
        </w:rPr>
        <w:t xml:space="preserve">الذي </w:t>
      </w:r>
      <w:r>
        <w:rPr>
          <w:rFonts w:ascii="Arabic Transparent" w:hAnsi="Arabic Transparent" w:cs="Arabic Transparent" w:hint="cs"/>
          <w:sz w:val="28"/>
          <w:szCs w:val="28"/>
          <w:rtl/>
          <w:lang w:bidi="ar-JO"/>
        </w:rPr>
        <w:t>عبّر</w:t>
      </w:r>
      <w:r w:rsidR="00870C32" w:rsidRPr="00B529EB">
        <w:rPr>
          <w:rFonts w:ascii="Arabic Transparent" w:hAnsi="Arabic Transparent" w:cs="Arabic Transparent" w:hint="cs"/>
          <w:sz w:val="28"/>
          <w:szCs w:val="28"/>
          <w:rtl/>
          <w:lang w:bidi="ar-JO"/>
        </w:rPr>
        <w:t xml:space="preserve"> في كتابه إعلام الموقعين </w:t>
      </w:r>
      <w:r w:rsidR="00442B07">
        <w:rPr>
          <w:rFonts w:ascii="Arabic Transparent" w:hAnsi="Arabic Transparent" w:cs="Arabic Transparent" w:hint="cs"/>
          <w:sz w:val="28"/>
          <w:szCs w:val="28"/>
          <w:rtl/>
          <w:lang w:bidi="ar-JO"/>
        </w:rPr>
        <w:t xml:space="preserve">عن ربّ العالمين، </w:t>
      </w:r>
      <w:r>
        <w:rPr>
          <w:rFonts w:ascii="Arabic Transparent" w:hAnsi="Arabic Transparent" w:cs="Arabic Transparent" w:hint="cs"/>
          <w:sz w:val="28"/>
          <w:szCs w:val="28"/>
          <w:rtl/>
          <w:lang w:bidi="ar-JO"/>
        </w:rPr>
        <w:t>عن</w:t>
      </w:r>
      <w:r w:rsidR="00870C32" w:rsidRPr="00B529EB">
        <w:rPr>
          <w:rFonts w:ascii="Arabic Transparent" w:hAnsi="Arabic Transparent" w:cs="Arabic Transparent" w:hint="cs"/>
          <w:sz w:val="28"/>
          <w:szCs w:val="28"/>
          <w:rtl/>
          <w:lang w:bidi="ar-JO"/>
        </w:rPr>
        <w:t xml:space="preserve"> أهمية النظر في الأعيان والجزئيات، وأنه لا يصح تنزيل الحكم الشرعي إلا بعد فحص الواقع والتأكد من انطباق مناط الحكم عليه</w:t>
      </w:r>
      <w:r w:rsidRPr="00B529EB">
        <w:rPr>
          <w:rFonts w:ascii="Arabic Transparent" w:hAnsi="Arabic Transparent" w:cs="Arabic Transparent" w:hint="cs"/>
          <w:sz w:val="28"/>
          <w:szCs w:val="28"/>
          <w:vertAlign w:val="superscript"/>
          <w:rtl/>
          <w:lang w:bidi="ar-JO"/>
        </w:rPr>
        <w:t>(</w:t>
      </w:r>
      <w:r w:rsidRPr="00B529EB">
        <w:rPr>
          <w:rStyle w:val="FootnoteReference"/>
          <w:rFonts w:ascii="Arabic Transparent" w:hAnsi="Arabic Transparent" w:cs="Arabic Transparent" w:hint="cs"/>
          <w:sz w:val="28"/>
          <w:szCs w:val="28"/>
          <w:rtl/>
          <w:lang w:bidi="ar-JO"/>
        </w:rPr>
        <w:footnoteReference w:id="84"/>
      </w:r>
      <w:r w:rsidRPr="00B529EB">
        <w:rPr>
          <w:rFonts w:ascii="Arabic Transparent" w:hAnsi="Arabic Transparent" w:cs="Arabic Transparent" w:hint="cs"/>
          <w:sz w:val="28"/>
          <w:szCs w:val="28"/>
          <w:vertAlign w:val="superscript"/>
          <w:rtl/>
          <w:lang w:bidi="ar-JO"/>
        </w:rPr>
        <w:t>)</w:t>
      </w:r>
      <w:r w:rsidR="00870C32" w:rsidRPr="00B529EB">
        <w:rPr>
          <w:rFonts w:ascii="Arabic Transparent" w:hAnsi="Arabic Transparent" w:cs="Arabic Transparent" w:hint="cs"/>
          <w:sz w:val="28"/>
          <w:szCs w:val="28"/>
          <w:rtl/>
          <w:lang w:bidi="ar-JO"/>
        </w:rPr>
        <w:t xml:space="preserve">، </w:t>
      </w:r>
      <w:r>
        <w:rPr>
          <w:rFonts w:ascii="Arabic Transparent" w:hAnsi="Arabic Transparent" w:cs="Arabic Transparent" w:hint="cs"/>
          <w:sz w:val="28"/>
          <w:szCs w:val="28"/>
          <w:rtl/>
          <w:lang w:bidi="ar-JO"/>
        </w:rPr>
        <w:t>فتعرض ل</w:t>
      </w:r>
      <w:r w:rsidR="00870C32" w:rsidRPr="00B529EB">
        <w:rPr>
          <w:rFonts w:ascii="Arabic Transparent" w:hAnsi="Arabic Transparent" w:cs="Arabic Transparent" w:hint="cs"/>
          <w:sz w:val="28"/>
          <w:szCs w:val="28"/>
          <w:rtl/>
          <w:lang w:bidi="ar-JO"/>
        </w:rPr>
        <w:t>حقيقة تحقيق المناط الخاص</w:t>
      </w:r>
      <w:r w:rsidR="00870C32" w:rsidRPr="000E1385">
        <w:rPr>
          <w:rFonts w:ascii="Arabic Transparent" w:hAnsi="Arabic Transparent" w:cs="Arabic Transparent" w:hint="cs"/>
          <w:sz w:val="28"/>
          <w:szCs w:val="28"/>
          <w:rtl/>
          <w:lang w:bidi="ar-JO"/>
        </w:rPr>
        <w:t>.</w:t>
      </w:r>
    </w:p>
    <w:p w14:paraId="7F296786" w14:textId="47BDBC6D" w:rsidR="004048F1" w:rsidRPr="003E6FE4" w:rsidRDefault="005D7B91" w:rsidP="004048F1">
      <w:pPr>
        <w:spacing w:after="0" w:line="360" w:lineRule="auto"/>
        <w:ind w:firstLine="48"/>
        <w:jc w:val="both"/>
        <w:rPr>
          <w:rFonts w:ascii="Arabic Transparent" w:hAnsi="Arabic Transparent" w:cs="Arabic Transparent"/>
          <w:sz w:val="28"/>
          <w:szCs w:val="28"/>
          <w:rtl/>
          <w:lang w:bidi="ar-JO"/>
        </w:rPr>
      </w:pPr>
      <w:r>
        <w:rPr>
          <w:rFonts w:ascii="Arabic Transparent" w:hAnsi="Arabic Transparent" w:cs="Arabic Transparent" w:hint="cs"/>
          <w:sz w:val="28"/>
          <w:szCs w:val="28"/>
          <w:rtl/>
          <w:lang w:bidi="ar-JO"/>
        </w:rPr>
        <w:t xml:space="preserve">     </w:t>
      </w:r>
      <w:r w:rsidR="00870C32" w:rsidRPr="00B529EB">
        <w:rPr>
          <w:rFonts w:ascii="Arabic Transparent" w:hAnsi="Arabic Transparent" w:cs="Arabic Transparent" w:hint="cs"/>
          <w:sz w:val="28"/>
          <w:szCs w:val="28"/>
          <w:rtl/>
          <w:lang w:bidi="ar-JO"/>
        </w:rPr>
        <w:t>ثم توسع العلماء في ال</w:t>
      </w:r>
      <w:r w:rsidR="006C2330">
        <w:rPr>
          <w:rFonts w:ascii="Arabic Transparent" w:hAnsi="Arabic Transparent" w:cs="Arabic Transparent" w:hint="cs"/>
          <w:sz w:val="28"/>
          <w:szCs w:val="28"/>
          <w:rtl/>
          <w:lang w:bidi="ar-JO"/>
        </w:rPr>
        <w:t>ت</w:t>
      </w:r>
      <w:r w:rsidR="00870C32" w:rsidRPr="00B529EB">
        <w:rPr>
          <w:rFonts w:ascii="Arabic Transparent" w:hAnsi="Arabic Transparent" w:cs="Arabic Transparent" w:hint="cs"/>
          <w:sz w:val="28"/>
          <w:szCs w:val="28"/>
          <w:rtl/>
          <w:lang w:bidi="ar-JO"/>
        </w:rPr>
        <w:t xml:space="preserve">فريق بين تحقيق المناط الخاص، الذي يتناول تحديد محل الحكم في </w:t>
      </w:r>
      <w:r w:rsidR="006C2330">
        <w:rPr>
          <w:rFonts w:ascii="Arabic Transparent" w:hAnsi="Arabic Transparent" w:cs="Arabic Transparent" w:hint="cs"/>
          <w:sz w:val="28"/>
          <w:szCs w:val="28"/>
          <w:rtl/>
          <w:lang w:bidi="ar-JO"/>
        </w:rPr>
        <w:t>ال</w:t>
      </w:r>
      <w:r w:rsidR="00870C32" w:rsidRPr="00B529EB">
        <w:rPr>
          <w:rFonts w:ascii="Arabic Transparent" w:hAnsi="Arabic Transparent" w:cs="Arabic Transparent" w:hint="cs"/>
          <w:sz w:val="28"/>
          <w:szCs w:val="28"/>
          <w:rtl/>
          <w:lang w:bidi="ar-JO"/>
        </w:rPr>
        <w:t xml:space="preserve">وقائع </w:t>
      </w:r>
      <w:r w:rsidR="006C2330">
        <w:rPr>
          <w:rFonts w:ascii="Arabic Transparent" w:hAnsi="Arabic Transparent" w:cs="Arabic Transparent" w:hint="cs"/>
          <w:sz w:val="28"/>
          <w:szCs w:val="28"/>
          <w:rtl/>
          <w:lang w:bidi="ar-JO"/>
        </w:rPr>
        <w:t>و</w:t>
      </w:r>
      <w:r w:rsidR="00870C32" w:rsidRPr="00B529EB">
        <w:rPr>
          <w:rFonts w:ascii="Arabic Transparent" w:hAnsi="Arabic Transparent" w:cs="Arabic Transparent" w:hint="cs"/>
          <w:sz w:val="28"/>
          <w:szCs w:val="28"/>
          <w:rtl/>
          <w:lang w:bidi="ar-JO"/>
        </w:rPr>
        <w:t>الأفراد</w:t>
      </w:r>
      <w:r w:rsidR="006C2330">
        <w:rPr>
          <w:rFonts w:ascii="Arabic Transparent" w:hAnsi="Arabic Transparent" w:cs="Arabic Transparent" w:hint="cs"/>
          <w:sz w:val="28"/>
          <w:szCs w:val="28"/>
          <w:rtl/>
          <w:lang w:bidi="ar-JO"/>
        </w:rPr>
        <w:t>،</w:t>
      </w:r>
      <w:r w:rsidR="00870C32" w:rsidRPr="00B529EB">
        <w:rPr>
          <w:rFonts w:ascii="Arabic Transparent" w:hAnsi="Arabic Transparent" w:cs="Arabic Transparent" w:hint="cs"/>
          <w:sz w:val="28"/>
          <w:szCs w:val="28"/>
          <w:rtl/>
          <w:lang w:bidi="ar-JO"/>
        </w:rPr>
        <w:t xml:space="preserve"> </w:t>
      </w:r>
      <w:r w:rsidR="0044605B" w:rsidRPr="00B529EB">
        <w:rPr>
          <w:rFonts w:ascii="Arabic Transparent" w:hAnsi="Arabic Transparent" w:cs="Arabic Transparent" w:hint="cs"/>
          <w:sz w:val="28"/>
          <w:szCs w:val="28"/>
          <w:rtl/>
          <w:lang w:bidi="ar-JO"/>
        </w:rPr>
        <w:t>مثل</w:t>
      </w:r>
      <w:r w:rsidR="00887D04">
        <w:rPr>
          <w:rFonts w:ascii="Arabic Transparent" w:hAnsi="Arabic Transparent" w:cs="Arabic Transparent" w:hint="cs"/>
          <w:sz w:val="28"/>
          <w:szCs w:val="28"/>
          <w:rtl/>
          <w:lang w:bidi="ar-JO"/>
        </w:rPr>
        <w:t>:</w:t>
      </w:r>
      <w:r w:rsidR="0044605B" w:rsidRPr="00B529EB">
        <w:rPr>
          <w:rFonts w:ascii="Arabic Transparent" w:hAnsi="Arabic Transparent" w:cs="Arabic Transparent" w:hint="cs"/>
          <w:sz w:val="28"/>
          <w:szCs w:val="28"/>
          <w:rtl/>
          <w:lang w:bidi="ar-JO"/>
        </w:rPr>
        <w:t xml:space="preserve"> الطوفي</w:t>
      </w:r>
      <w:r w:rsidR="00D9038F">
        <w:rPr>
          <w:rFonts w:ascii="Arabic Transparent" w:hAnsi="Arabic Transparent" w:cs="Arabic Transparent" w:hint="cs"/>
          <w:sz w:val="28"/>
          <w:szCs w:val="28"/>
          <w:rtl/>
          <w:lang w:bidi="ar-JO"/>
        </w:rPr>
        <w:t xml:space="preserve">، </w:t>
      </w:r>
      <w:r w:rsidR="0044605B" w:rsidRPr="00B529EB">
        <w:rPr>
          <w:rFonts w:ascii="Arabic Transparent" w:hAnsi="Arabic Transparent" w:cs="Arabic Transparent" w:hint="cs"/>
          <w:sz w:val="28"/>
          <w:szCs w:val="28"/>
          <w:rtl/>
          <w:lang w:bidi="ar-JO"/>
        </w:rPr>
        <w:t xml:space="preserve">حيث اهتم ببيان الجوانب التطبيقية لتحقيق </w:t>
      </w:r>
      <w:r w:rsidR="00EB7D70">
        <w:rPr>
          <w:rFonts w:ascii="Arabic Transparent" w:hAnsi="Arabic Transparent" w:cs="Arabic Transparent" w:hint="cs"/>
          <w:sz w:val="28"/>
          <w:szCs w:val="28"/>
          <w:rtl/>
          <w:lang w:bidi="ar-JO"/>
        </w:rPr>
        <w:t>ال</w:t>
      </w:r>
      <w:r w:rsidR="0044605B" w:rsidRPr="00B529EB">
        <w:rPr>
          <w:rFonts w:ascii="Arabic Transparent" w:hAnsi="Arabic Transparent" w:cs="Arabic Transparent" w:hint="cs"/>
          <w:sz w:val="28"/>
          <w:szCs w:val="28"/>
          <w:rtl/>
          <w:lang w:bidi="ar-JO"/>
        </w:rPr>
        <w:t>مناط في سياق الاستصلاح لتحقيق المصالح ودرء المفاسد</w:t>
      </w:r>
      <w:r w:rsidR="0044605B" w:rsidRPr="00B529EB">
        <w:rPr>
          <w:rFonts w:ascii="Arabic Transparent" w:hAnsi="Arabic Transparent" w:cs="Arabic Transparent" w:hint="cs"/>
          <w:sz w:val="28"/>
          <w:szCs w:val="28"/>
          <w:vertAlign w:val="superscript"/>
          <w:rtl/>
          <w:lang w:bidi="ar-JO"/>
        </w:rPr>
        <w:t>(</w:t>
      </w:r>
      <w:r w:rsidR="0044605B" w:rsidRPr="00B529EB">
        <w:rPr>
          <w:rStyle w:val="FootnoteReference"/>
          <w:rFonts w:ascii="Arabic Transparent" w:hAnsi="Arabic Transparent" w:cs="Arabic Transparent" w:hint="cs"/>
          <w:sz w:val="28"/>
          <w:szCs w:val="28"/>
          <w:rtl/>
          <w:lang w:bidi="ar-JO"/>
        </w:rPr>
        <w:footnoteReference w:id="85"/>
      </w:r>
      <w:r w:rsidR="0044605B" w:rsidRPr="00B529EB">
        <w:rPr>
          <w:rFonts w:ascii="Arabic Transparent" w:hAnsi="Arabic Transparent" w:cs="Arabic Transparent" w:hint="cs"/>
          <w:sz w:val="28"/>
          <w:szCs w:val="28"/>
          <w:vertAlign w:val="superscript"/>
          <w:rtl/>
          <w:lang w:bidi="ar-JO"/>
        </w:rPr>
        <w:t>)</w:t>
      </w:r>
      <w:r w:rsidR="003E6FE4">
        <w:rPr>
          <w:rFonts w:ascii="Arabic Transparent" w:hAnsi="Arabic Transparent" w:cs="Arabic Transparent" w:hint="cs"/>
          <w:sz w:val="28"/>
          <w:szCs w:val="28"/>
          <w:rtl/>
          <w:lang w:bidi="ar-JO"/>
        </w:rPr>
        <w:t>.</w:t>
      </w:r>
    </w:p>
    <w:p w14:paraId="2F0C1C8A" w14:textId="55C75674" w:rsidR="004048F1" w:rsidRDefault="005D7B91" w:rsidP="004048F1">
      <w:pPr>
        <w:spacing w:after="0" w:line="360" w:lineRule="auto"/>
        <w:ind w:firstLine="48"/>
        <w:jc w:val="both"/>
        <w:rPr>
          <w:rFonts w:ascii="Arabic Transparent" w:hAnsi="Arabic Transparent" w:cs="Arabic Transparent"/>
          <w:sz w:val="28"/>
          <w:szCs w:val="28"/>
          <w:vertAlign w:val="superscript"/>
          <w:rtl/>
          <w:lang w:bidi="ar-JO"/>
        </w:rPr>
      </w:pPr>
      <w:r>
        <w:rPr>
          <w:rFonts w:ascii="Arabic Transparent" w:hAnsi="Arabic Transparent" w:cs="Arabic Transparent" w:hint="cs"/>
          <w:sz w:val="28"/>
          <w:szCs w:val="28"/>
          <w:vertAlign w:val="superscript"/>
          <w:rtl/>
          <w:lang w:bidi="ar-JO"/>
        </w:rPr>
        <w:t xml:space="preserve">     </w:t>
      </w:r>
      <w:r w:rsidR="004048F1">
        <w:rPr>
          <w:rFonts w:ascii="Arabic Transparent" w:hAnsi="Arabic Transparent" w:cs="Arabic Transparent" w:hint="cs"/>
          <w:sz w:val="28"/>
          <w:szCs w:val="28"/>
          <w:vertAlign w:val="superscript"/>
          <w:rtl/>
          <w:lang w:bidi="ar-JO"/>
        </w:rPr>
        <w:t xml:space="preserve"> </w:t>
      </w:r>
      <w:r w:rsidR="0044605B" w:rsidRPr="00B529EB">
        <w:rPr>
          <w:rFonts w:ascii="Arabic Transparent" w:hAnsi="Arabic Transparent" w:cs="Arabic Transparent" w:hint="cs"/>
          <w:sz w:val="28"/>
          <w:szCs w:val="28"/>
          <w:rtl/>
          <w:lang w:bidi="ar-JO"/>
        </w:rPr>
        <w:t>ومن جانب آخر</w:t>
      </w:r>
      <w:r w:rsidR="006C2330">
        <w:rPr>
          <w:rFonts w:ascii="Arabic Transparent" w:hAnsi="Arabic Transparent" w:cs="Arabic Transparent" w:hint="cs"/>
          <w:sz w:val="28"/>
          <w:szCs w:val="28"/>
          <w:rtl/>
          <w:lang w:bidi="ar-JO"/>
        </w:rPr>
        <w:t>،</w:t>
      </w:r>
      <w:r w:rsidR="0044605B" w:rsidRPr="00B529EB">
        <w:rPr>
          <w:rFonts w:ascii="Arabic Transparent" w:hAnsi="Arabic Transparent" w:cs="Arabic Transparent" w:hint="cs"/>
          <w:sz w:val="28"/>
          <w:szCs w:val="28"/>
          <w:rtl/>
          <w:lang w:bidi="ar-JO"/>
        </w:rPr>
        <w:t xml:space="preserve"> نجد أن</w:t>
      </w:r>
      <w:r w:rsidR="006C2330">
        <w:rPr>
          <w:rFonts w:ascii="Arabic Transparent" w:hAnsi="Arabic Transparent" w:cs="Arabic Transparent" w:hint="cs"/>
          <w:sz w:val="28"/>
          <w:szCs w:val="28"/>
          <w:rtl/>
          <w:lang w:bidi="ar-JO"/>
        </w:rPr>
        <w:t>َّ</w:t>
      </w:r>
      <w:r w:rsidR="0044605B" w:rsidRPr="00B529EB">
        <w:rPr>
          <w:rFonts w:ascii="Arabic Transparent" w:hAnsi="Arabic Transparent" w:cs="Arabic Transparent" w:hint="cs"/>
          <w:sz w:val="28"/>
          <w:szCs w:val="28"/>
          <w:rtl/>
          <w:lang w:bidi="ar-JO"/>
        </w:rPr>
        <w:t xml:space="preserve"> علماء المالكية والحنابلة وطلابهم المتأخرين والمعاصرين الأكثر اهتماماً في استعمال تحقيق المناط الخاص في الاجتهادات الفقهية المتعلقة بالسياسة الشرعية والعلاقات الدولية والقضاء والإفتاء بتدر</w:t>
      </w:r>
      <w:r w:rsidR="006C2330">
        <w:rPr>
          <w:rFonts w:ascii="Arabic Transparent" w:hAnsi="Arabic Transparent" w:cs="Arabic Transparent" w:hint="cs"/>
          <w:sz w:val="28"/>
          <w:szCs w:val="28"/>
          <w:rtl/>
          <w:lang w:bidi="ar-JO"/>
        </w:rPr>
        <w:t>ُّ</w:t>
      </w:r>
      <w:r w:rsidR="0044605B" w:rsidRPr="00B529EB">
        <w:rPr>
          <w:rFonts w:ascii="Arabic Transparent" w:hAnsi="Arabic Transparent" w:cs="Arabic Transparent" w:hint="cs"/>
          <w:sz w:val="28"/>
          <w:szCs w:val="28"/>
          <w:rtl/>
          <w:lang w:bidi="ar-JO"/>
        </w:rPr>
        <w:t>ج يتناسب مع الخطوات العملية للاجتهاد</w:t>
      </w:r>
      <w:r w:rsidR="00EB7D70" w:rsidRPr="00B529EB">
        <w:rPr>
          <w:rFonts w:ascii="Arabic Transparent" w:hAnsi="Arabic Transparent" w:cs="Arabic Transparent" w:hint="cs"/>
          <w:sz w:val="28"/>
          <w:szCs w:val="28"/>
          <w:vertAlign w:val="superscript"/>
          <w:rtl/>
          <w:lang w:bidi="ar-JO"/>
        </w:rPr>
        <w:t>(</w:t>
      </w:r>
      <w:r w:rsidR="00EB7D70" w:rsidRPr="00B529EB">
        <w:rPr>
          <w:rStyle w:val="FootnoteReference"/>
          <w:rFonts w:ascii="Arabic Transparent" w:hAnsi="Arabic Transparent" w:cs="Arabic Transparent" w:hint="cs"/>
          <w:sz w:val="28"/>
          <w:szCs w:val="28"/>
          <w:rtl/>
          <w:lang w:bidi="ar-JO"/>
        </w:rPr>
        <w:footnoteReference w:id="86"/>
      </w:r>
      <w:r w:rsidR="00EB7D70" w:rsidRPr="00B529EB">
        <w:rPr>
          <w:rFonts w:ascii="Arabic Transparent" w:hAnsi="Arabic Transparent" w:cs="Arabic Transparent" w:hint="cs"/>
          <w:sz w:val="28"/>
          <w:szCs w:val="28"/>
          <w:vertAlign w:val="superscript"/>
          <w:rtl/>
          <w:lang w:bidi="ar-JO"/>
        </w:rPr>
        <w:t>)</w:t>
      </w:r>
      <w:r w:rsidR="00887D04">
        <w:rPr>
          <w:rFonts w:ascii="Arabic Transparent" w:hAnsi="Arabic Transparent" w:cs="Arabic Transparent" w:hint="cs"/>
          <w:sz w:val="28"/>
          <w:szCs w:val="28"/>
          <w:rtl/>
          <w:lang w:bidi="ar-JO"/>
        </w:rPr>
        <w:t xml:space="preserve">، </w:t>
      </w:r>
      <w:r w:rsidR="00F2447E" w:rsidRPr="00B529EB">
        <w:rPr>
          <w:rFonts w:ascii="Arabic Transparent" w:hAnsi="Arabic Transparent" w:cs="Arabic Transparent" w:hint="cs"/>
          <w:sz w:val="28"/>
          <w:szCs w:val="28"/>
          <w:rtl/>
          <w:lang w:bidi="ar-JO"/>
        </w:rPr>
        <w:t xml:space="preserve">وهذا </w:t>
      </w:r>
      <w:r w:rsidR="00B22EEB" w:rsidRPr="00B529EB">
        <w:rPr>
          <w:rFonts w:ascii="Arabic Transparent" w:hAnsi="Arabic Transparent" w:cs="Arabic Transparent" w:hint="cs"/>
          <w:sz w:val="28"/>
          <w:szCs w:val="28"/>
          <w:rtl/>
          <w:lang w:bidi="ar-JO"/>
        </w:rPr>
        <w:t>التدر</w:t>
      </w:r>
      <w:r w:rsidR="006C2330">
        <w:rPr>
          <w:rFonts w:ascii="Arabic Transparent" w:hAnsi="Arabic Transparent" w:cs="Arabic Transparent" w:hint="cs"/>
          <w:sz w:val="28"/>
          <w:szCs w:val="28"/>
          <w:rtl/>
          <w:lang w:bidi="ar-JO"/>
        </w:rPr>
        <w:t>ُّ</w:t>
      </w:r>
      <w:r w:rsidR="00B22EEB" w:rsidRPr="00B529EB">
        <w:rPr>
          <w:rFonts w:ascii="Arabic Transparent" w:hAnsi="Arabic Transparent" w:cs="Arabic Transparent" w:hint="cs"/>
          <w:sz w:val="28"/>
          <w:szCs w:val="28"/>
          <w:rtl/>
          <w:lang w:bidi="ar-JO"/>
        </w:rPr>
        <w:t>ج</w:t>
      </w:r>
      <w:r w:rsidR="00F2447E" w:rsidRPr="00B529EB">
        <w:rPr>
          <w:rFonts w:ascii="Arabic Transparent" w:hAnsi="Arabic Transparent" w:cs="Arabic Transparent" w:hint="cs"/>
          <w:sz w:val="28"/>
          <w:szCs w:val="28"/>
          <w:rtl/>
          <w:lang w:bidi="ar-JO"/>
        </w:rPr>
        <w:t xml:space="preserve"> ي</w:t>
      </w:r>
      <w:r w:rsidR="00887D04">
        <w:rPr>
          <w:rFonts w:ascii="Arabic Transparent" w:hAnsi="Arabic Transparent" w:cs="Arabic Transparent" w:hint="cs"/>
          <w:sz w:val="28"/>
          <w:szCs w:val="28"/>
          <w:rtl/>
          <w:lang w:bidi="ar-JO"/>
        </w:rPr>
        <w:t>ُ</w:t>
      </w:r>
      <w:r w:rsidR="00F2447E" w:rsidRPr="00B529EB">
        <w:rPr>
          <w:rFonts w:ascii="Arabic Transparent" w:hAnsi="Arabic Transparent" w:cs="Arabic Transparent" w:hint="cs"/>
          <w:sz w:val="28"/>
          <w:szCs w:val="28"/>
          <w:rtl/>
          <w:lang w:bidi="ar-JO"/>
        </w:rPr>
        <w:t xml:space="preserve">ظهر الاهتمام العلمي بالجانب العملي </w:t>
      </w:r>
      <w:r w:rsidR="006C2330">
        <w:rPr>
          <w:rFonts w:ascii="Arabic Transparent" w:hAnsi="Arabic Transparent" w:cs="Arabic Transparent" w:hint="cs"/>
          <w:sz w:val="28"/>
          <w:szCs w:val="28"/>
          <w:rtl/>
          <w:lang w:bidi="ar-JO"/>
        </w:rPr>
        <w:t>التطبيقي</w:t>
      </w:r>
      <w:r w:rsidR="00F2447E" w:rsidRPr="00B529EB">
        <w:rPr>
          <w:rFonts w:ascii="Arabic Transparent" w:hAnsi="Arabic Transparent" w:cs="Arabic Transparent" w:hint="cs"/>
          <w:sz w:val="28"/>
          <w:szCs w:val="28"/>
          <w:rtl/>
          <w:lang w:bidi="ar-JO"/>
        </w:rPr>
        <w:t>، بحيث لا يحصرون</w:t>
      </w:r>
      <w:r w:rsidR="006C2330">
        <w:rPr>
          <w:rFonts w:ascii="Arabic Transparent" w:hAnsi="Arabic Transparent" w:cs="Arabic Transparent" w:hint="cs"/>
          <w:sz w:val="28"/>
          <w:szCs w:val="28"/>
          <w:rtl/>
          <w:lang w:bidi="ar-JO"/>
        </w:rPr>
        <w:t>ه</w:t>
      </w:r>
      <w:r w:rsidR="00F2447E" w:rsidRPr="00B529EB">
        <w:rPr>
          <w:rFonts w:ascii="Arabic Transparent" w:hAnsi="Arabic Transparent" w:cs="Arabic Transparent" w:hint="cs"/>
          <w:sz w:val="28"/>
          <w:szCs w:val="28"/>
          <w:rtl/>
          <w:lang w:bidi="ar-JO"/>
        </w:rPr>
        <w:t xml:space="preserve"> في استنباط الحكم الشرعي فقط، لأنهم؛ علموا أن القيمة </w:t>
      </w:r>
      <w:r w:rsidR="00EB7D70">
        <w:rPr>
          <w:rFonts w:ascii="Arabic Transparent" w:hAnsi="Arabic Transparent" w:cs="Arabic Transparent" w:hint="cs"/>
          <w:sz w:val="28"/>
          <w:szCs w:val="28"/>
          <w:rtl/>
          <w:lang w:bidi="ar-JO"/>
        </w:rPr>
        <w:t>الحقيقية</w:t>
      </w:r>
      <w:r w:rsidR="00F2447E" w:rsidRPr="00B529EB">
        <w:rPr>
          <w:rFonts w:ascii="Arabic Transparent" w:hAnsi="Arabic Transparent" w:cs="Arabic Transparent" w:hint="cs"/>
          <w:sz w:val="28"/>
          <w:szCs w:val="28"/>
          <w:rtl/>
          <w:lang w:bidi="ar-JO"/>
        </w:rPr>
        <w:t xml:space="preserve"> لن تظهر إذا لم ينز</w:t>
      </w:r>
      <w:r w:rsidR="00887D04">
        <w:rPr>
          <w:rFonts w:ascii="Arabic Transparent" w:hAnsi="Arabic Transparent" w:cs="Arabic Transparent" w:hint="cs"/>
          <w:sz w:val="28"/>
          <w:szCs w:val="28"/>
          <w:rtl/>
          <w:lang w:bidi="ar-JO"/>
        </w:rPr>
        <w:t>َّ</w:t>
      </w:r>
      <w:r w:rsidR="00F2447E" w:rsidRPr="00B529EB">
        <w:rPr>
          <w:rFonts w:ascii="Arabic Transparent" w:hAnsi="Arabic Transparent" w:cs="Arabic Transparent" w:hint="cs"/>
          <w:sz w:val="28"/>
          <w:szCs w:val="28"/>
          <w:rtl/>
          <w:lang w:bidi="ar-JO"/>
        </w:rPr>
        <w:t xml:space="preserve">ل الحكم من الفقه التنظيري إلى </w:t>
      </w:r>
      <w:r w:rsidR="006C2330">
        <w:rPr>
          <w:rFonts w:ascii="Arabic Transparent" w:hAnsi="Arabic Transparent" w:cs="Arabic Transparent" w:hint="cs"/>
          <w:sz w:val="28"/>
          <w:szCs w:val="28"/>
          <w:rtl/>
          <w:lang w:bidi="ar-JO"/>
        </w:rPr>
        <w:t xml:space="preserve">الفقه </w:t>
      </w:r>
      <w:r w:rsidR="00F2447E" w:rsidRPr="00B529EB">
        <w:rPr>
          <w:rFonts w:ascii="Arabic Transparent" w:hAnsi="Arabic Transparent" w:cs="Arabic Transparent" w:hint="cs"/>
          <w:sz w:val="28"/>
          <w:szCs w:val="28"/>
          <w:rtl/>
          <w:lang w:bidi="ar-JO"/>
        </w:rPr>
        <w:t xml:space="preserve">الواقعي العملي، ومن تصوره المجرد إلى فقه الوقائع المختلفة بالحياة، وهذا لن يكون إلا بالتعرف على الوقائع التي تصلح أن تكون محلاًً </w:t>
      </w:r>
      <w:r w:rsidR="00887D04">
        <w:rPr>
          <w:rFonts w:ascii="Arabic Transparent" w:hAnsi="Arabic Transparent" w:cs="Arabic Transparent" w:hint="cs"/>
          <w:sz w:val="28"/>
          <w:szCs w:val="28"/>
          <w:rtl/>
          <w:lang w:bidi="ar-JO"/>
        </w:rPr>
        <w:t>لتطبيق الحكم الشرعي المناسب عليها</w:t>
      </w:r>
      <w:r w:rsidR="00B22EEB" w:rsidRPr="00B529EB">
        <w:rPr>
          <w:rFonts w:ascii="Arabic Transparent" w:hAnsi="Arabic Transparent" w:cs="Arabic Transparent" w:hint="cs"/>
          <w:sz w:val="28"/>
          <w:szCs w:val="28"/>
          <w:vertAlign w:val="superscript"/>
          <w:rtl/>
          <w:lang w:bidi="ar-JO"/>
        </w:rPr>
        <w:t>(</w:t>
      </w:r>
      <w:r w:rsidR="00B22EEB" w:rsidRPr="00B529EB">
        <w:rPr>
          <w:rStyle w:val="FootnoteReference"/>
          <w:rFonts w:ascii="Arabic Transparent" w:hAnsi="Arabic Transparent" w:cs="Arabic Transparent" w:hint="cs"/>
          <w:sz w:val="28"/>
          <w:szCs w:val="28"/>
          <w:rtl/>
          <w:lang w:bidi="ar-JO"/>
        </w:rPr>
        <w:footnoteReference w:id="87"/>
      </w:r>
      <w:r w:rsidR="00B22EEB" w:rsidRPr="00B529EB">
        <w:rPr>
          <w:rFonts w:ascii="Arabic Transparent" w:hAnsi="Arabic Transparent" w:cs="Arabic Transparent" w:hint="cs"/>
          <w:sz w:val="28"/>
          <w:szCs w:val="28"/>
          <w:vertAlign w:val="superscript"/>
          <w:rtl/>
          <w:lang w:bidi="ar-JO"/>
        </w:rPr>
        <w:t>)</w:t>
      </w:r>
      <w:r w:rsidR="00F2447E" w:rsidRPr="00B529EB">
        <w:rPr>
          <w:rFonts w:ascii="Arabic Transparent" w:hAnsi="Arabic Transparent" w:cs="Arabic Transparent" w:hint="cs"/>
          <w:sz w:val="28"/>
          <w:szCs w:val="28"/>
          <w:rtl/>
          <w:lang w:bidi="ar-JO"/>
        </w:rPr>
        <w:t>.</w:t>
      </w:r>
    </w:p>
    <w:p w14:paraId="5282138E" w14:textId="77777777" w:rsidR="0023381A" w:rsidRPr="002C707F" w:rsidRDefault="000E3077" w:rsidP="0023381A">
      <w:pPr>
        <w:spacing w:after="0" w:line="360" w:lineRule="auto"/>
        <w:jc w:val="both"/>
        <w:rPr>
          <w:rFonts w:ascii="Arabic Transparent" w:hAnsi="Arabic Transparent" w:cs="Arabic Transparent"/>
          <w:b/>
          <w:bCs/>
          <w:sz w:val="32"/>
          <w:szCs w:val="32"/>
          <w:rtl/>
          <w:lang w:bidi="ar-JO"/>
        </w:rPr>
      </w:pPr>
      <w:r w:rsidRPr="002C707F">
        <w:rPr>
          <w:rFonts w:ascii="Arabic Transparent" w:hAnsi="Arabic Transparent" w:cs="Arabic Transparent" w:hint="cs"/>
          <w:b/>
          <w:bCs/>
          <w:sz w:val="32"/>
          <w:szCs w:val="32"/>
          <w:rtl/>
          <w:lang w:bidi="ar-JO"/>
        </w:rPr>
        <w:t>المطلب الثاني:</w:t>
      </w:r>
      <w:r w:rsidR="009C1941" w:rsidRPr="002C707F">
        <w:rPr>
          <w:rFonts w:ascii="Arabic Transparent" w:hAnsi="Arabic Transparent" w:cs="Arabic Transparent" w:hint="cs"/>
          <w:b/>
          <w:bCs/>
          <w:sz w:val="32"/>
          <w:szCs w:val="32"/>
          <w:rtl/>
          <w:lang w:bidi="ar-JO"/>
        </w:rPr>
        <w:t xml:space="preserve"> مشروعية تحقيق المناط الخاص</w:t>
      </w:r>
    </w:p>
    <w:p w14:paraId="606B8CA1" w14:textId="358228DA" w:rsidR="00AA05F5" w:rsidRDefault="00220DA8" w:rsidP="00CC5C8F">
      <w:pPr>
        <w:spacing w:after="0" w:line="360" w:lineRule="auto"/>
        <w:ind w:firstLine="332"/>
        <w:jc w:val="both"/>
        <w:rPr>
          <w:rFonts w:ascii="Arabic Transparent" w:hAnsi="Arabic Transparent" w:cs="Arabic Transparent"/>
          <w:sz w:val="28"/>
          <w:szCs w:val="28"/>
          <w:rtl/>
          <w:lang w:bidi="ar-JO"/>
        </w:rPr>
      </w:pPr>
      <w:r w:rsidRPr="00B529EB">
        <w:rPr>
          <w:rFonts w:ascii="Arabic Transparent" w:hAnsi="Arabic Transparent" w:cs="Arabic Transparent" w:hint="cs"/>
          <w:sz w:val="28"/>
          <w:szCs w:val="28"/>
          <w:rtl/>
          <w:lang w:bidi="ar-JO"/>
        </w:rPr>
        <w:t xml:space="preserve">بعد </w:t>
      </w:r>
      <w:r w:rsidR="006C2330">
        <w:rPr>
          <w:rFonts w:ascii="Arabic Transparent" w:hAnsi="Arabic Transparent" w:cs="Arabic Transparent" w:hint="cs"/>
          <w:sz w:val="28"/>
          <w:szCs w:val="28"/>
          <w:rtl/>
          <w:lang w:bidi="ar-JO"/>
        </w:rPr>
        <w:t xml:space="preserve">الاستقراء </w:t>
      </w:r>
      <w:r w:rsidRPr="00B529EB">
        <w:rPr>
          <w:rFonts w:ascii="Arabic Transparent" w:hAnsi="Arabic Transparent" w:cs="Arabic Transparent" w:hint="cs"/>
          <w:sz w:val="28"/>
          <w:szCs w:val="28"/>
          <w:rtl/>
          <w:lang w:bidi="ar-JO"/>
        </w:rPr>
        <w:t>تبين أن</w:t>
      </w:r>
      <w:r w:rsidR="00E9359B">
        <w:rPr>
          <w:rFonts w:ascii="Arabic Transparent" w:hAnsi="Arabic Transparent" w:cs="Arabic Transparent" w:hint="cs"/>
          <w:sz w:val="28"/>
          <w:szCs w:val="28"/>
          <w:rtl/>
          <w:lang w:bidi="ar-JO"/>
        </w:rPr>
        <w:t>َّ</w:t>
      </w:r>
      <w:r w:rsidRPr="00B529EB">
        <w:rPr>
          <w:rFonts w:ascii="Arabic Transparent" w:hAnsi="Arabic Transparent" w:cs="Arabic Transparent" w:hint="cs"/>
          <w:sz w:val="28"/>
          <w:szCs w:val="28"/>
          <w:rtl/>
          <w:lang w:bidi="ar-JO"/>
        </w:rPr>
        <w:t xml:space="preserve"> الشارع الحكيم</w:t>
      </w:r>
      <w:r w:rsidR="0023381A" w:rsidRPr="00B529EB">
        <w:rPr>
          <w:rFonts w:ascii="Arabic Transparent" w:hAnsi="Arabic Transparent" w:cs="Arabic Transparent" w:hint="cs"/>
          <w:sz w:val="28"/>
          <w:szCs w:val="28"/>
          <w:rtl/>
          <w:lang w:bidi="ar-JO"/>
        </w:rPr>
        <w:t xml:space="preserve"> لم ينص</w:t>
      </w:r>
      <w:r w:rsidR="00E9359B">
        <w:rPr>
          <w:rFonts w:ascii="Arabic Transparent" w:hAnsi="Arabic Transparent" w:cs="Arabic Transparent" w:hint="cs"/>
          <w:sz w:val="28"/>
          <w:szCs w:val="28"/>
          <w:rtl/>
          <w:lang w:bidi="ar-JO"/>
        </w:rPr>
        <w:t>َّ</w:t>
      </w:r>
      <w:r w:rsidR="006C2330">
        <w:rPr>
          <w:rFonts w:ascii="Arabic Transparent" w:hAnsi="Arabic Transparent" w:cs="Arabic Transparent" w:hint="cs"/>
          <w:sz w:val="28"/>
          <w:szCs w:val="28"/>
          <w:rtl/>
          <w:lang w:bidi="ar-JO"/>
        </w:rPr>
        <w:t xml:space="preserve"> </w:t>
      </w:r>
      <w:r w:rsidR="00C925A3" w:rsidRPr="00B529EB">
        <w:rPr>
          <w:rFonts w:ascii="Arabic Transparent" w:hAnsi="Arabic Transparent" w:cs="Arabic Transparent" w:hint="cs"/>
          <w:sz w:val="28"/>
          <w:szCs w:val="28"/>
          <w:rtl/>
          <w:lang w:bidi="ar-JO"/>
        </w:rPr>
        <w:t>على مشروعية المناط الخاص صراحةً</w:t>
      </w:r>
      <w:r w:rsidR="0023381A" w:rsidRPr="00B529EB">
        <w:rPr>
          <w:rFonts w:ascii="Arabic Transparent" w:hAnsi="Arabic Transparent" w:cs="Arabic Transparent" w:hint="cs"/>
          <w:sz w:val="28"/>
          <w:szCs w:val="28"/>
          <w:rtl/>
          <w:lang w:bidi="ar-JO"/>
        </w:rPr>
        <w:t xml:space="preserve"> في كتابه </w:t>
      </w:r>
      <w:r w:rsidR="00C61F85" w:rsidRPr="00B529EB">
        <w:rPr>
          <w:rFonts w:ascii="Arabic Transparent" w:hAnsi="Arabic Transparent" w:cs="Arabic Transparent" w:hint="cs"/>
          <w:sz w:val="28"/>
          <w:szCs w:val="28"/>
          <w:rtl/>
          <w:lang w:bidi="ar-JO"/>
        </w:rPr>
        <w:t>العظيم</w:t>
      </w:r>
      <w:r w:rsidR="00C61F85" w:rsidRPr="00B529EB">
        <w:rPr>
          <w:rFonts w:ascii="Arabic Transparent" w:hAnsi="Arabic Transparent" w:cs="Arabic Transparent" w:hint="eastAsia"/>
          <w:sz w:val="28"/>
          <w:szCs w:val="28"/>
          <w:rtl/>
          <w:lang w:bidi="ar-JO"/>
        </w:rPr>
        <w:t>،</w:t>
      </w:r>
      <w:r w:rsidR="0023381A" w:rsidRPr="00B529EB">
        <w:rPr>
          <w:rFonts w:ascii="Arabic Transparent" w:hAnsi="Arabic Transparent" w:cs="Arabic Transparent" w:hint="cs"/>
          <w:sz w:val="28"/>
          <w:szCs w:val="28"/>
          <w:rtl/>
          <w:lang w:bidi="ar-JO"/>
        </w:rPr>
        <w:t xml:space="preserve"> ولكنها </w:t>
      </w:r>
      <w:r w:rsidR="00C925A3" w:rsidRPr="00B529EB">
        <w:rPr>
          <w:rFonts w:ascii="Arabic Transparent" w:hAnsi="Arabic Transparent" w:cs="Arabic Transparent" w:hint="cs"/>
          <w:sz w:val="28"/>
          <w:szCs w:val="28"/>
          <w:rtl/>
          <w:lang w:bidi="ar-JO"/>
        </w:rPr>
        <w:t>مذكورة</w:t>
      </w:r>
      <w:r w:rsidR="0023381A" w:rsidRPr="00B529EB">
        <w:rPr>
          <w:rFonts w:ascii="Arabic Transparent" w:hAnsi="Arabic Transparent" w:cs="Arabic Transparent" w:hint="cs"/>
          <w:sz w:val="28"/>
          <w:szCs w:val="28"/>
          <w:rtl/>
          <w:lang w:bidi="ar-JO"/>
        </w:rPr>
        <w:t xml:space="preserve"> في ا</w:t>
      </w:r>
      <w:r w:rsidR="00C925A3" w:rsidRPr="00B529EB">
        <w:rPr>
          <w:rFonts w:ascii="Arabic Transparent" w:hAnsi="Arabic Transparent" w:cs="Arabic Transparent" w:hint="cs"/>
          <w:sz w:val="28"/>
          <w:szCs w:val="28"/>
          <w:rtl/>
          <w:lang w:bidi="ar-JO"/>
        </w:rPr>
        <w:t xml:space="preserve">لسنة النبوية، والآثار الواردة عن الصحابة </w:t>
      </w:r>
      <w:r w:rsidR="00C61F85" w:rsidRPr="00B529EB">
        <w:rPr>
          <w:rFonts w:ascii="Arabic Transparent" w:hAnsi="Arabic Transparent" w:cs="Arabic Transparent" w:hint="cs"/>
          <w:sz w:val="28"/>
          <w:szCs w:val="28"/>
          <w:rtl/>
          <w:lang w:bidi="ar-JO"/>
        </w:rPr>
        <w:t>والإجماع والمعقول</w:t>
      </w:r>
      <w:r w:rsidR="00C925A3" w:rsidRPr="00B529EB">
        <w:rPr>
          <w:rFonts w:ascii="Arabic Transparent" w:hAnsi="Arabic Transparent" w:cs="Arabic Transparent" w:hint="cs"/>
          <w:sz w:val="28"/>
          <w:szCs w:val="28"/>
          <w:rtl/>
          <w:lang w:bidi="ar-JO"/>
        </w:rPr>
        <w:t>،</w:t>
      </w:r>
      <w:r w:rsidRPr="00B529EB">
        <w:rPr>
          <w:rFonts w:ascii="Arabic Transparent" w:hAnsi="Arabic Transparent" w:cs="Arabic Transparent" w:hint="cs"/>
          <w:sz w:val="28"/>
          <w:szCs w:val="28"/>
          <w:rtl/>
          <w:lang w:bidi="ar-JO"/>
        </w:rPr>
        <w:t xml:space="preserve"> </w:t>
      </w:r>
      <w:r w:rsidR="0015120F" w:rsidRPr="00B529EB">
        <w:rPr>
          <w:rFonts w:ascii="Arabic Transparent" w:hAnsi="Arabic Transparent" w:cs="Arabic Transparent" w:hint="cs"/>
          <w:sz w:val="28"/>
          <w:szCs w:val="28"/>
          <w:rtl/>
          <w:lang w:bidi="ar-JO"/>
        </w:rPr>
        <w:t xml:space="preserve">كما </w:t>
      </w:r>
      <w:r w:rsidR="00FA7204">
        <w:rPr>
          <w:rFonts w:ascii="Arabic Transparent" w:hAnsi="Arabic Transparent" w:cs="Arabic Transparent" w:hint="cs"/>
          <w:sz w:val="28"/>
          <w:szCs w:val="28"/>
          <w:rtl/>
          <w:lang w:bidi="ar-JO"/>
        </w:rPr>
        <w:t>يأتي</w:t>
      </w:r>
      <w:r w:rsidR="0015120F" w:rsidRPr="00B529EB">
        <w:rPr>
          <w:rFonts w:ascii="Arabic Transparent" w:hAnsi="Arabic Transparent" w:cs="Arabic Transparent" w:hint="cs"/>
          <w:sz w:val="28"/>
          <w:szCs w:val="28"/>
          <w:rtl/>
          <w:lang w:bidi="ar-JO"/>
        </w:rPr>
        <w:t xml:space="preserve">: </w:t>
      </w:r>
      <w:r w:rsidR="00AA05F5">
        <w:rPr>
          <w:rFonts w:ascii="Arabic Transparent" w:hAnsi="Arabic Transparent" w:cs="Arabic Transparent"/>
          <w:sz w:val="28"/>
          <w:szCs w:val="28"/>
          <w:rtl/>
          <w:lang w:bidi="ar-JO"/>
        </w:rPr>
        <w:br w:type="page"/>
      </w:r>
    </w:p>
    <w:p w14:paraId="412D6CC4" w14:textId="77777777" w:rsidR="00AA05F5" w:rsidRDefault="00FA7204" w:rsidP="00AA05F5">
      <w:pPr>
        <w:spacing w:after="0" w:line="360" w:lineRule="auto"/>
        <w:jc w:val="both"/>
        <w:rPr>
          <w:rFonts w:ascii="Arabic Transparent" w:hAnsi="Arabic Transparent" w:cs="Arabic Transparent"/>
          <w:sz w:val="28"/>
          <w:szCs w:val="28"/>
          <w:rtl/>
          <w:lang w:bidi="ar-JO"/>
        </w:rPr>
      </w:pPr>
      <w:r>
        <w:rPr>
          <w:rFonts w:ascii="Arabic Transparent" w:hAnsi="Arabic Transparent" w:cs="Arabic Transparent" w:hint="cs"/>
          <w:b/>
          <w:bCs/>
          <w:sz w:val="28"/>
          <w:szCs w:val="28"/>
          <w:rtl/>
          <w:lang w:bidi="ar-JO"/>
        </w:rPr>
        <w:t>الفرع الأول</w:t>
      </w:r>
      <w:r w:rsidR="008536B8" w:rsidRPr="00E9359B">
        <w:rPr>
          <w:rFonts w:ascii="Arabic Transparent" w:hAnsi="Arabic Transparent" w:cs="Arabic Transparent" w:hint="cs"/>
          <w:b/>
          <w:bCs/>
          <w:sz w:val="28"/>
          <w:szCs w:val="28"/>
          <w:rtl/>
          <w:lang w:bidi="ar-JO"/>
        </w:rPr>
        <w:t>: من السنة ال</w:t>
      </w:r>
      <w:r w:rsidR="00E9359B">
        <w:rPr>
          <w:rFonts w:ascii="Arabic Transparent" w:hAnsi="Arabic Transparent" w:cs="Arabic Transparent" w:hint="cs"/>
          <w:b/>
          <w:bCs/>
          <w:sz w:val="28"/>
          <w:szCs w:val="28"/>
          <w:rtl/>
          <w:lang w:bidi="ar-JO"/>
        </w:rPr>
        <w:t>نبوية</w:t>
      </w:r>
      <w:r w:rsidR="008536B8" w:rsidRPr="00E9359B">
        <w:rPr>
          <w:rFonts w:ascii="Arabic Transparent" w:hAnsi="Arabic Transparent" w:cs="Arabic Transparent" w:hint="cs"/>
          <w:b/>
          <w:bCs/>
          <w:sz w:val="28"/>
          <w:szCs w:val="28"/>
          <w:rtl/>
          <w:lang w:bidi="ar-JO"/>
        </w:rPr>
        <w:t xml:space="preserve">: </w:t>
      </w:r>
    </w:p>
    <w:p w14:paraId="57C5935F" w14:textId="33E4E29D" w:rsidR="004D48CF" w:rsidRPr="00B529EB" w:rsidRDefault="000F4DC2" w:rsidP="00AA05F5">
      <w:pPr>
        <w:spacing w:after="0" w:line="360" w:lineRule="auto"/>
        <w:jc w:val="both"/>
        <w:rPr>
          <w:rFonts w:ascii="Arabic Transparent" w:hAnsi="Arabic Transparent" w:cs="Arabic Transparent"/>
          <w:sz w:val="28"/>
          <w:szCs w:val="28"/>
          <w:rtl/>
          <w:lang w:bidi="ar-JO"/>
        </w:rPr>
      </w:pPr>
      <w:r>
        <w:rPr>
          <w:rFonts w:ascii="Arabic Transparent" w:hAnsi="Arabic Transparent" w:cs="Arabic Transparent" w:hint="cs"/>
          <w:sz w:val="28"/>
          <w:szCs w:val="28"/>
          <w:rtl/>
          <w:lang w:bidi="ar-JO"/>
        </w:rPr>
        <w:t xml:space="preserve">     </w:t>
      </w:r>
      <w:r w:rsidR="004D48CF" w:rsidRPr="00B529EB">
        <w:rPr>
          <w:rFonts w:ascii="Arabic Transparent" w:hAnsi="Arabic Transparent" w:cs="Arabic Transparent" w:hint="cs"/>
          <w:sz w:val="28"/>
          <w:szCs w:val="28"/>
          <w:rtl/>
          <w:lang w:bidi="ar-JO"/>
        </w:rPr>
        <w:t xml:space="preserve">مراعاة النبي </w:t>
      </w:r>
      <w:r w:rsidR="005E3842">
        <w:rPr>
          <w:rFonts w:ascii="AGA Arabesque" w:eastAsia="AGA Arabesque" w:hAnsi="AGA Arabesque" w:cs="AGA Arabesque"/>
          <w:sz w:val="28"/>
          <w:szCs w:val="28"/>
          <w:lang w:bidi="ar-JO"/>
        </w:rPr>
        <w:t></w:t>
      </w:r>
      <w:r w:rsidR="004D48CF" w:rsidRPr="00B529EB">
        <w:rPr>
          <w:rFonts w:ascii="Arabic Transparent" w:hAnsi="Arabic Transparent" w:cs="Arabic Transparent" w:hint="cs"/>
          <w:sz w:val="28"/>
          <w:szCs w:val="28"/>
          <w:rtl/>
          <w:lang w:bidi="ar-JO"/>
        </w:rPr>
        <w:t xml:space="preserve"> لحال السائل وظرفه في الأحاديث الواردة في أفضل الأعمال وأحبها إلى الله، حيث تنوعت الإجابة حسب حال السائل</w:t>
      </w:r>
      <w:r w:rsidR="00887D04">
        <w:rPr>
          <w:rFonts w:ascii="Arabic Transparent" w:hAnsi="Arabic Transparent" w:cs="Arabic Transparent" w:hint="cs"/>
          <w:sz w:val="28"/>
          <w:szCs w:val="28"/>
          <w:rtl/>
          <w:lang w:bidi="ar-JO"/>
        </w:rPr>
        <w:t>،</w:t>
      </w:r>
      <w:r w:rsidR="004D48CF" w:rsidRPr="00B529EB">
        <w:rPr>
          <w:rFonts w:ascii="Arabic Transparent" w:hAnsi="Arabic Transparent" w:cs="Arabic Transparent" w:hint="cs"/>
          <w:sz w:val="28"/>
          <w:szCs w:val="28"/>
          <w:rtl/>
          <w:lang w:bidi="ar-JO"/>
        </w:rPr>
        <w:t xml:space="preserve"> بيد أن السؤال واحد، وهذا يؤكد وجوب مراعاة المناط الخاص الموجود في آحاد المكلفين، ومن تلك الآثار</w:t>
      </w:r>
      <w:r w:rsidR="00860B6C" w:rsidRPr="00B529EB">
        <w:rPr>
          <w:rFonts w:ascii="Arabic Transparent" w:hAnsi="Arabic Transparent" w:cs="Arabic Transparent" w:hint="cs"/>
          <w:sz w:val="28"/>
          <w:szCs w:val="28"/>
          <w:vertAlign w:val="superscript"/>
          <w:rtl/>
          <w:lang w:bidi="ar-JO"/>
        </w:rPr>
        <w:t>(</w:t>
      </w:r>
      <w:r w:rsidR="00860B6C" w:rsidRPr="00B529EB">
        <w:rPr>
          <w:rStyle w:val="FootnoteReference"/>
          <w:rFonts w:ascii="Arabic Transparent" w:hAnsi="Arabic Transparent" w:cs="Arabic Transparent" w:hint="cs"/>
          <w:sz w:val="28"/>
          <w:szCs w:val="28"/>
          <w:rtl/>
          <w:lang w:bidi="ar-JO"/>
        </w:rPr>
        <w:footnoteReference w:id="88"/>
      </w:r>
      <w:r w:rsidR="00860B6C" w:rsidRPr="00B529EB">
        <w:rPr>
          <w:rFonts w:ascii="Arabic Transparent" w:hAnsi="Arabic Transparent" w:cs="Arabic Transparent" w:hint="cs"/>
          <w:sz w:val="28"/>
          <w:szCs w:val="28"/>
          <w:vertAlign w:val="superscript"/>
          <w:rtl/>
          <w:lang w:bidi="ar-JO"/>
        </w:rPr>
        <w:t>)</w:t>
      </w:r>
      <w:r w:rsidR="004D48CF" w:rsidRPr="00B529EB">
        <w:rPr>
          <w:rFonts w:ascii="Arabic Transparent" w:hAnsi="Arabic Transparent" w:cs="Arabic Transparent" w:hint="cs"/>
          <w:sz w:val="28"/>
          <w:szCs w:val="28"/>
          <w:rtl/>
          <w:lang w:bidi="ar-JO"/>
        </w:rPr>
        <w:t>:</w:t>
      </w:r>
    </w:p>
    <w:p w14:paraId="25A86A2C" w14:textId="40AE4424" w:rsidR="004D48CF" w:rsidRPr="00B529EB" w:rsidRDefault="004D48CF" w:rsidP="004D48CF">
      <w:pPr>
        <w:spacing w:after="0" w:line="360" w:lineRule="auto"/>
        <w:jc w:val="both"/>
        <w:rPr>
          <w:rFonts w:ascii="Arabic Transparent" w:hAnsi="Arabic Transparent" w:cs="Arabic Transparent"/>
          <w:sz w:val="28"/>
          <w:szCs w:val="28"/>
          <w:rtl/>
          <w:lang w:bidi="ar-JO"/>
        </w:rPr>
      </w:pPr>
      <w:r w:rsidRPr="00B529EB">
        <w:rPr>
          <w:rFonts w:ascii="Arabic Transparent" w:hAnsi="Arabic Transparent" w:cs="Arabic Transparent" w:hint="cs"/>
          <w:sz w:val="28"/>
          <w:szCs w:val="28"/>
          <w:rtl/>
          <w:lang w:bidi="ar-JO"/>
        </w:rPr>
        <w:t xml:space="preserve">1. عن ابن مسعود </w:t>
      </w:r>
      <w:r w:rsidR="005224A0">
        <w:rPr>
          <w:rFonts w:ascii="AGA Arabesque" w:eastAsia="AGA Arabesque" w:hAnsi="AGA Arabesque" w:cs="AGA Arabesque"/>
          <w:sz w:val="28"/>
          <w:szCs w:val="28"/>
          <w:lang w:bidi="ar-JO"/>
        </w:rPr>
        <w:t></w:t>
      </w:r>
      <w:r w:rsidRPr="00B529EB">
        <w:rPr>
          <w:rFonts w:ascii="Arabic Transparent" w:hAnsi="Arabic Transparent" w:cs="Arabic Transparent" w:hint="cs"/>
          <w:sz w:val="28"/>
          <w:szCs w:val="28"/>
          <w:rtl/>
          <w:lang w:bidi="ar-JO"/>
        </w:rPr>
        <w:t xml:space="preserve"> قَالَ: </w:t>
      </w:r>
      <w:r w:rsidR="000B47C7">
        <w:rPr>
          <w:rFonts w:ascii="Arabic Transparent" w:hAnsi="Arabic Transparent" w:cs="Arabic Transparent" w:hint="cs"/>
          <w:sz w:val="28"/>
          <w:szCs w:val="28"/>
          <w:rtl/>
          <w:lang w:bidi="ar-JO"/>
        </w:rPr>
        <w:t>"</w:t>
      </w:r>
      <w:r w:rsidRPr="00B529EB">
        <w:rPr>
          <w:rFonts w:ascii="Arabic Transparent" w:hAnsi="Arabic Transparent" w:cs="Arabic Transparent" w:hint="cs"/>
          <w:sz w:val="28"/>
          <w:szCs w:val="28"/>
          <w:rtl/>
          <w:lang w:bidi="ar-JO"/>
        </w:rPr>
        <w:t xml:space="preserve">سَأَلتُ </w:t>
      </w:r>
      <w:r w:rsidR="00C61F85" w:rsidRPr="00B529EB">
        <w:rPr>
          <w:rFonts w:ascii="Arabic Transparent" w:hAnsi="Arabic Transparent" w:cs="Arabic Transparent" w:hint="cs"/>
          <w:sz w:val="28"/>
          <w:szCs w:val="28"/>
          <w:rtl/>
          <w:lang w:bidi="ar-JO"/>
        </w:rPr>
        <w:t>النَّبِيَّ</w:t>
      </w:r>
      <w:r w:rsidR="00EB7D70">
        <w:rPr>
          <w:rFonts w:ascii="Arabic Transparent" w:hAnsi="Arabic Transparent" w:cs="Arabic Transparent" w:hint="cs"/>
          <w:sz w:val="28"/>
          <w:szCs w:val="28"/>
          <w:rtl/>
          <w:lang w:bidi="ar-JO"/>
        </w:rPr>
        <w:t xml:space="preserve"> </w:t>
      </w:r>
      <w:r w:rsidR="00EB7D70">
        <w:rPr>
          <w:rFonts w:ascii="AGA Arabesque" w:eastAsia="AGA Arabesque" w:hAnsi="AGA Arabesque" w:cs="AGA Arabesque"/>
          <w:sz w:val="28"/>
          <w:szCs w:val="28"/>
          <w:lang w:bidi="ar-JO"/>
        </w:rPr>
        <w:t></w:t>
      </w:r>
      <w:r w:rsidR="00C61F85" w:rsidRPr="00B529EB">
        <w:rPr>
          <w:rFonts w:ascii="Arabic Transparent" w:hAnsi="Arabic Transparent" w:cs="Arabic Transparent" w:hint="cs"/>
          <w:sz w:val="28"/>
          <w:szCs w:val="28"/>
          <w:rtl/>
          <w:lang w:bidi="ar-JO"/>
        </w:rPr>
        <w:t>:</w:t>
      </w:r>
      <w:r w:rsidRPr="00B529EB">
        <w:rPr>
          <w:rFonts w:ascii="Arabic Transparent" w:hAnsi="Arabic Transparent" w:cs="Arabic Transparent" w:hint="cs"/>
          <w:sz w:val="28"/>
          <w:szCs w:val="28"/>
          <w:rtl/>
          <w:lang w:bidi="ar-JO"/>
        </w:rPr>
        <w:t xml:space="preserve"> أَيُ العَمَلِ أَحَبُ إِلَى الله؟ قَالَ: الصَلاَة عَلَى وَقتِهَا، قَالَ: ثُمَ أَيٌ؟ قَالَ: ثُمَّ بِرُ الوَالِدَينِ، قَالَ: ثمَّ أَيِّ؟ قَال: الجِهادُ فِي سبِيلِ اللهِ</w:t>
      </w:r>
      <w:r w:rsidR="000B47C7">
        <w:rPr>
          <w:rFonts w:ascii="Arabic Transparent" w:hAnsi="Arabic Transparent" w:cs="Arabic Transparent" w:hint="cs"/>
          <w:sz w:val="28"/>
          <w:szCs w:val="28"/>
          <w:rtl/>
          <w:lang w:bidi="ar-JO"/>
        </w:rPr>
        <w:t>"</w:t>
      </w:r>
      <w:r w:rsidR="000B47C7" w:rsidRPr="00B529EB">
        <w:rPr>
          <w:rFonts w:ascii="Arabic Transparent" w:hAnsi="Arabic Transparent" w:cs="Arabic Transparent" w:hint="cs"/>
          <w:sz w:val="28"/>
          <w:szCs w:val="28"/>
          <w:vertAlign w:val="superscript"/>
          <w:rtl/>
          <w:lang w:bidi="ar-JO"/>
        </w:rPr>
        <w:t xml:space="preserve"> </w:t>
      </w:r>
      <w:r w:rsidRPr="00B529EB">
        <w:rPr>
          <w:rFonts w:ascii="Arabic Transparent" w:hAnsi="Arabic Transparent" w:cs="Arabic Transparent" w:hint="cs"/>
          <w:sz w:val="28"/>
          <w:szCs w:val="28"/>
          <w:vertAlign w:val="superscript"/>
          <w:rtl/>
          <w:lang w:bidi="ar-JO"/>
        </w:rPr>
        <w:t>(</w:t>
      </w:r>
      <w:r w:rsidRPr="00B529EB">
        <w:rPr>
          <w:rStyle w:val="FootnoteReference"/>
          <w:rFonts w:ascii="Arabic Transparent" w:hAnsi="Arabic Transparent" w:cs="Arabic Transparent" w:hint="cs"/>
          <w:sz w:val="28"/>
          <w:szCs w:val="28"/>
          <w:rtl/>
          <w:lang w:bidi="ar-JO"/>
        </w:rPr>
        <w:footnoteReference w:id="89"/>
      </w:r>
      <w:r w:rsidRPr="00B529EB">
        <w:rPr>
          <w:rFonts w:ascii="Arabic Transparent" w:hAnsi="Arabic Transparent" w:cs="Arabic Transparent" w:hint="cs"/>
          <w:sz w:val="28"/>
          <w:szCs w:val="28"/>
          <w:vertAlign w:val="superscript"/>
          <w:rtl/>
          <w:lang w:bidi="ar-JO"/>
        </w:rPr>
        <w:t>)</w:t>
      </w:r>
      <w:r w:rsidR="00C925A3" w:rsidRPr="00B529EB">
        <w:rPr>
          <w:rFonts w:ascii="Arabic Transparent" w:hAnsi="Arabic Transparent" w:cs="Arabic Transparent" w:hint="cs"/>
          <w:sz w:val="28"/>
          <w:szCs w:val="28"/>
          <w:rtl/>
          <w:lang w:bidi="ar-JO"/>
        </w:rPr>
        <w:t xml:space="preserve"> وفي موقف آخر كانت الإجابة مختلفة كما في الحديث ال</w:t>
      </w:r>
      <w:r w:rsidR="00BF1052">
        <w:rPr>
          <w:rFonts w:ascii="Arabic Transparent" w:hAnsi="Arabic Transparent" w:cs="Arabic Transparent" w:hint="cs"/>
          <w:sz w:val="28"/>
          <w:szCs w:val="28"/>
          <w:rtl/>
          <w:lang w:bidi="ar-JO"/>
        </w:rPr>
        <w:t>آتي</w:t>
      </w:r>
      <w:r w:rsidR="00C925A3" w:rsidRPr="00B529EB">
        <w:rPr>
          <w:rFonts w:ascii="Arabic Transparent" w:hAnsi="Arabic Transparent" w:cs="Arabic Transparent" w:hint="cs"/>
          <w:sz w:val="28"/>
          <w:szCs w:val="28"/>
          <w:rtl/>
          <w:lang w:bidi="ar-JO"/>
        </w:rPr>
        <w:t xml:space="preserve">: </w:t>
      </w:r>
    </w:p>
    <w:p w14:paraId="337D5E2A" w14:textId="10883DC5" w:rsidR="008536B8" w:rsidRPr="00B529EB" w:rsidRDefault="004D48CF" w:rsidP="004D48CF">
      <w:pPr>
        <w:spacing w:after="0" w:line="360" w:lineRule="auto"/>
        <w:jc w:val="both"/>
        <w:rPr>
          <w:rFonts w:ascii="Arabic Transparent" w:hAnsi="Arabic Transparent" w:cs="Arabic Transparent"/>
          <w:sz w:val="28"/>
          <w:szCs w:val="28"/>
          <w:rtl/>
          <w:lang w:bidi="ar-JO"/>
        </w:rPr>
      </w:pPr>
      <w:r w:rsidRPr="00B529EB">
        <w:rPr>
          <w:rFonts w:ascii="Arabic Transparent" w:hAnsi="Arabic Transparent" w:cs="Arabic Transparent" w:hint="cs"/>
          <w:sz w:val="28"/>
          <w:szCs w:val="28"/>
          <w:rtl/>
          <w:lang w:bidi="ar-JO"/>
        </w:rPr>
        <w:t xml:space="preserve">2. عن أبي هريرة </w:t>
      </w:r>
      <w:r w:rsidR="005224A0">
        <w:rPr>
          <w:rFonts w:ascii="AGA Arabesque" w:eastAsia="AGA Arabesque" w:hAnsi="AGA Arabesque" w:cs="AGA Arabesque"/>
          <w:sz w:val="28"/>
          <w:szCs w:val="28"/>
          <w:lang w:bidi="ar-JO"/>
        </w:rPr>
        <w:t></w:t>
      </w:r>
      <w:r w:rsidRPr="00B529EB">
        <w:rPr>
          <w:rFonts w:ascii="Arabic Transparent" w:hAnsi="Arabic Transparent" w:cs="Arabic Transparent" w:hint="cs"/>
          <w:sz w:val="28"/>
          <w:szCs w:val="28"/>
          <w:rtl/>
          <w:lang w:bidi="ar-JO"/>
        </w:rPr>
        <w:t xml:space="preserve"> قال: </w:t>
      </w:r>
      <w:r w:rsidR="000B47C7">
        <w:rPr>
          <w:rFonts w:ascii="Arabic Transparent" w:hAnsi="Arabic Transparent" w:cs="Arabic Transparent" w:hint="cs"/>
          <w:sz w:val="28"/>
          <w:szCs w:val="28"/>
          <w:rtl/>
          <w:lang w:bidi="ar-JO"/>
        </w:rPr>
        <w:t>"</w:t>
      </w:r>
      <w:r w:rsidRPr="00B529EB">
        <w:rPr>
          <w:rFonts w:ascii="Arabic Transparent" w:hAnsi="Arabic Transparent" w:cs="Arabic Transparent" w:hint="cs"/>
          <w:sz w:val="28"/>
          <w:szCs w:val="28"/>
          <w:rtl/>
          <w:lang w:bidi="ar-JO"/>
        </w:rPr>
        <w:t xml:space="preserve">سئل رسول </w:t>
      </w:r>
      <w:r w:rsidR="00B3335A">
        <w:rPr>
          <w:rFonts w:ascii="AGA Arabesque" w:eastAsia="AGA Arabesque" w:hAnsi="AGA Arabesque" w:cs="AGA Arabesque"/>
          <w:sz w:val="28"/>
          <w:szCs w:val="28"/>
          <w:lang w:bidi="ar-JO"/>
        </w:rPr>
        <w:t></w:t>
      </w:r>
      <w:r w:rsidRPr="00B529EB">
        <w:rPr>
          <w:rFonts w:ascii="Arabic Transparent" w:hAnsi="Arabic Transparent" w:cs="Arabic Transparent" w:hint="cs"/>
          <w:sz w:val="28"/>
          <w:szCs w:val="28"/>
          <w:rtl/>
          <w:lang w:bidi="ar-JO"/>
        </w:rPr>
        <w:t>: أَيُّ الأَعمَالِ أَفضَلُ؟ قال: إِيمَانٌ بِاللهِ. قال: ثُمَّ مَاذَا؟ قال: الجِهَادُ فِي سَبِيلِ اللّهِ. قال: ثُمَّ ماذا؟ قال: حَجِ مَبرورٌ</w:t>
      </w:r>
      <w:r w:rsidR="000B47C7">
        <w:rPr>
          <w:rFonts w:ascii="Arabic Transparent" w:hAnsi="Arabic Transparent" w:cs="Arabic Transparent" w:hint="cs"/>
          <w:sz w:val="28"/>
          <w:szCs w:val="28"/>
          <w:rtl/>
          <w:lang w:bidi="ar-JO"/>
        </w:rPr>
        <w:t>"</w:t>
      </w:r>
      <w:r w:rsidRPr="00B529EB">
        <w:rPr>
          <w:rFonts w:ascii="Arabic Transparent" w:hAnsi="Arabic Transparent" w:cs="Arabic Transparent" w:hint="cs"/>
          <w:sz w:val="28"/>
          <w:szCs w:val="28"/>
          <w:vertAlign w:val="superscript"/>
          <w:rtl/>
          <w:lang w:bidi="ar-JO"/>
        </w:rPr>
        <w:t>(</w:t>
      </w:r>
      <w:r w:rsidRPr="00B529EB">
        <w:rPr>
          <w:rStyle w:val="FootnoteReference"/>
          <w:rFonts w:ascii="Arabic Transparent" w:hAnsi="Arabic Transparent" w:cs="Arabic Transparent" w:hint="cs"/>
          <w:sz w:val="28"/>
          <w:szCs w:val="28"/>
          <w:rtl/>
          <w:lang w:bidi="ar-JO"/>
        </w:rPr>
        <w:footnoteReference w:id="90"/>
      </w:r>
      <w:r w:rsidRPr="00B529EB">
        <w:rPr>
          <w:rFonts w:ascii="Arabic Transparent" w:hAnsi="Arabic Transparent" w:cs="Arabic Transparent" w:hint="cs"/>
          <w:sz w:val="28"/>
          <w:szCs w:val="28"/>
          <w:vertAlign w:val="superscript"/>
          <w:rtl/>
          <w:lang w:bidi="ar-JO"/>
        </w:rPr>
        <w:t>)</w:t>
      </w:r>
      <w:r w:rsidR="000E1385">
        <w:rPr>
          <w:rFonts w:ascii="Arabic Transparent" w:hAnsi="Arabic Transparent" w:cs="Arabic Transparent" w:hint="cs"/>
          <w:sz w:val="28"/>
          <w:szCs w:val="28"/>
          <w:rtl/>
          <w:lang w:bidi="ar-JO"/>
        </w:rPr>
        <w:t>.</w:t>
      </w:r>
    </w:p>
    <w:p w14:paraId="01DC4F54" w14:textId="6ED67ACC" w:rsidR="00AA05F5" w:rsidRDefault="004D48CF" w:rsidP="0096175E">
      <w:pPr>
        <w:spacing w:after="0" w:line="360" w:lineRule="auto"/>
        <w:ind w:firstLine="332"/>
        <w:jc w:val="both"/>
        <w:rPr>
          <w:rFonts w:ascii="Arabic Transparent" w:hAnsi="Arabic Transparent" w:cs="Arabic Transparent"/>
          <w:sz w:val="28"/>
          <w:szCs w:val="28"/>
          <w:rtl/>
          <w:lang w:bidi="ar-JO"/>
        </w:rPr>
      </w:pPr>
      <w:r w:rsidRPr="00E9359B">
        <w:rPr>
          <w:rFonts w:ascii="Arabic Transparent" w:hAnsi="Arabic Transparent" w:cs="Arabic Transparent" w:hint="cs"/>
          <w:b/>
          <w:bCs/>
          <w:sz w:val="28"/>
          <w:szCs w:val="28"/>
          <w:rtl/>
          <w:lang w:bidi="ar-JO"/>
        </w:rPr>
        <w:t>وجه الدلالة:</w:t>
      </w:r>
      <w:r w:rsidRPr="00B529EB">
        <w:rPr>
          <w:rFonts w:ascii="Arabic Transparent" w:hAnsi="Arabic Transparent" w:cs="Arabic Transparent" w:hint="cs"/>
          <w:sz w:val="28"/>
          <w:szCs w:val="28"/>
          <w:rtl/>
          <w:lang w:bidi="ar-JO"/>
        </w:rPr>
        <w:t xml:space="preserve"> </w:t>
      </w:r>
      <w:r w:rsidR="00860B6C" w:rsidRPr="00B529EB">
        <w:rPr>
          <w:rFonts w:ascii="Arabic Transparent" w:hAnsi="Arabic Transparent" w:cs="Arabic Transparent" w:hint="cs"/>
          <w:sz w:val="28"/>
          <w:szCs w:val="28"/>
          <w:rtl/>
          <w:lang w:bidi="ar-JO"/>
        </w:rPr>
        <w:t>أن العمل الأفضل هو الذي يناسب كل حالة من حالات الصحابة الكرام</w:t>
      </w:r>
      <w:r w:rsidR="00DB5C9A">
        <w:rPr>
          <w:rFonts w:ascii="Arabic Transparent" w:hAnsi="Arabic Transparent" w:cs="Arabic Transparent" w:hint="cs"/>
          <w:sz w:val="28"/>
          <w:szCs w:val="28"/>
          <w:rtl/>
          <w:lang w:bidi="ar-JO"/>
        </w:rPr>
        <w:t xml:space="preserve"> -رضي الله عنهم-</w:t>
      </w:r>
      <w:r w:rsidR="00860B6C" w:rsidRPr="00B529EB">
        <w:rPr>
          <w:rFonts w:ascii="Arabic Transparent" w:hAnsi="Arabic Transparent" w:cs="Arabic Transparent" w:hint="cs"/>
          <w:sz w:val="28"/>
          <w:szCs w:val="28"/>
          <w:rtl/>
          <w:lang w:bidi="ar-JO"/>
        </w:rPr>
        <w:t xml:space="preserve"> ولا يوجد قاعدة مستقرة وإجابة واحدة مناسبة لجميع السائلين</w:t>
      </w:r>
      <w:r w:rsidR="00975323" w:rsidRPr="00B529EB">
        <w:rPr>
          <w:rFonts w:ascii="Arabic Transparent" w:hAnsi="Arabic Transparent" w:cs="Arabic Transparent" w:hint="cs"/>
          <w:sz w:val="28"/>
          <w:szCs w:val="28"/>
          <w:rtl/>
          <w:lang w:bidi="ar-JO"/>
        </w:rPr>
        <w:t xml:space="preserve">، قال الحافظ ابن حجر: </w:t>
      </w:r>
      <w:r w:rsidR="00E9359B">
        <w:rPr>
          <w:rFonts w:ascii="Arabic Transparent" w:hAnsi="Arabic Transparent" w:cs="Arabic Transparent" w:hint="cs"/>
          <w:sz w:val="28"/>
          <w:szCs w:val="28"/>
          <w:rtl/>
          <w:lang w:bidi="ar-JO"/>
        </w:rPr>
        <w:t>"</w:t>
      </w:r>
      <w:r w:rsidR="00975323" w:rsidRPr="00B529EB">
        <w:rPr>
          <w:rFonts w:ascii="Arabic Transparent" w:hAnsi="Arabic Transparent" w:cs="Arabic Transparent" w:hint="cs"/>
          <w:sz w:val="28"/>
          <w:szCs w:val="28"/>
          <w:rtl/>
          <w:lang w:bidi="ar-JO"/>
        </w:rPr>
        <w:t xml:space="preserve">مُحصّلُ </w:t>
      </w:r>
      <w:r w:rsidR="00DB5C9A">
        <w:rPr>
          <w:rFonts w:ascii="Arabic Transparent" w:hAnsi="Arabic Transparent" w:cs="Arabic Transparent" w:hint="cs"/>
          <w:sz w:val="28"/>
          <w:szCs w:val="28"/>
          <w:rtl/>
          <w:lang w:bidi="ar-JO"/>
        </w:rPr>
        <w:t>م</w:t>
      </w:r>
      <w:r w:rsidR="00975323" w:rsidRPr="00B529EB">
        <w:rPr>
          <w:rFonts w:ascii="Arabic Transparent" w:hAnsi="Arabic Transparent" w:cs="Arabic Transparent" w:hint="cs"/>
          <w:sz w:val="28"/>
          <w:szCs w:val="28"/>
          <w:rtl/>
          <w:lang w:bidi="ar-JO"/>
        </w:rPr>
        <w:t xml:space="preserve">ا أَجاب </w:t>
      </w:r>
      <w:r w:rsidR="00DB5C9A">
        <w:rPr>
          <w:rFonts w:ascii="Arabic Transparent" w:hAnsi="Arabic Transparent" w:cs="Arabic Transparent" w:hint="cs"/>
          <w:sz w:val="28"/>
          <w:szCs w:val="28"/>
          <w:rtl/>
          <w:lang w:bidi="ar-JO"/>
        </w:rPr>
        <w:t>ب</w:t>
      </w:r>
      <w:r w:rsidR="00975323" w:rsidRPr="00B529EB">
        <w:rPr>
          <w:rFonts w:ascii="Arabic Transparent" w:hAnsi="Arabic Transparent" w:cs="Arabic Transparent" w:hint="cs"/>
          <w:sz w:val="28"/>
          <w:szCs w:val="28"/>
          <w:rtl/>
          <w:lang w:bidi="ar-JO"/>
        </w:rPr>
        <w:t xml:space="preserve">ه العلماء عن هذا الحديث </w:t>
      </w:r>
      <w:r w:rsidR="00DB5C9A">
        <w:rPr>
          <w:rFonts w:ascii="Arabic Transparent" w:hAnsi="Arabic Transparent" w:cs="Arabic Transparent" w:hint="cs"/>
          <w:sz w:val="28"/>
          <w:szCs w:val="28"/>
          <w:rtl/>
          <w:lang w:bidi="ar-JO"/>
        </w:rPr>
        <w:t>و</w:t>
      </w:r>
      <w:r w:rsidR="00975323" w:rsidRPr="00B529EB">
        <w:rPr>
          <w:rFonts w:ascii="Arabic Transparent" w:hAnsi="Arabic Transparent" w:cs="Arabic Transparent" w:hint="cs"/>
          <w:sz w:val="28"/>
          <w:szCs w:val="28"/>
          <w:rtl/>
          <w:lang w:bidi="ar-JO"/>
        </w:rPr>
        <w:t>غيره ممَّا اخت</w:t>
      </w:r>
      <w:r w:rsidR="00DB5C9A">
        <w:rPr>
          <w:rFonts w:ascii="Arabic Transparent" w:hAnsi="Arabic Transparent" w:cs="Arabic Transparent" w:hint="cs"/>
          <w:sz w:val="28"/>
          <w:szCs w:val="28"/>
          <w:rtl/>
          <w:lang w:bidi="ar-JO"/>
        </w:rPr>
        <w:t>ل</w:t>
      </w:r>
      <w:r w:rsidR="00975323" w:rsidRPr="00B529EB">
        <w:rPr>
          <w:rFonts w:ascii="Arabic Transparent" w:hAnsi="Arabic Transparent" w:cs="Arabic Transparent" w:hint="cs"/>
          <w:sz w:val="28"/>
          <w:szCs w:val="28"/>
          <w:rtl/>
          <w:lang w:bidi="ar-JO"/>
        </w:rPr>
        <w:t>فت فيه الأَجو</w:t>
      </w:r>
      <w:r w:rsidR="00DB5C9A">
        <w:rPr>
          <w:rFonts w:ascii="Arabic Transparent" w:hAnsi="Arabic Transparent" w:cs="Arabic Transparent" w:hint="cs"/>
          <w:sz w:val="28"/>
          <w:szCs w:val="28"/>
          <w:rtl/>
          <w:lang w:bidi="ar-JO"/>
        </w:rPr>
        <w:t>بة</w:t>
      </w:r>
      <w:r w:rsidR="00975323" w:rsidRPr="00B529EB">
        <w:rPr>
          <w:rFonts w:ascii="Arabic Transparent" w:hAnsi="Arabic Transparent" w:cs="Arabic Transparent" w:hint="cs"/>
          <w:sz w:val="28"/>
          <w:szCs w:val="28"/>
          <w:rtl/>
          <w:lang w:bidi="ar-JO"/>
        </w:rPr>
        <w:t xml:space="preserve"> بأَنَّهُ أفضل ال</w:t>
      </w:r>
      <w:r w:rsidR="000B47C7">
        <w:rPr>
          <w:rFonts w:ascii="Arabic Transparent" w:hAnsi="Arabic Transparent" w:cs="Arabic Transparent" w:hint="cs"/>
          <w:sz w:val="28"/>
          <w:szCs w:val="28"/>
          <w:rtl/>
          <w:lang w:bidi="ar-JO"/>
        </w:rPr>
        <w:t>أ</w:t>
      </w:r>
      <w:r w:rsidR="00975323" w:rsidRPr="00B529EB">
        <w:rPr>
          <w:rFonts w:ascii="Arabic Transparent" w:hAnsi="Arabic Transparent" w:cs="Arabic Transparent" w:hint="cs"/>
          <w:sz w:val="28"/>
          <w:szCs w:val="28"/>
          <w:rtl/>
          <w:lang w:bidi="ar-JO"/>
        </w:rPr>
        <w:t>َعمال: أَنَّ الجواب اختلف لاختلاف أَحوال السَّائلين، بأَن أَعلم كلِ قوم بما ي</w:t>
      </w:r>
      <w:r w:rsidR="00536363">
        <w:rPr>
          <w:rFonts w:ascii="Arabic Transparent" w:hAnsi="Arabic Transparent" w:cs="Arabic Transparent" w:hint="cs"/>
          <w:sz w:val="28"/>
          <w:szCs w:val="28"/>
          <w:rtl/>
          <w:lang w:bidi="ar-JO"/>
        </w:rPr>
        <w:t>ح</w:t>
      </w:r>
      <w:r w:rsidR="00975323" w:rsidRPr="00B529EB">
        <w:rPr>
          <w:rFonts w:ascii="Arabic Transparent" w:hAnsi="Arabic Transparent" w:cs="Arabic Transparent" w:hint="cs"/>
          <w:sz w:val="28"/>
          <w:szCs w:val="28"/>
          <w:rtl/>
          <w:lang w:bidi="ar-JO"/>
        </w:rPr>
        <w:t>تاجون إِليهِ، أَ</w:t>
      </w:r>
      <w:r w:rsidR="00DB5C9A">
        <w:rPr>
          <w:rFonts w:ascii="Arabic Transparent" w:hAnsi="Arabic Transparent" w:cs="Arabic Transparent" w:hint="cs"/>
          <w:sz w:val="28"/>
          <w:szCs w:val="28"/>
          <w:rtl/>
          <w:lang w:bidi="ar-JO"/>
        </w:rPr>
        <w:t>و</w:t>
      </w:r>
      <w:r w:rsidR="00975323" w:rsidRPr="00B529EB">
        <w:rPr>
          <w:rFonts w:ascii="Arabic Transparent" w:hAnsi="Arabic Transparent" w:cs="Arabic Transparent" w:hint="cs"/>
          <w:sz w:val="28"/>
          <w:szCs w:val="28"/>
          <w:rtl/>
          <w:lang w:bidi="ar-JO"/>
        </w:rPr>
        <w:t xml:space="preserve"> بِما لهم فيه </w:t>
      </w:r>
      <w:r w:rsidR="00DB5C9A">
        <w:rPr>
          <w:rFonts w:ascii="Arabic Transparent" w:hAnsi="Arabic Transparent" w:cs="Arabic Transparent" w:hint="cs"/>
          <w:sz w:val="28"/>
          <w:szCs w:val="28"/>
          <w:rtl/>
          <w:lang w:bidi="ar-JO"/>
        </w:rPr>
        <w:t>ر</w:t>
      </w:r>
      <w:r w:rsidR="00975323" w:rsidRPr="00B529EB">
        <w:rPr>
          <w:rFonts w:ascii="Arabic Transparent" w:hAnsi="Arabic Transparent" w:cs="Arabic Transparent" w:hint="cs"/>
          <w:sz w:val="28"/>
          <w:szCs w:val="28"/>
          <w:rtl/>
          <w:lang w:bidi="ar-JO"/>
        </w:rPr>
        <w:t>غبة، أَو بما هو لائق بهم، أَ</w:t>
      </w:r>
      <w:r w:rsidR="00DB5C9A">
        <w:rPr>
          <w:rFonts w:ascii="Arabic Transparent" w:hAnsi="Arabic Transparent" w:cs="Arabic Transparent" w:hint="cs"/>
          <w:sz w:val="28"/>
          <w:szCs w:val="28"/>
          <w:rtl/>
          <w:lang w:bidi="ar-JO"/>
        </w:rPr>
        <w:t>و</w:t>
      </w:r>
      <w:r w:rsidR="00975323" w:rsidRPr="00B529EB">
        <w:rPr>
          <w:rFonts w:ascii="Arabic Transparent" w:hAnsi="Arabic Transparent" w:cs="Arabic Transparent" w:hint="cs"/>
          <w:sz w:val="28"/>
          <w:szCs w:val="28"/>
          <w:rtl/>
          <w:lang w:bidi="ar-JO"/>
        </w:rPr>
        <w:t xml:space="preserve"> كان الاختلاف باختلاف الأَ</w:t>
      </w:r>
      <w:r w:rsidR="00B67C47">
        <w:rPr>
          <w:rFonts w:ascii="Arabic Transparent" w:hAnsi="Arabic Transparent" w:cs="Arabic Transparent" w:hint="cs"/>
          <w:sz w:val="28"/>
          <w:szCs w:val="28"/>
          <w:rtl/>
          <w:lang w:bidi="ar-JO"/>
        </w:rPr>
        <w:t>و</w:t>
      </w:r>
      <w:r w:rsidR="00975323" w:rsidRPr="00B529EB">
        <w:rPr>
          <w:rFonts w:ascii="Arabic Transparent" w:hAnsi="Arabic Transparent" w:cs="Arabic Transparent" w:hint="cs"/>
          <w:sz w:val="28"/>
          <w:szCs w:val="28"/>
          <w:rtl/>
          <w:lang w:bidi="ar-JO"/>
        </w:rPr>
        <w:t>قات، بأَن يكون العمل في ذلك ال</w:t>
      </w:r>
      <w:r w:rsidR="00B67C47">
        <w:rPr>
          <w:rFonts w:ascii="Arabic Transparent" w:hAnsi="Arabic Transparent" w:cs="Arabic Transparent" w:hint="cs"/>
          <w:sz w:val="28"/>
          <w:szCs w:val="28"/>
          <w:rtl/>
          <w:lang w:bidi="ar-JO"/>
        </w:rPr>
        <w:t>و</w:t>
      </w:r>
      <w:r w:rsidR="00975323" w:rsidRPr="00B529EB">
        <w:rPr>
          <w:rFonts w:ascii="Arabic Transparent" w:hAnsi="Arabic Transparent" w:cs="Arabic Transparent" w:hint="cs"/>
          <w:sz w:val="28"/>
          <w:szCs w:val="28"/>
          <w:rtl/>
          <w:lang w:bidi="ar-JO"/>
        </w:rPr>
        <w:t>قت أفضل منه في غيره</w:t>
      </w:r>
      <w:r w:rsidR="000F026C">
        <w:rPr>
          <w:rFonts w:ascii="Arabic Transparent" w:hAnsi="Arabic Transparent" w:cs="Arabic Transparent" w:hint="cs"/>
          <w:sz w:val="28"/>
          <w:szCs w:val="28"/>
          <w:rtl/>
          <w:lang w:bidi="ar-JO"/>
        </w:rPr>
        <w:t xml:space="preserve">، </w:t>
      </w:r>
      <w:r w:rsidR="00975323" w:rsidRPr="00B529EB">
        <w:rPr>
          <w:rFonts w:ascii="Arabic Transparent" w:hAnsi="Arabic Transparent" w:cs="Arabic Transparent" w:hint="cs"/>
          <w:sz w:val="28"/>
          <w:szCs w:val="28"/>
          <w:rtl/>
          <w:lang w:bidi="ar-JO"/>
        </w:rPr>
        <w:t>فقد كان الجهادُ في ابتِ</w:t>
      </w:r>
      <w:r w:rsidR="00B67C47">
        <w:rPr>
          <w:rFonts w:ascii="Arabic Transparent" w:hAnsi="Arabic Transparent" w:cs="Arabic Transparent" w:hint="cs"/>
          <w:sz w:val="28"/>
          <w:szCs w:val="28"/>
          <w:rtl/>
          <w:lang w:bidi="ar-JO"/>
        </w:rPr>
        <w:t>د</w:t>
      </w:r>
      <w:r w:rsidR="00975323" w:rsidRPr="00B529EB">
        <w:rPr>
          <w:rFonts w:ascii="Arabic Transparent" w:hAnsi="Arabic Transparent" w:cs="Arabic Transparent" w:hint="cs"/>
          <w:sz w:val="28"/>
          <w:szCs w:val="28"/>
          <w:rtl/>
          <w:lang w:bidi="ar-JO"/>
        </w:rPr>
        <w:t>اء ال</w:t>
      </w:r>
      <w:r w:rsidR="00B67C47">
        <w:rPr>
          <w:rFonts w:ascii="Arabic Transparent" w:hAnsi="Arabic Transparent" w:cs="Arabic Transparent" w:hint="cs"/>
          <w:sz w:val="28"/>
          <w:szCs w:val="28"/>
          <w:rtl/>
          <w:lang w:bidi="ar-JO"/>
        </w:rPr>
        <w:t>إ</w:t>
      </w:r>
      <w:r w:rsidR="00975323" w:rsidRPr="00B529EB">
        <w:rPr>
          <w:rFonts w:ascii="Arabic Transparent" w:hAnsi="Arabic Transparent" w:cs="Arabic Transparent" w:hint="cs"/>
          <w:sz w:val="28"/>
          <w:szCs w:val="28"/>
          <w:rtl/>
          <w:lang w:bidi="ar-JO"/>
        </w:rPr>
        <w:t>سلام أفض</w:t>
      </w:r>
      <w:r w:rsidR="00B67C47">
        <w:rPr>
          <w:rFonts w:ascii="Arabic Transparent" w:hAnsi="Arabic Transparent" w:cs="Arabic Transparent" w:hint="cs"/>
          <w:sz w:val="28"/>
          <w:szCs w:val="28"/>
          <w:rtl/>
          <w:lang w:bidi="ar-JO"/>
        </w:rPr>
        <w:t>ل</w:t>
      </w:r>
      <w:r w:rsidR="00975323" w:rsidRPr="00B529EB">
        <w:rPr>
          <w:rFonts w:ascii="Arabic Transparent" w:hAnsi="Arabic Transparent" w:cs="Arabic Transparent" w:hint="cs"/>
          <w:sz w:val="28"/>
          <w:szCs w:val="28"/>
          <w:rtl/>
          <w:lang w:bidi="ar-JO"/>
        </w:rPr>
        <w:t xml:space="preserve"> الأع</w:t>
      </w:r>
      <w:r w:rsidR="00B67C47">
        <w:rPr>
          <w:rFonts w:ascii="Arabic Transparent" w:hAnsi="Arabic Transparent" w:cs="Arabic Transparent" w:hint="cs"/>
          <w:sz w:val="28"/>
          <w:szCs w:val="28"/>
          <w:rtl/>
          <w:lang w:bidi="ar-JO"/>
        </w:rPr>
        <w:t>م</w:t>
      </w:r>
      <w:r w:rsidR="00975323" w:rsidRPr="00B529EB">
        <w:rPr>
          <w:rFonts w:ascii="Arabic Transparent" w:hAnsi="Arabic Transparent" w:cs="Arabic Transparent" w:hint="cs"/>
          <w:sz w:val="28"/>
          <w:szCs w:val="28"/>
          <w:rtl/>
          <w:lang w:bidi="ar-JO"/>
        </w:rPr>
        <w:t>ال؛ لأَنَّه ا</w:t>
      </w:r>
      <w:r w:rsidR="00B67C47">
        <w:rPr>
          <w:rFonts w:ascii="Arabic Transparent" w:hAnsi="Arabic Transparent" w:cs="Arabic Transparent" w:hint="cs"/>
          <w:sz w:val="28"/>
          <w:szCs w:val="28"/>
          <w:rtl/>
          <w:lang w:bidi="ar-JO"/>
        </w:rPr>
        <w:t>لوس</w:t>
      </w:r>
      <w:r w:rsidR="00975323" w:rsidRPr="00B529EB">
        <w:rPr>
          <w:rFonts w:ascii="Arabic Transparent" w:hAnsi="Arabic Transparent" w:cs="Arabic Transparent" w:hint="cs"/>
          <w:sz w:val="28"/>
          <w:szCs w:val="28"/>
          <w:rtl/>
          <w:lang w:bidi="ar-JO"/>
        </w:rPr>
        <w:t>يلةُ إِلى القيا</w:t>
      </w:r>
      <w:r w:rsidR="00B67C47">
        <w:rPr>
          <w:rFonts w:ascii="Arabic Transparent" w:hAnsi="Arabic Transparent" w:cs="Arabic Transparent" w:hint="cs"/>
          <w:sz w:val="28"/>
          <w:szCs w:val="28"/>
          <w:rtl/>
          <w:lang w:bidi="ar-JO"/>
        </w:rPr>
        <w:t>م</w:t>
      </w:r>
      <w:r w:rsidR="00975323" w:rsidRPr="00B529EB">
        <w:rPr>
          <w:rFonts w:ascii="Arabic Transparent" w:hAnsi="Arabic Transparent" w:cs="Arabic Transparent" w:hint="cs"/>
          <w:sz w:val="28"/>
          <w:szCs w:val="28"/>
          <w:rtl/>
          <w:lang w:bidi="ar-JO"/>
        </w:rPr>
        <w:t xml:space="preserve"> بها والتَّمكن من أدائهَا، وقد تضافرَت</w:t>
      </w:r>
      <w:r w:rsidR="00975323" w:rsidRPr="00827CC8">
        <w:rPr>
          <w:rFonts w:ascii="Arabic Transparent" w:hAnsi="Arabic Transparent" w:cs="Arabic Transparent"/>
          <w:sz w:val="28"/>
          <w:szCs w:val="28"/>
          <w:rtl/>
          <w:lang w:bidi="ar-JO"/>
        </w:rPr>
        <w:t xml:space="preserve"> </w:t>
      </w:r>
      <w:r w:rsidR="00975323" w:rsidRPr="00B529EB">
        <w:rPr>
          <w:rFonts w:ascii="Arabic Transparent" w:hAnsi="Arabic Transparent" w:cs="Arabic Transparent" w:hint="cs"/>
          <w:sz w:val="28"/>
          <w:szCs w:val="28"/>
          <w:rtl/>
          <w:lang w:bidi="ar-JO"/>
        </w:rPr>
        <w:t>النُّصوص على أَنَّ الصَّلاة أَفضل من الصَّدقة، ومع ذلك ففي وقتِ موَاساةِ المضطرِّ تكون الصَّدقة أَفضل</w:t>
      </w:r>
      <w:r w:rsidR="00E9359B">
        <w:rPr>
          <w:rFonts w:ascii="Arabic Transparent" w:hAnsi="Arabic Transparent" w:cs="Arabic Transparent" w:hint="cs"/>
          <w:sz w:val="28"/>
          <w:szCs w:val="28"/>
          <w:rtl/>
          <w:lang w:bidi="ar-JO"/>
        </w:rPr>
        <w:t>"</w:t>
      </w:r>
      <w:r w:rsidR="00975323" w:rsidRPr="00B529EB">
        <w:rPr>
          <w:rFonts w:ascii="Arabic Transparent" w:hAnsi="Arabic Transparent" w:cs="Arabic Transparent" w:hint="cs"/>
          <w:sz w:val="28"/>
          <w:szCs w:val="28"/>
          <w:vertAlign w:val="superscript"/>
          <w:rtl/>
          <w:lang w:bidi="ar-JO"/>
        </w:rPr>
        <w:t>(</w:t>
      </w:r>
      <w:r w:rsidR="00975323" w:rsidRPr="00B529EB">
        <w:rPr>
          <w:rStyle w:val="FootnoteReference"/>
          <w:rFonts w:ascii="Arabic Transparent" w:hAnsi="Arabic Transparent" w:cs="Arabic Transparent" w:hint="cs"/>
          <w:sz w:val="28"/>
          <w:szCs w:val="28"/>
          <w:rtl/>
          <w:lang w:bidi="ar-JO"/>
        </w:rPr>
        <w:footnoteReference w:id="91"/>
      </w:r>
      <w:r w:rsidR="00975323" w:rsidRPr="00B529EB">
        <w:rPr>
          <w:rFonts w:ascii="Arabic Transparent" w:hAnsi="Arabic Transparent" w:cs="Arabic Transparent" w:hint="cs"/>
          <w:sz w:val="28"/>
          <w:szCs w:val="28"/>
          <w:vertAlign w:val="superscript"/>
          <w:rtl/>
          <w:lang w:bidi="ar-JO"/>
        </w:rPr>
        <w:t>)</w:t>
      </w:r>
      <w:r w:rsidR="00975323" w:rsidRPr="00B529EB">
        <w:rPr>
          <w:rFonts w:ascii="Arabic Transparent" w:hAnsi="Arabic Transparent" w:cs="Arabic Transparent" w:hint="cs"/>
          <w:sz w:val="28"/>
          <w:szCs w:val="28"/>
          <w:rtl/>
          <w:lang w:bidi="ar-JO"/>
        </w:rPr>
        <w:t>.</w:t>
      </w:r>
    </w:p>
    <w:p w14:paraId="26917CB8" w14:textId="77777777" w:rsidR="00AA05F5" w:rsidRDefault="00AA05F5">
      <w:pPr>
        <w:bidi w:val="0"/>
        <w:spacing w:after="0" w:line="240" w:lineRule="auto"/>
        <w:rPr>
          <w:rFonts w:ascii="Arabic Transparent" w:hAnsi="Arabic Transparent" w:cs="Arabic Transparent"/>
          <w:sz w:val="28"/>
          <w:szCs w:val="28"/>
          <w:rtl/>
          <w:lang w:bidi="ar-JO"/>
        </w:rPr>
      </w:pPr>
      <w:r>
        <w:rPr>
          <w:rFonts w:ascii="Arabic Transparent" w:hAnsi="Arabic Transparent" w:cs="Arabic Transparent"/>
          <w:sz w:val="28"/>
          <w:szCs w:val="28"/>
          <w:rtl/>
          <w:lang w:bidi="ar-JO"/>
        </w:rPr>
        <w:br w:type="page"/>
      </w:r>
    </w:p>
    <w:p w14:paraId="181C99E5" w14:textId="170B6EAF" w:rsidR="00975323" w:rsidRPr="00E9359B" w:rsidRDefault="00FA7204" w:rsidP="00975323">
      <w:pPr>
        <w:spacing w:after="0" w:line="360" w:lineRule="auto"/>
        <w:jc w:val="both"/>
        <w:rPr>
          <w:rFonts w:ascii="Arabic Transparent" w:hAnsi="Arabic Transparent" w:cs="Arabic Transparent"/>
          <w:b/>
          <w:bCs/>
          <w:sz w:val="28"/>
          <w:szCs w:val="28"/>
          <w:rtl/>
          <w:lang w:bidi="ar-JO"/>
        </w:rPr>
      </w:pPr>
      <w:r>
        <w:rPr>
          <w:rFonts w:ascii="Arabic Transparent" w:hAnsi="Arabic Transparent" w:cs="Arabic Transparent" w:hint="cs"/>
          <w:b/>
          <w:bCs/>
          <w:sz w:val="28"/>
          <w:szCs w:val="28"/>
          <w:rtl/>
          <w:lang w:bidi="ar-JO"/>
        </w:rPr>
        <w:t>الفرع الثاني</w:t>
      </w:r>
      <w:r w:rsidR="00975323" w:rsidRPr="00E9359B">
        <w:rPr>
          <w:rFonts w:ascii="Arabic Transparent" w:hAnsi="Arabic Transparent" w:cs="Arabic Transparent" w:hint="cs"/>
          <w:b/>
          <w:bCs/>
          <w:sz w:val="28"/>
          <w:szCs w:val="28"/>
          <w:rtl/>
          <w:lang w:bidi="ar-JO"/>
        </w:rPr>
        <w:t>: من آثار الصحابة الكرام</w:t>
      </w:r>
      <w:r w:rsidR="001555F4">
        <w:rPr>
          <w:rFonts w:ascii="Arabic Transparent" w:hAnsi="Arabic Transparent" w:cs="Arabic Transparent" w:hint="cs"/>
          <w:b/>
          <w:bCs/>
          <w:sz w:val="28"/>
          <w:szCs w:val="28"/>
          <w:rtl/>
          <w:lang w:bidi="ar-JO"/>
        </w:rPr>
        <w:t xml:space="preserve"> -رضي الله عنهم-</w:t>
      </w:r>
      <w:r w:rsidR="00151AED">
        <w:rPr>
          <w:rFonts w:ascii="Arabic Transparent" w:hAnsi="Arabic Transparent" w:cs="Arabic Transparent" w:hint="cs"/>
          <w:b/>
          <w:bCs/>
          <w:sz w:val="28"/>
          <w:szCs w:val="28"/>
          <w:rtl/>
          <w:lang w:bidi="ar-JO"/>
        </w:rPr>
        <w:t xml:space="preserve">: </w:t>
      </w:r>
    </w:p>
    <w:p w14:paraId="4DFD4B0E" w14:textId="18BD2559" w:rsidR="0096175E" w:rsidRDefault="00EB615D" w:rsidP="00026AD3">
      <w:pPr>
        <w:spacing w:after="0" w:line="360" w:lineRule="auto"/>
        <w:ind w:firstLine="332"/>
        <w:jc w:val="both"/>
        <w:rPr>
          <w:rFonts w:ascii="Arabic Transparent" w:hAnsi="Arabic Transparent" w:cs="Arabic Transparent"/>
          <w:sz w:val="28"/>
          <w:szCs w:val="28"/>
          <w:rtl/>
          <w:lang w:bidi="ar-JO"/>
        </w:rPr>
      </w:pPr>
      <w:r w:rsidRPr="00B529EB">
        <w:rPr>
          <w:rFonts w:ascii="Arabic Transparent" w:hAnsi="Arabic Transparent" w:cs="Arabic Transparent" w:hint="cs"/>
          <w:sz w:val="28"/>
          <w:szCs w:val="28"/>
          <w:rtl/>
          <w:lang w:bidi="ar-JO"/>
        </w:rPr>
        <w:t>وردت كثير من اجتهادات الصحابة</w:t>
      </w:r>
      <w:r w:rsidR="001555F4">
        <w:rPr>
          <w:rFonts w:ascii="Arabic Transparent" w:hAnsi="Arabic Transparent" w:cs="Arabic Transparent" w:hint="cs"/>
          <w:sz w:val="28"/>
          <w:szCs w:val="28"/>
          <w:rtl/>
          <w:lang w:bidi="ar-JO"/>
        </w:rPr>
        <w:t xml:space="preserve"> -رضي الله عنهم- </w:t>
      </w:r>
      <w:r w:rsidRPr="00B529EB">
        <w:rPr>
          <w:rFonts w:ascii="Arabic Transparent" w:hAnsi="Arabic Transparent" w:cs="Arabic Transparent" w:hint="cs"/>
          <w:sz w:val="28"/>
          <w:szCs w:val="28"/>
          <w:rtl/>
          <w:lang w:bidi="ar-JO"/>
        </w:rPr>
        <w:t>في وقائع معينة</w:t>
      </w:r>
      <w:r w:rsidRPr="00B529EB">
        <w:rPr>
          <w:rFonts w:ascii="Arabic Transparent" w:hAnsi="Arabic Transparent" w:cs="Arabic Transparent" w:hint="cs"/>
          <w:sz w:val="28"/>
          <w:szCs w:val="28"/>
          <w:vertAlign w:val="superscript"/>
          <w:rtl/>
          <w:lang w:bidi="ar-JO"/>
        </w:rPr>
        <w:t>(</w:t>
      </w:r>
      <w:r w:rsidRPr="00B529EB">
        <w:rPr>
          <w:rStyle w:val="FootnoteReference"/>
          <w:rFonts w:ascii="Arabic Transparent" w:hAnsi="Arabic Transparent" w:cs="Arabic Transparent" w:hint="cs"/>
          <w:sz w:val="28"/>
          <w:szCs w:val="28"/>
          <w:rtl/>
          <w:lang w:bidi="ar-JO"/>
        </w:rPr>
        <w:footnoteReference w:id="92"/>
      </w:r>
      <w:r w:rsidRPr="00B529EB">
        <w:rPr>
          <w:rFonts w:ascii="Arabic Transparent" w:hAnsi="Arabic Transparent" w:cs="Arabic Transparent" w:hint="cs"/>
          <w:sz w:val="28"/>
          <w:szCs w:val="28"/>
          <w:vertAlign w:val="superscript"/>
          <w:rtl/>
          <w:lang w:bidi="ar-JO"/>
        </w:rPr>
        <w:t>)</w:t>
      </w:r>
      <w:r w:rsidRPr="00B529EB">
        <w:rPr>
          <w:rFonts w:ascii="Arabic Transparent" w:hAnsi="Arabic Transparent" w:cs="Arabic Transparent" w:hint="cs"/>
          <w:sz w:val="28"/>
          <w:szCs w:val="28"/>
          <w:rtl/>
          <w:lang w:bidi="ar-JO"/>
        </w:rPr>
        <w:t xml:space="preserve"> تدل على مشروعية تحقيق المناط الخاص منها: اجتهاد أمير المؤمنين عمر بن الخطاب </w:t>
      </w:r>
      <w:r w:rsidR="005224A0">
        <w:rPr>
          <w:rFonts w:ascii="AGA Arabesque" w:eastAsia="AGA Arabesque" w:hAnsi="AGA Arabesque" w:cs="AGA Arabesque"/>
          <w:sz w:val="28"/>
          <w:szCs w:val="28"/>
          <w:lang w:bidi="ar-JO"/>
        </w:rPr>
        <w:t></w:t>
      </w:r>
      <w:r w:rsidRPr="00B529EB">
        <w:rPr>
          <w:rFonts w:ascii="Arabic Transparent" w:hAnsi="Arabic Transparent" w:cs="Arabic Transparent" w:hint="cs"/>
          <w:sz w:val="28"/>
          <w:szCs w:val="28"/>
          <w:rtl/>
          <w:lang w:bidi="ar-JO"/>
        </w:rPr>
        <w:t>، وإيقاف حد السرقة عام المجاعة</w:t>
      </w:r>
      <w:r w:rsidR="001555F4">
        <w:rPr>
          <w:rFonts w:ascii="Arabic Transparent" w:hAnsi="Arabic Transparent" w:cs="Arabic Transparent" w:hint="cs"/>
          <w:sz w:val="28"/>
          <w:szCs w:val="28"/>
          <w:rtl/>
          <w:lang w:bidi="ar-JO"/>
        </w:rPr>
        <w:t>،</w:t>
      </w:r>
      <w:r w:rsidRPr="00B529EB">
        <w:rPr>
          <w:rFonts w:ascii="Arabic Transparent" w:hAnsi="Arabic Transparent" w:cs="Arabic Transparent" w:hint="cs"/>
          <w:sz w:val="28"/>
          <w:szCs w:val="28"/>
          <w:rtl/>
          <w:lang w:bidi="ar-JO"/>
        </w:rPr>
        <w:t xml:space="preserve"> وعام المجاعة </w:t>
      </w:r>
      <w:r w:rsidR="00026AD3">
        <w:rPr>
          <w:rFonts w:ascii="Arabic Transparent" w:hAnsi="Arabic Transparent" w:cs="Arabic Transparent" w:hint="cs"/>
          <w:sz w:val="28"/>
          <w:szCs w:val="28"/>
          <w:rtl/>
          <w:lang w:bidi="ar-JO"/>
        </w:rPr>
        <w:t>"</w:t>
      </w:r>
      <w:r w:rsidRPr="00B529EB">
        <w:rPr>
          <w:rFonts w:ascii="Arabic Transparent" w:hAnsi="Arabic Transparent" w:cs="Arabic Transparent" w:hint="cs"/>
          <w:sz w:val="28"/>
          <w:szCs w:val="28"/>
          <w:rtl/>
          <w:lang w:bidi="ar-JO"/>
        </w:rPr>
        <w:t>ي</w:t>
      </w:r>
      <w:r w:rsidR="001555F4">
        <w:rPr>
          <w:rFonts w:ascii="Arabic Transparent" w:hAnsi="Arabic Transparent" w:cs="Arabic Transparent" w:hint="cs"/>
          <w:sz w:val="28"/>
          <w:szCs w:val="28"/>
          <w:rtl/>
          <w:lang w:bidi="ar-JO"/>
        </w:rPr>
        <w:t>ُ</w:t>
      </w:r>
      <w:r w:rsidRPr="00B529EB">
        <w:rPr>
          <w:rFonts w:ascii="Arabic Transparent" w:hAnsi="Arabic Transparent" w:cs="Arabic Transparent" w:hint="cs"/>
          <w:sz w:val="28"/>
          <w:szCs w:val="28"/>
          <w:rtl/>
          <w:lang w:bidi="ar-JO"/>
        </w:rPr>
        <w:t xml:space="preserve">شار به إلى الأزمة الاقتصادية التي وقعت </w:t>
      </w:r>
      <w:r w:rsidR="001555F4">
        <w:rPr>
          <w:rFonts w:ascii="Arabic Transparent" w:hAnsi="Arabic Transparent" w:cs="Arabic Transparent" w:hint="cs"/>
          <w:sz w:val="28"/>
          <w:szCs w:val="28"/>
          <w:rtl/>
          <w:lang w:bidi="ar-JO"/>
        </w:rPr>
        <w:t xml:space="preserve">في </w:t>
      </w:r>
      <w:r w:rsidRPr="00B529EB">
        <w:rPr>
          <w:rFonts w:ascii="Arabic Transparent" w:hAnsi="Arabic Transparent" w:cs="Arabic Transparent" w:hint="cs"/>
          <w:sz w:val="28"/>
          <w:szCs w:val="28"/>
          <w:rtl/>
          <w:lang w:bidi="ar-JO"/>
        </w:rPr>
        <w:t>الحجاز على عهد أمير المؤمنين عمر</w:t>
      </w:r>
      <w:r w:rsidR="001555F4">
        <w:rPr>
          <w:rFonts w:ascii="Arabic Transparent" w:hAnsi="Arabic Transparent" w:cs="Arabic Transparent" w:hint="cs"/>
          <w:sz w:val="28"/>
          <w:szCs w:val="28"/>
          <w:rtl/>
          <w:lang w:bidi="ar-JO"/>
        </w:rPr>
        <w:t xml:space="preserve"> </w:t>
      </w:r>
      <w:r w:rsidR="005224A0">
        <w:rPr>
          <w:rFonts w:ascii="AGA Arabesque" w:eastAsia="AGA Arabesque" w:hAnsi="AGA Arabesque" w:cs="AGA Arabesque"/>
          <w:sz w:val="28"/>
          <w:szCs w:val="28"/>
          <w:lang w:bidi="ar-JO"/>
        </w:rPr>
        <w:t></w:t>
      </w:r>
      <w:r w:rsidR="005224A0">
        <w:rPr>
          <w:rFonts w:ascii="Arabic Transparent" w:hAnsi="Arabic Transparent" w:cs="Arabic Transparent" w:hint="cs"/>
          <w:sz w:val="28"/>
          <w:szCs w:val="28"/>
          <w:rtl/>
          <w:lang w:bidi="ar-JO"/>
        </w:rPr>
        <w:t xml:space="preserve"> </w:t>
      </w:r>
      <w:r w:rsidRPr="00B529EB">
        <w:rPr>
          <w:rFonts w:ascii="Arabic Transparent" w:hAnsi="Arabic Transparent" w:cs="Arabic Transparent" w:hint="cs"/>
          <w:sz w:val="28"/>
          <w:szCs w:val="28"/>
          <w:rtl/>
          <w:lang w:bidi="ar-JO"/>
        </w:rPr>
        <w:t xml:space="preserve">وعمت شعب الحجاز وما حوله من قرى العرب، حتى أجهدتهم وحملتهم </w:t>
      </w:r>
      <w:r w:rsidR="00B3335A">
        <w:rPr>
          <w:rFonts w:ascii="Arabic Transparent" w:hAnsi="Arabic Transparent" w:cs="Arabic Transparent" w:hint="cs"/>
          <w:sz w:val="28"/>
          <w:szCs w:val="28"/>
          <w:rtl/>
          <w:lang w:bidi="ar-JO"/>
        </w:rPr>
        <w:t>على ما</w:t>
      </w:r>
      <w:r w:rsidR="001555F4">
        <w:rPr>
          <w:rFonts w:ascii="Arabic Transparent" w:hAnsi="Arabic Transparent" w:cs="Arabic Transparent" w:hint="cs"/>
          <w:sz w:val="28"/>
          <w:szCs w:val="28"/>
          <w:rtl/>
          <w:lang w:bidi="ar-JO"/>
        </w:rPr>
        <w:t xml:space="preserve"> لا</w:t>
      </w:r>
      <w:r w:rsidRPr="00B529EB">
        <w:rPr>
          <w:rFonts w:ascii="Arabic Transparent" w:hAnsi="Arabic Transparent" w:cs="Arabic Transparent" w:hint="cs"/>
          <w:sz w:val="28"/>
          <w:szCs w:val="28"/>
          <w:rtl/>
          <w:lang w:bidi="ar-JO"/>
        </w:rPr>
        <w:t xml:space="preserve"> </w:t>
      </w:r>
      <w:r w:rsidR="001555F4">
        <w:rPr>
          <w:rFonts w:ascii="Arabic Transparent" w:hAnsi="Arabic Transparent" w:cs="Arabic Transparent" w:hint="cs"/>
          <w:sz w:val="28"/>
          <w:szCs w:val="28"/>
          <w:rtl/>
          <w:lang w:bidi="ar-JO"/>
        </w:rPr>
        <w:t>جهد</w:t>
      </w:r>
      <w:r w:rsidRPr="00B529EB">
        <w:rPr>
          <w:rFonts w:ascii="Arabic Transparent" w:hAnsi="Arabic Transparent" w:cs="Arabic Transparent" w:hint="cs"/>
          <w:sz w:val="28"/>
          <w:szCs w:val="28"/>
          <w:rtl/>
          <w:lang w:bidi="ar-JO"/>
        </w:rPr>
        <w:t xml:space="preserve"> لهم </w:t>
      </w:r>
      <w:r w:rsidR="00C61F85" w:rsidRPr="00B529EB">
        <w:rPr>
          <w:rFonts w:ascii="Arabic Transparent" w:hAnsi="Arabic Transparent" w:cs="Arabic Transparent" w:hint="cs"/>
          <w:sz w:val="28"/>
          <w:szCs w:val="28"/>
          <w:rtl/>
          <w:lang w:bidi="ar-JO"/>
        </w:rPr>
        <w:t>به،</w:t>
      </w:r>
      <w:r w:rsidRPr="00B529EB">
        <w:rPr>
          <w:rFonts w:ascii="Arabic Transparent" w:hAnsi="Arabic Transparent" w:cs="Arabic Transparent" w:hint="cs"/>
          <w:sz w:val="28"/>
          <w:szCs w:val="28"/>
          <w:rtl/>
          <w:lang w:bidi="ar-JO"/>
        </w:rPr>
        <w:t xml:space="preserve"> </w:t>
      </w:r>
      <w:r w:rsidR="001555F4">
        <w:rPr>
          <w:rFonts w:ascii="Arabic Transparent" w:hAnsi="Arabic Transparent" w:cs="Arabic Transparent" w:hint="cs"/>
          <w:sz w:val="28"/>
          <w:szCs w:val="28"/>
          <w:rtl/>
          <w:lang w:bidi="ar-JO"/>
        </w:rPr>
        <w:t>مع</w:t>
      </w:r>
      <w:r w:rsidRPr="00B529EB">
        <w:rPr>
          <w:rFonts w:ascii="Arabic Transparent" w:hAnsi="Arabic Transparent" w:cs="Arabic Transparent" w:hint="cs"/>
          <w:sz w:val="28"/>
          <w:szCs w:val="28"/>
          <w:rtl/>
          <w:lang w:bidi="ar-JO"/>
        </w:rPr>
        <w:t xml:space="preserve"> ما عرفوا به من الصبر عند الشدائد</w:t>
      </w:r>
      <w:r w:rsidR="00026AD3">
        <w:rPr>
          <w:rFonts w:ascii="Arabic Transparent" w:hAnsi="Arabic Transparent" w:cs="Arabic Transparent" w:hint="cs"/>
          <w:sz w:val="28"/>
          <w:szCs w:val="28"/>
          <w:rtl/>
          <w:lang w:bidi="ar-JO"/>
        </w:rPr>
        <w:t xml:space="preserve">، </w:t>
      </w:r>
      <w:r w:rsidRPr="00B529EB">
        <w:rPr>
          <w:rFonts w:ascii="Arabic Transparent" w:hAnsi="Arabic Transparent" w:cs="Arabic Transparent" w:hint="cs"/>
          <w:sz w:val="28"/>
          <w:szCs w:val="28"/>
          <w:rtl/>
          <w:lang w:bidi="ar-JO"/>
        </w:rPr>
        <w:t>وقد حل</w:t>
      </w:r>
      <w:r w:rsidR="00026AD3">
        <w:rPr>
          <w:rFonts w:ascii="Arabic Transparent" w:hAnsi="Arabic Transparent" w:cs="Arabic Transparent" w:hint="cs"/>
          <w:sz w:val="28"/>
          <w:szCs w:val="28"/>
          <w:rtl/>
          <w:lang w:bidi="ar-JO"/>
        </w:rPr>
        <w:t>ّ</w:t>
      </w:r>
      <w:r w:rsidRPr="00B529EB">
        <w:rPr>
          <w:rFonts w:ascii="Arabic Transparent" w:hAnsi="Arabic Transparent" w:cs="Arabic Transparent" w:hint="cs"/>
          <w:sz w:val="28"/>
          <w:szCs w:val="28"/>
          <w:rtl/>
          <w:lang w:bidi="ar-JO"/>
        </w:rPr>
        <w:t>ت هذه الأزمة بهم في عام الرمادة، وهو العام الثامن عشر من هجرة رسول</w:t>
      </w:r>
      <w:r w:rsidR="001555F4">
        <w:rPr>
          <w:rFonts w:ascii="Arabic Transparent" w:hAnsi="Arabic Transparent" w:cs="Arabic Transparent" w:hint="cs"/>
          <w:sz w:val="28"/>
          <w:szCs w:val="28"/>
          <w:rtl/>
          <w:lang w:bidi="ar-JO"/>
        </w:rPr>
        <w:t xml:space="preserve"> </w:t>
      </w:r>
      <w:r w:rsidRPr="00B529EB">
        <w:rPr>
          <w:rFonts w:ascii="Arabic Transparent" w:hAnsi="Arabic Transparent" w:cs="Arabic Transparent" w:hint="cs"/>
          <w:sz w:val="28"/>
          <w:szCs w:val="28"/>
          <w:rtl/>
          <w:lang w:bidi="ar-JO"/>
        </w:rPr>
        <w:t xml:space="preserve">الله </w:t>
      </w:r>
      <w:r w:rsidR="005E3842">
        <w:rPr>
          <w:rFonts w:ascii="AGA Arabesque" w:eastAsia="AGA Arabesque" w:hAnsi="AGA Arabesque" w:cs="AGA Arabesque"/>
          <w:sz w:val="28"/>
          <w:szCs w:val="28"/>
          <w:lang w:bidi="ar-JO"/>
        </w:rPr>
        <w:t></w:t>
      </w:r>
      <w:r w:rsidRPr="00B529EB">
        <w:rPr>
          <w:rFonts w:ascii="Arabic Transparent" w:hAnsi="Arabic Transparent" w:cs="Arabic Transparent" w:hint="cs"/>
          <w:sz w:val="28"/>
          <w:szCs w:val="28"/>
          <w:rtl/>
          <w:lang w:bidi="ar-JO"/>
        </w:rPr>
        <w:t xml:space="preserve"> إلى المدينة</w:t>
      </w:r>
      <w:r w:rsidR="004E1AF2" w:rsidRPr="00B529EB">
        <w:rPr>
          <w:rFonts w:ascii="Arabic Transparent" w:hAnsi="Arabic Transparent" w:cs="Arabic Transparent" w:hint="cs"/>
          <w:sz w:val="28"/>
          <w:szCs w:val="28"/>
          <w:rtl/>
          <w:lang w:bidi="ar-JO"/>
        </w:rPr>
        <w:t xml:space="preserve">، وكان اجتهاد أمير المؤمنين في هذه الأزمة </w:t>
      </w:r>
      <w:r w:rsidR="001555F4">
        <w:rPr>
          <w:rFonts w:ascii="Arabic Transparent" w:hAnsi="Arabic Transparent" w:cs="Arabic Transparent" w:hint="cs"/>
          <w:sz w:val="28"/>
          <w:szCs w:val="28"/>
          <w:rtl/>
          <w:lang w:bidi="ar-JO"/>
        </w:rPr>
        <w:t>إيقاف</w:t>
      </w:r>
      <w:r w:rsidR="004E1AF2" w:rsidRPr="00B529EB">
        <w:rPr>
          <w:rFonts w:ascii="Arabic Transparent" w:hAnsi="Arabic Transparent" w:cs="Arabic Transparent" w:hint="cs"/>
          <w:sz w:val="28"/>
          <w:szCs w:val="28"/>
          <w:rtl/>
          <w:lang w:bidi="ar-JO"/>
        </w:rPr>
        <w:t xml:space="preserve"> حد السرقة</w:t>
      </w:r>
      <w:r w:rsidR="00026AD3">
        <w:rPr>
          <w:rFonts w:ascii="Arabic Transparent" w:hAnsi="Arabic Transparent" w:cs="Arabic Transparent" w:hint="cs"/>
          <w:sz w:val="28"/>
          <w:szCs w:val="28"/>
          <w:rtl/>
          <w:lang w:bidi="ar-JO"/>
        </w:rPr>
        <w:t>"</w:t>
      </w:r>
      <w:r w:rsidR="00026AD3" w:rsidRPr="00B529EB">
        <w:rPr>
          <w:rFonts w:ascii="Arabic Transparent" w:hAnsi="Arabic Transparent" w:cs="Arabic Transparent" w:hint="cs"/>
          <w:sz w:val="28"/>
          <w:szCs w:val="28"/>
          <w:vertAlign w:val="superscript"/>
          <w:rtl/>
          <w:lang w:bidi="ar-JO"/>
        </w:rPr>
        <w:t>(</w:t>
      </w:r>
      <w:r w:rsidR="00026AD3" w:rsidRPr="00B529EB">
        <w:rPr>
          <w:rStyle w:val="FootnoteReference"/>
          <w:rFonts w:ascii="Arabic Transparent" w:hAnsi="Arabic Transparent" w:cs="Arabic Transparent" w:hint="cs"/>
          <w:sz w:val="28"/>
          <w:szCs w:val="28"/>
          <w:rtl/>
          <w:lang w:bidi="ar-JO"/>
        </w:rPr>
        <w:footnoteReference w:id="93"/>
      </w:r>
      <w:r w:rsidR="00026AD3" w:rsidRPr="00B529EB">
        <w:rPr>
          <w:rFonts w:ascii="Arabic Transparent" w:hAnsi="Arabic Transparent" w:cs="Arabic Transparent" w:hint="cs"/>
          <w:sz w:val="28"/>
          <w:szCs w:val="28"/>
          <w:vertAlign w:val="superscript"/>
          <w:rtl/>
          <w:lang w:bidi="ar-JO"/>
        </w:rPr>
        <w:t>)</w:t>
      </w:r>
      <w:r w:rsidR="004E1AF2" w:rsidRPr="00B529EB">
        <w:rPr>
          <w:rFonts w:ascii="Arabic Transparent" w:hAnsi="Arabic Transparent" w:cs="Arabic Transparent" w:hint="cs"/>
          <w:sz w:val="28"/>
          <w:szCs w:val="28"/>
          <w:rtl/>
          <w:lang w:bidi="ar-JO"/>
        </w:rPr>
        <w:t>، بأن منع قطع يد السارق في ذلك العام</w:t>
      </w:r>
      <w:r w:rsidR="00EB7D70">
        <w:rPr>
          <w:rFonts w:ascii="Arabic Transparent" w:hAnsi="Arabic Transparent" w:cs="Arabic Transparent" w:hint="cs"/>
          <w:sz w:val="28"/>
          <w:szCs w:val="28"/>
          <w:rtl/>
          <w:lang w:bidi="ar-JO"/>
        </w:rPr>
        <w:t xml:space="preserve"> في حالات خاصة اقتضى أن يجتهد فيها، ويرى عدم انطباق المناط العام بالقطع على حكم من سرق ليأكل ويحمي نفسه من الموت.</w:t>
      </w:r>
    </w:p>
    <w:p w14:paraId="4C1F91A7" w14:textId="455689F7" w:rsidR="00AA05F5" w:rsidRDefault="00930ACA" w:rsidP="0096175E">
      <w:pPr>
        <w:spacing w:after="0" w:line="360" w:lineRule="auto"/>
        <w:ind w:firstLine="48"/>
        <w:jc w:val="both"/>
        <w:rPr>
          <w:rFonts w:ascii="Arabic Transparent" w:hAnsi="Arabic Transparent" w:cs="Arabic Transparent"/>
          <w:sz w:val="28"/>
          <w:szCs w:val="28"/>
          <w:rtl/>
          <w:lang w:bidi="ar-JO"/>
        </w:rPr>
      </w:pPr>
      <w:r>
        <w:rPr>
          <w:rFonts w:ascii="Arabic Transparent" w:hAnsi="Arabic Transparent" w:cs="Arabic Transparent" w:hint="cs"/>
          <w:sz w:val="28"/>
          <w:szCs w:val="28"/>
          <w:rtl/>
          <w:lang w:bidi="ar-JO"/>
        </w:rPr>
        <w:t xml:space="preserve">     </w:t>
      </w:r>
      <w:r w:rsidR="004E1AF2" w:rsidRPr="00B529EB">
        <w:rPr>
          <w:rFonts w:ascii="Arabic Transparent" w:hAnsi="Arabic Transparent" w:cs="Arabic Transparent" w:hint="cs"/>
          <w:sz w:val="28"/>
          <w:szCs w:val="28"/>
          <w:rtl/>
          <w:lang w:bidi="ar-JO"/>
        </w:rPr>
        <w:t xml:space="preserve">وفعله </w:t>
      </w:r>
      <w:r w:rsidR="005224A0">
        <w:rPr>
          <w:rFonts w:ascii="AGA Arabesque" w:eastAsia="AGA Arabesque" w:hAnsi="AGA Arabesque" w:cs="AGA Arabesque"/>
          <w:sz w:val="28"/>
          <w:szCs w:val="28"/>
          <w:lang w:bidi="ar-JO"/>
        </w:rPr>
        <w:t></w:t>
      </w:r>
      <w:r w:rsidR="004E1AF2" w:rsidRPr="00B529EB">
        <w:rPr>
          <w:rFonts w:ascii="Arabic Transparent" w:hAnsi="Arabic Transparent" w:cs="Arabic Transparent" w:hint="cs"/>
          <w:sz w:val="28"/>
          <w:szCs w:val="28"/>
          <w:rtl/>
          <w:lang w:bidi="ar-JO"/>
        </w:rPr>
        <w:t xml:space="preserve"> لا يوصف بأنه تعطيل للنص الشرعي إنما هو لعدم تحقق المناط العام</w:t>
      </w:r>
      <w:r w:rsidR="001555F4">
        <w:rPr>
          <w:rFonts w:ascii="Arabic Transparent" w:hAnsi="Arabic Transparent" w:cs="Arabic Transparent" w:hint="cs"/>
          <w:sz w:val="28"/>
          <w:szCs w:val="28"/>
          <w:rtl/>
          <w:lang w:bidi="ar-JO"/>
        </w:rPr>
        <w:t>،</w:t>
      </w:r>
      <w:r w:rsidR="004E1AF2" w:rsidRPr="00B529EB">
        <w:rPr>
          <w:rFonts w:ascii="Arabic Transparent" w:hAnsi="Arabic Transparent" w:cs="Arabic Transparent" w:hint="cs"/>
          <w:sz w:val="28"/>
          <w:szCs w:val="28"/>
          <w:rtl/>
          <w:lang w:bidi="ar-JO"/>
        </w:rPr>
        <w:t xml:space="preserve"> </w:t>
      </w:r>
      <w:r w:rsidR="001555F4">
        <w:rPr>
          <w:rFonts w:ascii="Arabic Transparent" w:hAnsi="Arabic Transparent" w:cs="Arabic Transparent" w:hint="cs"/>
          <w:sz w:val="28"/>
          <w:szCs w:val="28"/>
          <w:rtl/>
          <w:lang w:bidi="ar-JO"/>
        </w:rPr>
        <w:t>و</w:t>
      </w:r>
      <w:r w:rsidR="004E1AF2" w:rsidRPr="00B529EB">
        <w:rPr>
          <w:rFonts w:ascii="Arabic Transparent" w:hAnsi="Arabic Transparent" w:cs="Arabic Transparent" w:hint="cs"/>
          <w:sz w:val="28"/>
          <w:szCs w:val="28"/>
          <w:rtl/>
          <w:lang w:bidi="ar-JO"/>
        </w:rPr>
        <w:t>لعدم وجود الأفراد الذين يصدق عليهم مفهوم السرقة</w:t>
      </w:r>
      <w:r w:rsidR="001555F4">
        <w:rPr>
          <w:rFonts w:ascii="Arabic Transparent" w:hAnsi="Arabic Transparent" w:cs="Arabic Transparent" w:hint="cs"/>
          <w:sz w:val="28"/>
          <w:szCs w:val="28"/>
          <w:rtl/>
          <w:lang w:bidi="ar-JO"/>
        </w:rPr>
        <w:t>،</w:t>
      </w:r>
      <w:r w:rsidR="004E1AF2" w:rsidRPr="00B529EB">
        <w:rPr>
          <w:rFonts w:ascii="Arabic Transparent" w:hAnsi="Arabic Transparent" w:cs="Arabic Transparent" w:hint="cs"/>
          <w:sz w:val="28"/>
          <w:szCs w:val="28"/>
          <w:rtl/>
          <w:lang w:bidi="ar-JO"/>
        </w:rPr>
        <w:t xml:space="preserve"> وأكل مال الآخرين بغير وجه حق، </w:t>
      </w:r>
      <w:r w:rsidR="001555F4">
        <w:rPr>
          <w:rFonts w:ascii="Arabic Transparent" w:hAnsi="Arabic Transparent" w:cs="Arabic Transparent" w:hint="cs"/>
          <w:sz w:val="28"/>
          <w:szCs w:val="28"/>
          <w:rtl/>
          <w:lang w:bidi="ar-JO"/>
        </w:rPr>
        <w:t>كما في</w:t>
      </w:r>
      <w:r w:rsidR="004E1AF2" w:rsidRPr="00B529EB">
        <w:rPr>
          <w:rFonts w:ascii="Arabic Transparent" w:hAnsi="Arabic Transparent" w:cs="Arabic Transparent" w:hint="cs"/>
          <w:sz w:val="28"/>
          <w:szCs w:val="28"/>
          <w:rtl/>
          <w:lang w:bidi="ar-JO"/>
        </w:rPr>
        <w:t xml:space="preserve"> قوله </w:t>
      </w:r>
      <w:r w:rsidR="00C61F85" w:rsidRPr="00B529EB">
        <w:rPr>
          <w:rFonts w:ascii="Arabic Transparent" w:hAnsi="Arabic Transparent" w:cs="Arabic Transparent" w:hint="cs"/>
          <w:sz w:val="28"/>
          <w:szCs w:val="28"/>
          <w:rtl/>
          <w:lang w:bidi="ar-JO"/>
        </w:rPr>
        <w:t>تعالى:</w:t>
      </w:r>
      <w:r w:rsidR="004E1AF2" w:rsidRPr="00B529EB">
        <w:rPr>
          <w:rFonts w:ascii="Arabic Transparent" w:hAnsi="Arabic Transparent" w:cs="Arabic Transparent" w:hint="cs"/>
          <w:sz w:val="28"/>
          <w:szCs w:val="28"/>
          <w:rtl/>
          <w:lang w:bidi="ar-JO"/>
        </w:rPr>
        <w:t xml:space="preserve"> </w:t>
      </w:r>
      <w:r w:rsidR="00C61F85" w:rsidRPr="00C61F85">
        <w:rPr>
          <w:rFonts w:ascii="KFGQPC HAFS Uthmanic Script" w:hAnsi="Times New Roman" w:cs="KFGQPC HAFS Uthmanic Script" w:hint="cs"/>
          <w:color w:val="000000"/>
          <w:sz w:val="28"/>
          <w:szCs w:val="28"/>
          <w:rtl/>
        </w:rPr>
        <w:t>ﵟ وَٱلسَّارِقُ وَٱلسَّارِقَةُ فَٱقۡطَعُوٓاْ أَيۡدِيَهُمَا جَزَآءَۢ بِمَا كَسَبَا نَكَٰلٗا مِّنَ ٱللَّهِۗ وَٱللَّهُ عَزِيزٌ حَكِيمٞ ٣٨ﵞ</w:t>
      </w:r>
      <w:r w:rsidR="00C61F85" w:rsidRPr="00C61F85">
        <w:rPr>
          <w:rFonts w:ascii="KFGQPC HAFS Uthmanic Script" w:hAnsi="Times New Roman" w:cs="KFGQPC HAFS Uthmanic Script"/>
          <w:color w:val="000000"/>
          <w:sz w:val="28"/>
          <w:szCs w:val="28"/>
          <w:rtl/>
        </w:rPr>
        <w:t xml:space="preserve"> </w:t>
      </w:r>
      <w:r w:rsidR="00C61F85" w:rsidRPr="00C61F85">
        <w:rPr>
          <w:rFonts w:ascii="KFGQPC HAFS Uthmanic Script" w:hAnsi="Times New Roman" w:cs="KFGQPC HAFS Uthmanic Script" w:hint="cs"/>
          <w:color w:val="000000"/>
          <w:sz w:val="28"/>
          <w:szCs w:val="28"/>
          <w:rtl/>
        </w:rPr>
        <w:t>ﵝالمَائـِدَة</w:t>
      </w:r>
      <w:r w:rsidR="005D7B91">
        <w:rPr>
          <w:rFonts w:ascii="KFGQPC HAFS Uthmanic Script" w:hAnsi="Times New Roman" w:cs="KFGQPC HAFS Uthmanic Script"/>
          <w:color w:val="000000"/>
          <w:sz w:val="28"/>
          <w:szCs w:val="28"/>
          <w:rtl/>
        </w:rPr>
        <w:t xml:space="preserve">: </w:t>
      </w:r>
      <w:r w:rsidR="00C61F85" w:rsidRPr="00C61F85">
        <w:rPr>
          <w:rFonts w:ascii="KFGQPC HAFS Uthmanic Script" w:hAnsi="Times New Roman" w:cs="KFGQPC HAFS Uthmanic Script" w:hint="cs"/>
          <w:color w:val="000000"/>
          <w:sz w:val="28"/>
          <w:szCs w:val="28"/>
          <w:rtl/>
        </w:rPr>
        <w:t>ﵘﵓﵜ</w:t>
      </w:r>
      <w:r>
        <w:rPr>
          <w:rFonts w:ascii="Arabic Transparent" w:hAnsi="Arabic Transparent" w:cs="Arabic Transparent" w:hint="cs"/>
          <w:sz w:val="28"/>
          <w:szCs w:val="28"/>
          <w:rtl/>
          <w:lang w:bidi="ar-JO"/>
        </w:rPr>
        <w:t xml:space="preserve">، </w:t>
      </w:r>
      <w:r w:rsidR="002264E9" w:rsidRPr="00B529EB">
        <w:rPr>
          <w:rFonts w:ascii="Arabic Transparent" w:hAnsi="Arabic Transparent" w:cs="Arabic Transparent" w:hint="cs"/>
          <w:sz w:val="28"/>
          <w:szCs w:val="28"/>
          <w:rtl/>
          <w:lang w:bidi="ar-JO"/>
        </w:rPr>
        <w:t xml:space="preserve">والجزاء يكون </w:t>
      </w:r>
      <w:r w:rsidR="00CC5C8F">
        <w:rPr>
          <w:rFonts w:ascii="Arabic Transparent" w:hAnsi="Arabic Transparent" w:cs="Arabic Transparent" w:hint="cs"/>
          <w:sz w:val="28"/>
          <w:szCs w:val="28"/>
          <w:rtl/>
          <w:lang w:bidi="ar-JO"/>
        </w:rPr>
        <w:t>"</w:t>
      </w:r>
      <w:r w:rsidR="002264E9" w:rsidRPr="00B529EB">
        <w:rPr>
          <w:rFonts w:ascii="Arabic Transparent" w:hAnsi="Arabic Transparent" w:cs="Arabic Transparent" w:hint="cs"/>
          <w:sz w:val="28"/>
          <w:szCs w:val="28"/>
          <w:rtl/>
          <w:lang w:bidi="ar-JO"/>
        </w:rPr>
        <w:t xml:space="preserve">بما كسبا والسارق في عام المجاعة كان همه عدم الموت فهي ضرورة قدرها عمر </w:t>
      </w:r>
      <w:r w:rsidR="00CC5C8F">
        <w:rPr>
          <w:rFonts w:ascii="Arabic Transparent" w:hAnsi="Arabic Transparent" w:cs="Arabic Transparent"/>
          <w:sz w:val="28"/>
          <w:szCs w:val="28"/>
          <w:lang w:bidi="ar-JO"/>
        </w:rPr>
        <w:t>"</w:t>
      </w:r>
      <w:r w:rsidR="005224A0">
        <w:rPr>
          <w:rFonts w:ascii="AGA Arabesque" w:eastAsia="AGA Arabesque" w:hAnsi="AGA Arabesque" w:cs="AGA Arabesque"/>
          <w:sz w:val="28"/>
          <w:szCs w:val="28"/>
          <w:lang w:bidi="ar-JO"/>
        </w:rPr>
        <w:t></w:t>
      </w:r>
      <w:r w:rsidR="002264E9" w:rsidRPr="00B529EB">
        <w:rPr>
          <w:rFonts w:ascii="Arabic Transparent" w:hAnsi="Arabic Transparent" w:cs="Arabic Transparent" w:hint="cs"/>
          <w:sz w:val="28"/>
          <w:szCs w:val="28"/>
          <w:vertAlign w:val="superscript"/>
          <w:rtl/>
          <w:lang w:bidi="ar-JO"/>
        </w:rPr>
        <w:t>(</w:t>
      </w:r>
      <w:r w:rsidR="002264E9" w:rsidRPr="00B529EB">
        <w:rPr>
          <w:rStyle w:val="FootnoteReference"/>
          <w:rFonts w:ascii="Arabic Transparent" w:hAnsi="Arabic Transparent" w:cs="Arabic Transparent" w:hint="cs"/>
          <w:sz w:val="28"/>
          <w:szCs w:val="28"/>
          <w:rtl/>
          <w:lang w:bidi="ar-JO"/>
        </w:rPr>
        <w:footnoteReference w:id="94"/>
      </w:r>
      <w:r w:rsidR="002264E9" w:rsidRPr="00B529EB">
        <w:rPr>
          <w:rFonts w:ascii="Arabic Transparent" w:hAnsi="Arabic Transparent" w:cs="Arabic Transparent" w:hint="cs"/>
          <w:sz w:val="28"/>
          <w:szCs w:val="28"/>
          <w:vertAlign w:val="superscript"/>
          <w:rtl/>
          <w:lang w:bidi="ar-JO"/>
        </w:rPr>
        <w:t>)</w:t>
      </w:r>
      <w:r w:rsidR="0096175E">
        <w:rPr>
          <w:rFonts w:ascii="Arabic Transparent" w:hAnsi="Arabic Transparent" w:cs="Arabic Transparent" w:hint="cs"/>
          <w:sz w:val="28"/>
          <w:szCs w:val="28"/>
          <w:rtl/>
          <w:lang w:bidi="ar-JO"/>
        </w:rPr>
        <w:t xml:space="preserve">، </w:t>
      </w:r>
      <w:r w:rsidR="00C925A3" w:rsidRPr="00B529EB">
        <w:rPr>
          <w:rFonts w:ascii="Arabic Transparent" w:hAnsi="Arabic Transparent" w:cs="Arabic Transparent" w:hint="cs"/>
          <w:sz w:val="28"/>
          <w:szCs w:val="28"/>
          <w:rtl/>
          <w:lang w:bidi="ar-JO"/>
        </w:rPr>
        <w:t xml:space="preserve">وهناك الكثير من الاجتهادات لأمير المؤمنين عمر </w:t>
      </w:r>
      <w:r w:rsidR="005224A0">
        <w:rPr>
          <w:rFonts w:ascii="AGA Arabesque" w:eastAsia="AGA Arabesque" w:hAnsi="AGA Arabesque" w:cs="AGA Arabesque"/>
          <w:sz w:val="28"/>
          <w:szCs w:val="28"/>
          <w:lang w:bidi="ar-JO"/>
        </w:rPr>
        <w:t></w:t>
      </w:r>
      <w:r w:rsidR="00A23E4D">
        <w:rPr>
          <w:rFonts w:ascii="Arabic Transparent" w:hAnsi="Arabic Transparent" w:cs="Arabic Transparent" w:hint="cs"/>
          <w:sz w:val="28"/>
          <w:szCs w:val="28"/>
          <w:rtl/>
          <w:lang w:bidi="ar-JO"/>
        </w:rPr>
        <w:t xml:space="preserve"> </w:t>
      </w:r>
      <w:r w:rsidR="00C925A3" w:rsidRPr="00B529EB">
        <w:rPr>
          <w:rFonts w:ascii="Arabic Transparent" w:hAnsi="Arabic Transparent" w:cs="Arabic Transparent" w:hint="cs"/>
          <w:sz w:val="28"/>
          <w:szCs w:val="28"/>
          <w:rtl/>
          <w:lang w:bidi="ar-JO"/>
        </w:rPr>
        <w:t>تغي</w:t>
      </w:r>
      <w:r w:rsidR="007874AE">
        <w:rPr>
          <w:rFonts w:ascii="Arabic Transparent" w:hAnsi="Arabic Transparent" w:cs="Arabic Transparent" w:hint="cs"/>
          <w:sz w:val="28"/>
          <w:szCs w:val="28"/>
          <w:rtl/>
          <w:lang w:bidi="ar-JO"/>
        </w:rPr>
        <w:t>َّ</w:t>
      </w:r>
      <w:r w:rsidR="00C925A3" w:rsidRPr="00B529EB">
        <w:rPr>
          <w:rFonts w:ascii="Arabic Transparent" w:hAnsi="Arabic Transparent" w:cs="Arabic Transparent" w:hint="cs"/>
          <w:sz w:val="28"/>
          <w:szCs w:val="28"/>
          <w:rtl/>
          <w:lang w:bidi="ar-JO"/>
        </w:rPr>
        <w:t>ر الحكم من العمل بالمناط العام إلى</w:t>
      </w:r>
      <w:r w:rsidR="007874AE">
        <w:rPr>
          <w:rFonts w:ascii="Arabic Transparent" w:hAnsi="Arabic Transparent" w:cs="Arabic Transparent" w:hint="cs"/>
          <w:sz w:val="28"/>
          <w:szCs w:val="28"/>
          <w:rtl/>
          <w:lang w:bidi="ar-JO"/>
        </w:rPr>
        <w:t xml:space="preserve"> </w:t>
      </w:r>
      <w:r w:rsidR="00C925A3" w:rsidRPr="00B529EB">
        <w:rPr>
          <w:rFonts w:ascii="Arabic Transparent" w:hAnsi="Arabic Transparent" w:cs="Arabic Transparent" w:hint="cs"/>
          <w:sz w:val="28"/>
          <w:szCs w:val="28"/>
          <w:rtl/>
          <w:lang w:bidi="ar-JO"/>
        </w:rPr>
        <w:t>المناط الخاص مثل،</w:t>
      </w:r>
      <w:r w:rsidR="002F7DF0" w:rsidRPr="00B529EB">
        <w:rPr>
          <w:rFonts w:ascii="Arabic Transparent" w:hAnsi="Arabic Transparent" w:cs="Arabic Transparent" w:hint="cs"/>
          <w:sz w:val="28"/>
          <w:szCs w:val="28"/>
          <w:rtl/>
          <w:lang w:bidi="ar-JO"/>
        </w:rPr>
        <w:t xml:space="preserve"> منعه </w:t>
      </w:r>
      <w:r w:rsidR="00C925A3" w:rsidRPr="00B529EB">
        <w:rPr>
          <w:rFonts w:ascii="Arabic Transparent" w:hAnsi="Arabic Transparent" w:cs="Arabic Transparent" w:hint="cs"/>
          <w:sz w:val="28"/>
          <w:szCs w:val="28"/>
          <w:rtl/>
          <w:lang w:bidi="ar-JO"/>
        </w:rPr>
        <w:t xml:space="preserve">الزواج بالكتابيات، وعدم توزيع أراضي سواد العراق على المجاهدين، </w:t>
      </w:r>
      <w:r w:rsidR="002F7DF0" w:rsidRPr="00B529EB">
        <w:rPr>
          <w:rFonts w:ascii="Arabic Transparent" w:hAnsi="Arabic Transparent" w:cs="Arabic Transparent" w:hint="cs"/>
          <w:sz w:val="28"/>
          <w:szCs w:val="28"/>
          <w:rtl/>
          <w:lang w:bidi="ar-JO"/>
        </w:rPr>
        <w:t>وتأخير إقامة الحد ع</w:t>
      </w:r>
      <w:r w:rsidR="007874AE">
        <w:rPr>
          <w:rFonts w:ascii="Arabic Transparent" w:hAnsi="Arabic Transparent" w:cs="Arabic Transparent" w:hint="cs"/>
          <w:sz w:val="28"/>
          <w:szCs w:val="28"/>
          <w:rtl/>
          <w:lang w:bidi="ar-JO"/>
        </w:rPr>
        <w:t>لى</w:t>
      </w:r>
      <w:r w:rsidR="002F7DF0" w:rsidRPr="00B529EB">
        <w:rPr>
          <w:rFonts w:ascii="Arabic Transparent" w:hAnsi="Arabic Transparent" w:cs="Arabic Transparent" w:hint="cs"/>
          <w:sz w:val="28"/>
          <w:szCs w:val="28"/>
          <w:rtl/>
          <w:lang w:bidi="ar-JO"/>
        </w:rPr>
        <w:t xml:space="preserve"> المجاهدين في المعارك</w:t>
      </w:r>
      <w:r w:rsidR="00F341C9" w:rsidRPr="00B529EB">
        <w:rPr>
          <w:rFonts w:ascii="Arabic Transparent" w:hAnsi="Arabic Transparent" w:cs="Arabic Transparent" w:hint="cs"/>
          <w:sz w:val="28"/>
          <w:szCs w:val="28"/>
          <w:rtl/>
          <w:lang w:bidi="ar-JO"/>
        </w:rPr>
        <w:t>، وإيقاع الطلاق ثلاثاً بلفظة واحدة</w:t>
      </w:r>
      <w:r w:rsidR="00EB7D70">
        <w:rPr>
          <w:rFonts w:ascii="Arabic Transparent" w:hAnsi="Arabic Transparent" w:cs="Arabic Transparent" w:hint="cs"/>
          <w:sz w:val="28"/>
          <w:szCs w:val="28"/>
          <w:rtl/>
          <w:lang w:bidi="ar-JO"/>
        </w:rPr>
        <w:t>، ومنع المؤلفة قلوبهم من سهم الزكاة، ومنعه لنسك التمتع في الحج</w:t>
      </w:r>
      <w:r w:rsidR="002F7DF0" w:rsidRPr="00B529EB">
        <w:rPr>
          <w:rFonts w:ascii="Arabic Transparent" w:hAnsi="Arabic Transparent" w:cs="Arabic Transparent" w:hint="cs"/>
          <w:sz w:val="28"/>
          <w:szCs w:val="28"/>
          <w:vertAlign w:val="superscript"/>
          <w:rtl/>
          <w:lang w:bidi="ar-JO"/>
        </w:rPr>
        <w:t>(</w:t>
      </w:r>
      <w:r w:rsidR="002F7DF0" w:rsidRPr="00B529EB">
        <w:rPr>
          <w:rStyle w:val="FootnoteReference"/>
          <w:rFonts w:ascii="Arabic Transparent" w:hAnsi="Arabic Transparent" w:cs="Arabic Transparent" w:hint="cs"/>
          <w:sz w:val="28"/>
          <w:szCs w:val="28"/>
          <w:rtl/>
          <w:lang w:bidi="ar-JO"/>
        </w:rPr>
        <w:footnoteReference w:id="95"/>
      </w:r>
      <w:r w:rsidR="002F7DF0" w:rsidRPr="00B529EB">
        <w:rPr>
          <w:rFonts w:ascii="Arabic Transparent" w:hAnsi="Arabic Transparent" w:cs="Arabic Transparent" w:hint="cs"/>
          <w:sz w:val="28"/>
          <w:szCs w:val="28"/>
          <w:vertAlign w:val="superscript"/>
          <w:rtl/>
          <w:lang w:bidi="ar-JO"/>
        </w:rPr>
        <w:t>)</w:t>
      </w:r>
      <w:r w:rsidR="000E1385">
        <w:rPr>
          <w:rFonts w:ascii="Arabic Transparent" w:hAnsi="Arabic Transparent" w:cs="Arabic Transparent" w:hint="cs"/>
          <w:sz w:val="28"/>
          <w:szCs w:val="28"/>
          <w:rtl/>
          <w:lang w:bidi="ar-JO"/>
        </w:rPr>
        <w:t>.</w:t>
      </w:r>
    </w:p>
    <w:p w14:paraId="33EC7F89" w14:textId="77777777" w:rsidR="00AA05F5" w:rsidRDefault="00AA05F5">
      <w:pPr>
        <w:bidi w:val="0"/>
        <w:spacing w:after="0" w:line="240" w:lineRule="auto"/>
        <w:rPr>
          <w:rFonts w:ascii="Arabic Transparent" w:hAnsi="Arabic Transparent" w:cs="Arabic Transparent"/>
          <w:sz w:val="28"/>
          <w:szCs w:val="28"/>
          <w:rtl/>
          <w:lang w:bidi="ar-JO"/>
        </w:rPr>
      </w:pPr>
      <w:r>
        <w:rPr>
          <w:rFonts w:ascii="Arabic Transparent" w:hAnsi="Arabic Transparent" w:cs="Arabic Transparent"/>
          <w:sz w:val="28"/>
          <w:szCs w:val="28"/>
          <w:rtl/>
          <w:lang w:bidi="ar-JO"/>
        </w:rPr>
        <w:br w:type="page"/>
      </w:r>
    </w:p>
    <w:p w14:paraId="15278A17" w14:textId="5F710D70" w:rsidR="007874AE" w:rsidRDefault="00FA7204" w:rsidP="00582368">
      <w:pPr>
        <w:spacing w:after="0" w:line="360" w:lineRule="auto"/>
        <w:jc w:val="both"/>
        <w:rPr>
          <w:rFonts w:ascii="Arabic Transparent" w:hAnsi="Arabic Transparent" w:cs="Arabic Transparent"/>
          <w:sz w:val="28"/>
          <w:szCs w:val="28"/>
          <w:rtl/>
          <w:lang w:bidi="ar-JO"/>
        </w:rPr>
      </w:pPr>
      <w:r>
        <w:rPr>
          <w:rFonts w:ascii="Arabic Transparent" w:hAnsi="Arabic Transparent" w:cs="Arabic Transparent" w:hint="cs"/>
          <w:b/>
          <w:bCs/>
          <w:sz w:val="28"/>
          <w:szCs w:val="28"/>
          <w:rtl/>
          <w:lang w:bidi="ar-JO"/>
        </w:rPr>
        <w:t>الفرع الثالث</w:t>
      </w:r>
      <w:r w:rsidR="00B80F53" w:rsidRPr="007874AE">
        <w:rPr>
          <w:rFonts w:ascii="Arabic Transparent" w:hAnsi="Arabic Transparent" w:cs="Arabic Transparent" w:hint="cs"/>
          <w:b/>
          <w:bCs/>
          <w:sz w:val="28"/>
          <w:szCs w:val="28"/>
          <w:rtl/>
          <w:lang w:bidi="ar-JO"/>
        </w:rPr>
        <w:t>: من الإجماع:</w:t>
      </w:r>
      <w:r w:rsidR="00B80F53" w:rsidRPr="00B529EB">
        <w:rPr>
          <w:rFonts w:ascii="Arabic Transparent" w:hAnsi="Arabic Transparent" w:cs="Arabic Transparent" w:hint="cs"/>
          <w:sz w:val="28"/>
          <w:szCs w:val="28"/>
          <w:rtl/>
          <w:lang w:bidi="ar-JO"/>
        </w:rPr>
        <w:t xml:space="preserve"> </w:t>
      </w:r>
    </w:p>
    <w:p w14:paraId="7DC94F78" w14:textId="760AA5A3" w:rsidR="00975323" w:rsidRPr="00B529EB" w:rsidRDefault="00975323" w:rsidP="00930ACA">
      <w:pPr>
        <w:spacing w:after="0" w:line="360" w:lineRule="auto"/>
        <w:ind w:firstLine="332"/>
        <w:rPr>
          <w:rFonts w:ascii="Arabic Transparent" w:hAnsi="Arabic Transparent" w:cs="Arabic Transparent"/>
          <w:sz w:val="28"/>
          <w:szCs w:val="28"/>
          <w:rtl/>
          <w:lang w:bidi="ar-JO"/>
        </w:rPr>
      </w:pPr>
      <w:r w:rsidRPr="00B529EB">
        <w:rPr>
          <w:rFonts w:ascii="Arabic Transparent" w:hAnsi="Arabic Transparent" w:cs="Arabic Transparent" w:hint="cs"/>
          <w:sz w:val="28"/>
          <w:szCs w:val="28"/>
          <w:rtl/>
          <w:lang w:bidi="ar-JO"/>
        </w:rPr>
        <w:t>اتفق الأصوليون على إثبات العمل بمقتضى الاجتهاد في تحقيق المناط، إذا كان المناط معلوماً ثبت بنص أو إجماع</w:t>
      </w:r>
      <w:r w:rsidR="00A23E4D">
        <w:rPr>
          <w:rFonts w:ascii="Arabic Transparent" w:hAnsi="Arabic Transparent" w:cs="Arabic Transparent" w:hint="cs"/>
          <w:sz w:val="28"/>
          <w:szCs w:val="28"/>
          <w:rtl/>
          <w:lang w:bidi="ar-JO"/>
        </w:rPr>
        <w:t>،</w:t>
      </w:r>
      <w:r w:rsidRPr="00B529EB">
        <w:rPr>
          <w:rFonts w:ascii="Arabic Transparent" w:hAnsi="Arabic Transparent" w:cs="Arabic Transparent" w:hint="cs"/>
          <w:sz w:val="28"/>
          <w:szCs w:val="28"/>
          <w:rtl/>
          <w:lang w:bidi="ar-JO"/>
        </w:rPr>
        <w:t xml:space="preserve"> ويقوم المجتهد بتحقيقه في الفرع، وقد حكى الإجماع على ذلك: العُكبري</w:t>
      </w:r>
      <w:r w:rsidRPr="00B529EB">
        <w:rPr>
          <w:rFonts w:ascii="Arabic Transparent" w:hAnsi="Arabic Transparent" w:cs="Arabic Transparent" w:hint="cs"/>
          <w:sz w:val="28"/>
          <w:szCs w:val="28"/>
          <w:vertAlign w:val="superscript"/>
          <w:rtl/>
          <w:lang w:bidi="ar-JO"/>
        </w:rPr>
        <w:t>(</w:t>
      </w:r>
      <w:r w:rsidRPr="00B529EB">
        <w:rPr>
          <w:rStyle w:val="FootnoteReference"/>
          <w:rFonts w:ascii="Arabic Transparent" w:hAnsi="Arabic Transparent" w:cs="Arabic Transparent" w:hint="cs"/>
          <w:sz w:val="28"/>
          <w:szCs w:val="28"/>
          <w:rtl/>
          <w:lang w:bidi="ar-JO"/>
        </w:rPr>
        <w:footnoteReference w:id="96"/>
      </w:r>
      <w:r w:rsidRPr="00B529EB">
        <w:rPr>
          <w:rFonts w:ascii="Arabic Transparent" w:hAnsi="Arabic Transparent" w:cs="Arabic Transparent" w:hint="cs"/>
          <w:sz w:val="28"/>
          <w:szCs w:val="28"/>
          <w:vertAlign w:val="superscript"/>
          <w:rtl/>
          <w:lang w:bidi="ar-JO"/>
        </w:rPr>
        <w:t>)</w:t>
      </w:r>
      <w:r w:rsidRPr="00B529EB">
        <w:rPr>
          <w:rFonts w:ascii="Arabic Transparent" w:hAnsi="Arabic Transparent" w:cs="Arabic Transparent" w:hint="cs"/>
          <w:sz w:val="28"/>
          <w:szCs w:val="28"/>
          <w:rtl/>
          <w:lang w:bidi="ar-JO"/>
        </w:rPr>
        <w:t>،والغزالي</w:t>
      </w:r>
      <w:r w:rsidRPr="00B529EB">
        <w:rPr>
          <w:rFonts w:ascii="Arabic Transparent" w:hAnsi="Arabic Transparent" w:cs="Arabic Transparent" w:hint="cs"/>
          <w:sz w:val="28"/>
          <w:szCs w:val="28"/>
          <w:vertAlign w:val="superscript"/>
          <w:rtl/>
          <w:lang w:bidi="ar-JO"/>
        </w:rPr>
        <w:t>(</w:t>
      </w:r>
      <w:r w:rsidRPr="00B529EB">
        <w:rPr>
          <w:rStyle w:val="FootnoteReference"/>
          <w:rFonts w:ascii="Arabic Transparent" w:hAnsi="Arabic Transparent" w:cs="Arabic Transparent" w:hint="cs"/>
          <w:sz w:val="28"/>
          <w:szCs w:val="28"/>
          <w:rtl/>
          <w:lang w:bidi="ar-JO"/>
        </w:rPr>
        <w:footnoteReference w:id="97"/>
      </w:r>
      <w:r w:rsidRPr="00B529EB">
        <w:rPr>
          <w:rFonts w:ascii="Arabic Transparent" w:hAnsi="Arabic Transparent" w:cs="Arabic Transparent" w:hint="cs"/>
          <w:sz w:val="28"/>
          <w:szCs w:val="28"/>
          <w:vertAlign w:val="superscript"/>
          <w:rtl/>
          <w:lang w:bidi="ar-JO"/>
        </w:rPr>
        <w:t>)</w:t>
      </w:r>
      <w:r w:rsidRPr="00B529EB">
        <w:rPr>
          <w:rFonts w:ascii="Arabic Transparent" w:hAnsi="Arabic Transparent" w:cs="Arabic Transparent" w:hint="cs"/>
          <w:sz w:val="28"/>
          <w:szCs w:val="28"/>
          <w:rtl/>
          <w:lang w:bidi="ar-JO"/>
        </w:rPr>
        <w:t>، والطوفي</w:t>
      </w:r>
      <w:r w:rsidRPr="00B529EB">
        <w:rPr>
          <w:rFonts w:ascii="Arabic Transparent" w:hAnsi="Arabic Transparent" w:cs="Arabic Transparent" w:hint="cs"/>
          <w:sz w:val="28"/>
          <w:szCs w:val="28"/>
          <w:vertAlign w:val="superscript"/>
          <w:rtl/>
          <w:lang w:bidi="ar-JO"/>
        </w:rPr>
        <w:t>(</w:t>
      </w:r>
      <w:r w:rsidRPr="00B529EB">
        <w:rPr>
          <w:rStyle w:val="FootnoteReference"/>
          <w:rFonts w:ascii="Arabic Transparent" w:hAnsi="Arabic Transparent" w:cs="Arabic Transparent" w:hint="cs"/>
          <w:sz w:val="28"/>
          <w:szCs w:val="28"/>
          <w:rtl/>
          <w:lang w:bidi="ar-JO"/>
        </w:rPr>
        <w:footnoteReference w:id="98"/>
      </w:r>
      <w:r w:rsidRPr="00B529EB">
        <w:rPr>
          <w:rFonts w:ascii="Arabic Transparent" w:hAnsi="Arabic Transparent" w:cs="Arabic Transparent" w:hint="cs"/>
          <w:sz w:val="28"/>
          <w:szCs w:val="28"/>
          <w:vertAlign w:val="superscript"/>
          <w:rtl/>
          <w:lang w:bidi="ar-JO"/>
        </w:rPr>
        <w:t>)</w:t>
      </w:r>
      <w:r w:rsidRPr="00B529EB">
        <w:rPr>
          <w:rFonts w:ascii="Arabic Transparent" w:hAnsi="Arabic Transparent" w:cs="Arabic Transparent" w:hint="cs"/>
          <w:sz w:val="28"/>
          <w:szCs w:val="28"/>
          <w:rtl/>
          <w:lang w:bidi="ar-JO"/>
        </w:rPr>
        <w:t xml:space="preserve">، والآمدي </w:t>
      </w:r>
      <w:r w:rsidRPr="00B529EB">
        <w:rPr>
          <w:rFonts w:ascii="Arabic Transparent" w:hAnsi="Arabic Transparent" w:cs="Arabic Transparent" w:hint="cs"/>
          <w:sz w:val="28"/>
          <w:szCs w:val="28"/>
          <w:vertAlign w:val="superscript"/>
          <w:rtl/>
          <w:lang w:bidi="ar-JO"/>
        </w:rPr>
        <w:t>(</w:t>
      </w:r>
      <w:r w:rsidRPr="00B529EB">
        <w:rPr>
          <w:rStyle w:val="FootnoteReference"/>
          <w:rFonts w:ascii="Arabic Transparent" w:hAnsi="Arabic Transparent" w:cs="Arabic Transparent" w:hint="cs"/>
          <w:sz w:val="28"/>
          <w:szCs w:val="28"/>
          <w:rtl/>
          <w:lang w:bidi="ar-JO"/>
        </w:rPr>
        <w:footnoteReference w:id="99"/>
      </w:r>
      <w:r w:rsidRPr="00B529EB">
        <w:rPr>
          <w:rFonts w:ascii="Arabic Transparent" w:hAnsi="Arabic Transparent" w:cs="Arabic Transparent" w:hint="cs"/>
          <w:sz w:val="28"/>
          <w:szCs w:val="28"/>
          <w:vertAlign w:val="superscript"/>
          <w:rtl/>
          <w:lang w:bidi="ar-JO"/>
        </w:rPr>
        <w:t>)</w:t>
      </w:r>
      <w:r w:rsidRPr="00B529EB">
        <w:rPr>
          <w:rFonts w:ascii="Arabic Transparent" w:hAnsi="Arabic Transparent" w:cs="Arabic Transparent" w:hint="cs"/>
          <w:sz w:val="28"/>
          <w:szCs w:val="28"/>
          <w:rtl/>
          <w:lang w:bidi="ar-JO"/>
        </w:rPr>
        <w:t>، وابن السبكي</w:t>
      </w:r>
      <w:r w:rsidRPr="00B529EB">
        <w:rPr>
          <w:rFonts w:ascii="Arabic Transparent" w:hAnsi="Arabic Transparent" w:cs="Arabic Transparent" w:hint="cs"/>
          <w:sz w:val="28"/>
          <w:szCs w:val="28"/>
          <w:vertAlign w:val="superscript"/>
          <w:rtl/>
          <w:lang w:bidi="ar-JO"/>
        </w:rPr>
        <w:t>(</w:t>
      </w:r>
      <w:r w:rsidRPr="00B529EB">
        <w:rPr>
          <w:rStyle w:val="FootnoteReference"/>
          <w:rFonts w:ascii="Arabic Transparent" w:hAnsi="Arabic Transparent" w:cs="Arabic Transparent" w:hint="cs"/>
          <w:sz w:val="28"/>
          <w:szCs w:val="28"/>
          <w:rtl/>
          <w:lang w:bidi="ar-JO"/>
        </w:rPr>
        <w:footnoteReference w:id="100"/>
      </w:r>
      <w:r w:rsidRPr="00B529EB">
        <w:rPr>
          <w:rFonts w:ascii="Arabic Transparent" w:hAnsi="Arabic Transparent" w:cs="Arabic Transparent" w:hint="cs"/>
          <w:sz w:val="28"/>
          <w:szCs w:val="28"/>
          <w:vertAlign w:val="superscript"/>
          <w:rtl/>
          <w:lang w:bidi="ar-JO"/>
        </w:rPr>
        <w:t>)</w:t>
      </w:r>
      <w:r w:rsidRPr="00B529EB">
        <w:rPr>
          <w:rFonts w:ascii="Arabic Transparent" w:hAnsi="Arabic Transparent" w:cs="Arabic Transparent" w:hint="cs"/>
          <w:sz w:val="28"/>
          <w:szCs w:val="28"/>
          <w:rtl/>
          <w:lang w:bidi="ar-JO"/>
        </w:rPr>
        <w:t>، وابن تيمية</w:t>
      </w:r>
      <w:r w:rsidRPr="00B529EB">
        <w:rPr>
          <w:rFonts w:ascii="Arabic Transparent" w:hAnsi="Arabic Transparent" w:cs="Arabic Transparent" w:hint="cs"/>
          <w:sz w:val="28"/>
          <w:szCs w:val="28"/>
          <w:vertAlign w:val="superscript"/>
          <w:rtl/>
          <w:lang w:bidi="ar-JO"/>
        </w:rPr>
        <w:t>(</w:t>
      </w:r>
      <w:r w:rsidRPr="00B529EB">
        <w:rPr>
          <w:rStyle w:val="FootnoteReference"/>
          <w:rFonts w:ascii="Arabic Transparent" w:hAnsi="Arabic Transparent" w:cs="Arabic Transparent" w:hint="cs"/>
          <w:sz w:val="28"/>
          <w:szCs w:val="28"/>
          <w:rtl/>
          <w:lang w:bidi="ar-JO"/>
        </w:rPr>
        <w:footnoteReference w:id="101"/>
      </w:r>
      <w:r w:rsidRPr="00B529EB">
        <w:rPr>
          <w:rFonts w:ascii="Arabic Transparent" w:hAnsi="Arabic Transparent" w:cs="Arabic Transparent" w:hint="cs"/>
          <w:sz w:val="28"/>
          <w:szCs w:val="28"/>
          <w:vertAlign w:val="superscript"/>
          <w:rtl/>
          <w:lang w:bidi="ar-JO"/>
        </w:rPr>
        <w:t>)</w:t>
      </w:r>
      <w:r w:rsidR="00EB615D" w:rsidRPr="00B529EB">
        <w:rPr>
          <w:rFonts w:ascii="Arabic Transparent" w:hAnsi="Arabic Transparent" w:cs="Arabic Transparent" w:hint="cs"/>
          <w:sz w:val="28"/>
          <w:szCs w:val="28"/>
          <w:rtl/>
          <w:lang w:bidi="ar-JO"/>
        </w:rPr>
        <w:t>،</w:t>
      </w:r>
      <w:r w:rsidR="00582368" w:rsidRPr="00B529EB">
        <w:rPr>
          <w:rFonts w:ascii="Arabic Transparent" w:hAnsi="Arabic Transparent" w:cs="Arabic Transparent" w:hint="cs"/>
          <w:sz w:val="28"/>
          <w:szCs w:val="28"/>
          <w:rtl/>
          <w:lang w:bidi="ar-JO"/>
        </w:rPr>
        <w:t xml:space="preserve"> </w:t>
      </w:r>
      <w:r w:rsidR="00D40089">
        <w:rPr>
          <w:rFonts w:ascii="Arabic Transparent" w:hAnsi="Arabic Transparent" w:cs="Arabic Transparent" w:hint="cs"/>
          <w:sz w:val="28"/>
          <w:szCs w:val="28"/>
          <w:rtl/>
          <w:lang w:bidi="ar-JO"/>
        </w:rPr>
        <w:t>و</w:t>
      </w:r>
      <w:r w:rsidRPr="00B529EB">
        <w:rPr>
          <w:rFonts w:ascii="Arabic Transparent" w:hAnsi="Arabic Transparent" w:cs="Arabic Transparent" w:hint="cs"/>
          <w:sz w:val="28"/>
          <w:szCs w:val="28"/>
          <w:rtl/>
          <w:lang w:bidi="ar-JO"/>
        </w:rPr>
        <w:t>الزركشي</w:t>
      </w:r>
      <w:r w:rsidRPr="00B529EB">
        <w:rPr>
          <w:rFonts w:ascii="Arabic Transparent" w:hAnsi="Arabic Transparent" w:cs="Arabic Transparent" w:hint="cs"/>
          <w:sz w:val="28"/>
          <w:szCs w:val="28"/>
          <w:vertAlign w:val="superscript"/>
          <w:rtl/>
          <w:lang w:bidi="ar-JO"/>
        </w:rPr>
        <w:t>(</w:t>
      </w:r>
      <w:r w:rsidRPr="00B529EB">
        <w:rPr>
          <w:rStyle w:val="FootnoteReference"/>
          <w:rFonts w:ascii="Arabic Transparent" w:hAnsi="Arabic Transparent" w:cs="Arabic Transparent" w:hint="cs"/>
          <w:sz w:val="28"/>
          <w:szCs w:val="28"/>
          <w:rtl/>
          <w:lang w:bidi="ar-JO"/>
        </w:rPr>
        <w:footnoteReference w:id="102"/>
      </w:r>
      <w:r w:rsidRPr="00B529EB">
        <w:rPr>
          <w:rFonts w:ascii="Arabic Transparent" w:hAnsi="Arabic Transparent" w:cs="Arabic Transparent" w:hint="cs"/>
          <w:sz w:val="28"/>
          <w:szCs w:val="28"/>
          <w:vertAlign w:val="superscript"/>
          <w:rtl/>
          <w:lang w:bidi="ar-JO"/>
        </w:rPr>
        <w:t>)</w:t>
      </w:r>
      <w:r w:rsidRPr="00B529EB">
        <w:rPr>
          <w:rFonts w:ascii="Arabic Transparent" w:hAnsi="Arabic Transparent" w:cs="Arabic Transparent" w:hint="cs"/>
          <w:sz w:val="28"/>
          <w:szCs w:val="28"/>
          <w:rtl/>
          <w:lang w:bidi="ar-JO"/>
        </w:rPr>
        <w:t>، والمرداوي</w:t>
      </w:r>
      <w:r w:rsidRPr="00B529EB">
        <w:rPr>
          <w:rFonts w:ascii="Arabic Transparent" w:hAnsi="Arabic Transparent" w:cs="Arabic Transparent" w:hint="cs"/>
          <w:sz w:val="28"/>
          <w:szCs w:val="28"/>
          <w:vertAlign w:val="superscript"/>
          <w:rtl/>
          <w:lang w:bidi="ar-JO"/>
        </w:rPr>
        <w:t>(</w:t>
      </w:r>
      <w:r w:rsidRPr="00B529EB">
        <w:rPr>
          <w:rStyle w:val="FootnoteReference"/>
          <w:rFonts w:ascii="Arabic Transparent" w:hAnsi="Arabic Transparent" w:cs="Arabic Transparent" w:hint="cs"/>
          <w:sz w:val="28"/>
          <w:szCs w:val="28"/>
          <w:rtl/>
          <w:lang w:bidi="ar-JO"/>
        </w:rPr>
        <w:footnoteReference w:id="103"/>
      </w:r>
      <w:r w:rsidRPr="00B529EB">
        <w:rPr>
          <w:rFonts w:ascii="Arabic Transparent" w:hAnsi="Arabic Transparent" w:cs="Arabic Transparent" w:hint="cs"/>
          <w:sz w:val="28"/>
          <w:szCs w:val="28"/>
          <w:vertAlign w:val="superscript"/>
          <w:rtl/>
          <w:lang w:bidi="ar-JO"/>
        </w:rPr>
        <w:t>)</w:t>
      </w:r>
      <w:r w:rsidRPr="00B529EB">
        <w:rPr>
          <w:rFonts w:ascii="Arabic Transparent" w:hAnsi="Arabic Transparent" w:cs="Arabic Transparent" w:hint="cs"/>
          <w:sz w:val="28"/>
          <w:szCs w:val="28"/>
          <w:rtl/>
          <w:lang w:bidi="ar-JO"/>
        </w:rPr>
        <w:t xml:space="preserve">، </w:t>
      </w:r>
      <w:r w:rsidR="004C213A" w:rsidRPr="00B529EB">
        <w:rPr>
          <w:rFonts w:ascii="Arabic Transparent" w:hAnsi="Arabic Transparent" w:cs="Arabic Transparent" w:hint="cs"/>
          <w:sz w:val="28"/>
          <w:szCs w:val="28"/>
          <w:rtl/>
          <w:lang w:bidi="ar-JO"/>
        </w:rPr>
        <w:t>وابن النجار</w:t>
      </w:r>
      <w:r w:rsidR="004C213A" w:rsidRPr="00B529EB">
        <w:rPr>
          <w:rFonts w:ascii="Arabic Transparent" w:hAnsi="Arabic Transparent" w:cs="Arabic Transparent" w:hint="cs"/>
          <w:sz w:val="28"/>
          <w:szCs w:val="28"/>
          <w:vertAlign w:val="superscript"/>
          <w:rtl/>
          <w:lang w:bidi="ar-JO"/>
        </w:rPr>
        <w:t>(</w:t>
      </w:r>
      <w:r w:rsidR="004C213A" w:rsidRPr="00B529EB">
        <w:rPr>
          <w:rStyle w:val="FootnoteReference"/>
          <w:rFonts w:ascii="Arabic Transparent" w:hAnsi="Arabic Transparent" w:cs="Arabic Transparent" w:hint="cs"/>
          <w:sz w:val="28"/>
          <w:szCs w:val="28"/>
          <w:rtl/>
          <w:lang w:bidi="ar-JO"/>
        </w:rPr>
        <w:footnoteReference w:id="104"/>
      </w:r>
      <w:r w:rsidR="004C213A" w:rsidRPr="00B529EB">
        <w:rPr>
          <w:rFonts w:ascii="Arabic Transparent" w:hAnsi="Arabic Transparent" w:cs="Arabic Transparent" w:hint="cs"/>
          <w:sz w:val="28"/>
          <w:szCs w:val="28"/>
          <w:vertAlign w:val="superscript"/>
          <w:rtl/>
          <w:lang w:bidi="ar-JO"/>
        </w:rPr>
        <w:t>)</w:t>
      </w:r>
      <w:r w:rsidR="004C213A" w:rsidRPr="00B529EB">
        <w:rPr>
          <w:rFonts w:ascii="Arabic Transparent" w:hAnsi="Arabic Transparent" w:cs="Arabic Transparent" w:hint="cs"/>
          <w:sz w:val="28"/>
          <w:szCs w:val="28"/>
          <w:rtl/>
          <w:lang w:bidi="ar-JO"/>
        </w:rPr>
        <w:t>، والشوكاني</w:t>
      </w:r>
      <w:r w:rsidR="004C213A" w:rsidRPr="00B529EB">
        <w:rPr>
          <w:rFonts w:ascii="Arabic Transparent" w:hAnsi="Arabic Transparent" w:cs="Arabic Transparent" w:hint="cs"/>
          <w:sz w:val="28"/>
          <w:szCs w:val="28"/>
          <w:vertAlign w:val="superscript"/>
          <w:rtl/>
          <w:lang w:bidi="ar-JO"/>
        </w:rPr>
        <w:t>(</w:t>
      </w:r>
      <w:r w:rsidR="004C213A" w:rsidRPr="00B529EB">
        <w:rPr>
          <w:rStyle w:val="FootnoteReference"/>
          <w:rFonts w:ascii="Arabic Transparent" w:hAnsi="Arabic Transparent" w:cs="Arabic Transparent" w:hint="cs"/>
          <w:sz w:val="28"/>
          <w:szCs w:val="28"/>
          <w:rtl/>
          <w:lang w:bidi="ar-JO"/>
        </w:rPr>
        <w:footnoteReference w:id="105"/>
      </w:r>
      <w:r w:rsidR="004C213A" w:rsidRPr="00B529EB">
        <w:rPr>
          <w:rFonts w:ascii="Arabic Transparent" w:hAnsi="Arabic Transparent" w:cs="Arabic Transparent" w:hint="cs"/>
          <w:sz w:val="28"/>
          <w:szCs w:val="28"/>
          <w:vertAlign w:val="superscript"/>
          <w:rtl/>
          <w:lang w:bidi="ar-JO"/>
        </w:rPr>
        <w:t>)</w:t>
      </w:r>
      <w:r w:rsidR="004C213A" w:rsidRPr="00B529EB">
        <w:rPr>
          <w:rFonts w:ascii="Arabic Transparent" w:hAnsi="Arabic Transparent" w:cs="Arabic Transparent" w:hint="cs"/>
          <w:sz w:val="28"/>
          <w:szCs w:val="28"/>
          <w:rtl/>
          <w:lang w:bidi="ar-JO"/>
        </w:rPr>
        <w:t>، وابن قدامة</w:t>
      </w:r>
      <w:r w:rsidR="004C213A" w:rsidRPr="00B529EB">
        <w:rPr>
          <w:rFonts w:ascii="Arabic Transparent" w:hAnsi="Arabic Transparent" w:cs="Arabic Transparent" w:hint="cs"/>
          <w:sz w:val="28"/>
          <w:szCs w:val="28"/>
          <w:vertAlign w:val="superscript"/>
          <w:rtl/>
          <w:lang w:bidi="ar-JO"/>
        </w:rPr>
        <w:t>(</w:t>
      </w:r>
      <w:r w:rsidR="004C213A" w:rsidRPr="00B529EB">
        <w:rPr>
          <w:rStyle w:val="FootnoteReference"/>
          <w:rFonts w:ascii="Arabic Transparent" w:hAnsi="Arabic Transparent" w:cs="Arabic Transparent" w:hint="cs"/>
          <w:sz w:val="28"/>
          <w:szCs w:val="28"/>
          <w:rtl/>
          <w:lang w:bidi="ar-JO"/>
        </w:rPr>
        <w:footnoteReference w:id="106"/>
      </w:r>
      <w:r w:rsidR="004C213A" w:rsidRPr="00B529EB">
        <w:rPr>
          <w:rFonts w:ascii="Arabic Transparent" w:hAnsi="Arabic Transparent" w:cs="Arabic Transparent" w:hint="cs"/>
          <w:sz w:val="28"/>
          <w:szCs w:val="28"/>
          <w:vertAlign w:val="superscript"/>
          <w:rtl/>
          <w:lang w:bidi="ar-JO"/>
        </w:rPr>
        <w:t>)</w:t>
      </w:r>
      <w:r w:rsidR="004033F5">
        <w:rPr>
          <w:rFonts w:ascii="Arabic Transparent" w:hAnsi="Arabic Transparent" w:cs="Arabic Transparent" w:hint="cs"/>
          <w:sz w:val="28"/>
          <w:szCs w:val="28"/>
          <w:rtl/>
          <w:lang w:bidi="ar-JO"/>
        </w:rPr>
        <w:t>، وغيرهم.</w:t>
      </w:r>
    </w:p>
    <w:p w14:paraId="0DAE928D" w14:textId="407DA38B" w:rsidR="0096175E" w:rsidRDefault="005D7B91" w:rsidP="0096175E">
      <w:pPr>
        <w:spacing w:after="0" w:line="360" w:lineRule="auto"/>
        <w:jc w:val="both"/>
        <w:rPr>
          <w:rFonts w:ascii="Arabic Transparent" w:hAnsi="Arabic Transparent" w:cs="Arabic Transparent"/>
          <w:sz w:val="28"/>
          <w:szCs w:val="28"/>
          <w:rtl/>
          <w:lang w:bidi="ar-JO"/>
        </w:rPr>
      </w:pPr>
      <w:r>
        <w:rPr>
          <w:rFonts w:ascii="Arabic Transparent" w:hAnsi="Arabic Transparent" w:cs="Arabic Transparent" w:hint="cs"/>
          <w:sz w:val="28"/>
          <w:szCs w:val="28"/>
          <w:rtl/>
          <w:lang w:bidi="ar-JO"/>
        </w:rPr>
        <w:t xml:space="preserve">     </w:t>
      </w:r>
      <w:r w:rsidR="00C20287" w:rsidRPr="00B529EB">
        <w:rPr>
          <w:rFonts w:ascii="Arabic Transparent" w:hAnsi="Arabic Transparent" w:cs="Arabic Transparent" w:hint="cs"/>
          <w:sz w:val="28"/>
          <w:szCs w:val="28"/>
          <w:rtl/>
          <w:lang w:bidi="ar-JO"/>
        </w:rPr>
        <w:t>و</w:t>
      </w:r>
      <w:r w:rsidR="004033F5">
        <w:rPr>
          <w:rFonts w:ascii="Arabic Transparent" w:hAnsi="Arabic Transparent" w:cs="Arabic Transparent" w:hint="cs"/>
          <w:sz w:val="28"/>
          <w:szCs w:val="28"/>
          <w:rtl/>
          <w:lang w:bidi="ar-JO"/>
        </w:rPr>
        <w:t xml:space="preserve">تبرير الاتفاق عليه : "أنَّ </w:t>
      </w:r>
      <w:r w:rsidR="00C20287" w:rsidRPr="00B529EB">
        <w:rPr>
          <w:rFonts w:ascii="Arabic Transparent" w:hAnsi="Arabic Transparent" w:cs="Arabic Transparent" w:hint="cs"/>
          <w:sz w:val="28"/>
          <w:szCs w:val="28"/>
          <w:rtl/>
          <w:lang w:bidi="ar-JO"/>
        </w:rPr>
        <w:t>المناط إذا ثبت بنص</w:t>
      </w:r>
      <w:r w:rsidR="007874AE">
        <w:rPr>
          <w:rFonts w:ascii="Arabic Transparent" w:hAnsi="Arabic Transparent" w:cs="Arabic Transparent" w:hint="cs"/>
          <w:sz w:val="28"/>
          <w:szCs w:val="28"/>
          <w:rtl/>
          <w:lang w:bidi="ar-JO"/>
        </w:rPr>
        <w:t>،</w:t>
      </w:r>
      <w:r w:rsidR="00C20287" w:rsidRPr="00B529EB">
        <w:rPr>
          <w:rFonts w:ascii="Arabic Transparent" w:hAnsi="Arabic Transparent" w:cs="Arabic Transparent" w:hint="cs"/>
          <w:sz w:val="28"/>
          <w:szCs w:val="28"/>
          <w:rtl/>
          <w:lang w:bidi="ar-JO"/>
        </w:rPr>
        <w:t xml:space="preserve"> أو إجماع</w:t>
      </w:r>
      <w:r w:rsidR="007874AE">
        <w:rPr>
          <w:rFonts w:ascii="Arabic Transparent" w:hAnsi="Arabic Transparent" w:cs="Arabic Transparent" w:hint="cs"/>
          <w:sz w:val="28"/>
          <w:szCs w:val="28"/>
          <w:rtl/>
          <w:lang w:bidi="ar-JO"/>
        </w:rPr>
        <w:t>،</w:t>
      </w:r>
      <w:r w:rsidR="00C20287" w:rsidRPr="00B529EB">
        <w:rPr>
          <w:rFonts w:ascii="Arabic Transparent" w:hAnsi="Arabic Transparent" w:cs="Arabic Transparent" w:hint="cs"/>
          <w:sz w:val="28"/>
          <w:szCs w:val="28"/>
          <w:rtl/>
          <w:lang w:bidi="ar-JO"/>
        </w:rPr>
        <w:t xml:space="preserve"> فالاجتهاد في تحقيقه في أحد صوره الجزئية لا يعد على سبيل القياس</w:t>
      </w:r>
      <w:r w:rsidR="00A23E4D">
        <w:rPr>
          <w:rFonts w:ascii="Arabic Transparent" w:hAnsi="Arabic Transparent" w:cs="Arabic Transparent" w:hint="cs"/>
          <w:sz w:val="28"/>
          <w:szCs w:val="28"/>
          <w:rtl/>
          <w:lang w:bidi="ar-JO"/>
        </w:rPr>
        <w:t>؛</w:t>
      </w:r>
      <w:r w:rsidR="00C20287" w:rsidRPr="00B529EB">
        <w:rPr>
          <w:rFonts w:ascii="Arabic Transparent" w:hAnsi="Arabic Transparent" w:cs="Arabic Transparent" w:hint="cs"/>
          <w:sz w:val="28"/>
          <w:szCs w:val="28"/>
          <w:rtl/>
          <w:lang w:bidi="ar-JO"/>
        </w:rPr>
        <w:t xml:space="preserve"> لأن</w:t>
      </w:r>
      <w:r w:rsidR="00A23E4D">
        <w:rPr>
          <w:rFonts w:ascii="Arabic Transparent" w:hAnsi="Arabic Transparent" w:cs="Arabic Transparent" w:hint="cs"/>
          <w:sz w:val="28"/>
          <w:szCs w:val="28"/>
          <w:rtl/>
          <w:lang w:bidi="ar-JO"/>
        </w:rPr>
        <w:t>َّ</w:t>
      </w:r>
      <w:r w:rsidR="00C20287" w:rsidRPr="00B529EB">
        <w:rPr>
          <w:rFonts w:ascii="Arabic Transparent" w:hAnsi="Arabic Transparent" w:cs="Arabic Transparent" w:hint="cs"/>
          <w:sz w:val="28"/>
          <w:szCs w:val="28"/>
          <w:rtl/>
          <w:lang w:bidi="ar-JO"/>
        </w:rPr>
        <w:t>ه مرحلة من مراحل الاجتهاد اتفق على العمل به بين الأمة حتى عند منكري القياس</w:t>
      </w:r>
      <w:r w:rsidR="00A23E4D">
        <w:rPr>
          <w:rFonts w:ascii="Arabic Transparent" w:hAnsi="Arabic Transparent" w:cs="Arabic Transparent" w:hint="cs"/>
          <w:sz w:val="28"/>
          <w:szCs w:val="28"/>
          <w:rtl/>
          <w:lang w:bidi="ar-JO"/>
        </w:rPr>
        <w:t>؛</w:t>
      </w:r>
      <w:r w:rsidR="00C20287" w:rsidRPr="00B529EB">
        <w:rPr>
          <w:rFonts w:ascii="Arabic Transparent" w:hAnsi="Arabic Transparent" w:cs="Arabic Transparent" w:hint="cs"/>
          <w:sz w:val="28"/>
          <w:szCs w:val="28"/>
          <w:rtl/>
          <w:lang w:bidi="ar-JO"/>
        </w:rPr>
        <w:t xml:space="preserve"> لأن</w:t>
      </w:r>
      <w:r w:rsidR="00A23E4D">
        <w:rPr>
          <w:rFonts w:ascii="Arabic Transparent" w:hAnsi="Arabic Transparent" w:cs="Arabic Transparent" w:hint="cs"/>
          <w:sz w:val="28"/>
          <w:szCs w:val="28"/>
          <w:rtl/>
          <w:lang w:bidi="ar-JO"/>
        </w:rPr>
        <w:t>َّ</w:t>
      </w:r>
      <w:r w:rsidR="00C20287" w:rsidRPr="00B529EB">
        <w:rPr>
          <w:rFonts w:ascii="Arabic Transparent" w:hAnsi="Arabic Transparent" w:cs="Arabic Transparent" w:hint="cs"/>
          <w:sz w:val="28"/>
          <w:szCs w:val="28"/>
          <w:rtl/>
          <w:lang w:bidi="ar-JO"/>
        </w:rPr>
        <w:t xml:space="preserve"> المناط ثبت بيقين فلم يبقَ إلا الاجتهاد في إثبات محله، وهذا من الضروريات الشرعية وإلا بقيت الاحكام الشرعية مقررة في الأذهان، ولا وجود لها بالخارج</w:t>
      </w:r>
      <w:r w:rsidR="004033F5">
        <w:rPr>
          <w:rFonts w:ascii="Arabic Transparent" w:hAnsi="Arabic Transparent" w:cs="Arabic Transparent" w:hint="cs"/>
          <w:sz w:val="28"/>
          <w:szCs w:val="28"/>
          <w:rtl/>
          <w:lang w:bidi="ar-JO"/>
        </w:rPr>
        <w:t>"</w:t>
      </w:r>
      <w:r w:rsidR="00C20287" w:rsidRPr="00B529EB">
        <w:rPr>
          <w:rFonts w:ascii="Arabic Transparent" w:hAnsi="Arabic Transparent" w:cs="Arabic Transparent" w:hint="cs"/>
          <w:sz w:val="28"/>
          <w:szCs w:val="28"/>
          <w:vertAlign w:val="superscript"/>
          <w:rtl/>
          <w:lang w:bidi="ar-JO"/>
        </w:rPr>
        <w:t>(</w:t>
      </w:r>
      <w:r w:rsidR="00C20287" w:rsidRPr="00B529EB">
        <w:rPr>
          <w:rStyle w:val="FootnoteReference"/>
          <w:rFonts w:ascii="Arabic Transparent" w:hAnsi="Arabic Transparent" w:cs="Arabic Transparent" w:hint="cs"/>
          <w:sz w:val="28"/>
          <w:szCs w:val="28"/>
          <w:rtl/>
          <w:lang w:bidi="ar-JO"/>
        </w:rPr>
        <w:footnoteReference w:id="107"/>
      </w:r>
      <w:r w:rsidR="00C20287" w:rsidRPr="00B529EB">
        <w:rPr>
          <w:rFonts w:ascii="Arabic Transparent" w:hAnsi="Arabic Transparent" w:cs="Arabic Transparent" w:hint="cs"/>
          <w:sz w:val="28"/>
          <w:szCs w:val="28"/>
          <w:vertAlign w:val="superscript"/>
          <w:rtl/>
          <w:lang w:bidi="ar-JO"/>
        </w:rPr>
        <w:t>)</w:t>
      </w:r>
      <w:r w:rsidR="00C20287" w:rsidRPr="00B529EB">
        <w:rPr>
          <w:rFonts w:ascii="Arabic Transparent" w:hAnsi="Arabic Transparent" w:cs="Arabic Transparent" w:hint="cs"/>
          <w:sz w:val="28"/>
          <w:szCs w:val="28"/>
          <w:rtl/>
          <w:lang w:bidi="ar-JO"/>
        </w:rPr>
        <w:t>.</w:t>
      </w:r>
    </w:p>
    <w:p w14:paraId="2DFB1D9E" w14:textId="77777777" w:rsidR="00E13483" w:rsidRDefault="005D7B91" w:rsidP="00930ACA">
      <w:pPr>
        <w:spacing w:after="0" w:line="360" w:lineRule="auto"/>
        <w:jc w:val="both"/>
        <w:rPr>
          <w:rFonts w:ascii="Arabic Transparent" w:hAnsi="Arabic Transparent" w:cs="Arabic Transparent"/>
          <w:sz w:val="28"/>
          <w:szCs w:val="28"/>
          <w:rtl/>
          <w:lang w:bidi="ar-JO"/>
        </w:rPr>
      </w:pPr>
      <w:r>
        <w:rPr>
          <w:rFonts w:ascii="Arabic Transparent" w:hAnsi="Arabic Transparent" w:cs="Arabic Transparent" w:hint="cs"/>
          <w:sz w:val="28"/>
          <w:szCs w:val="28"/>
          <w:rtl/>
          <w:lang w:bidi="ar-JO"/>
        </w:rPr>
        <w:t xml:space="preserve">     </w:t>
      </w:r>
      <w:r w:rsidR="00E441D4" w:rsidRPr="00B529EB">
        <w:rPr>
          <w:rFonts w:ascii="Arabic Transparent" w:hAnsi="Arabic Transparent" w:cs="Arabic Transparent" w:hint="cs"/>
          <w:sz w:val="28"/>
          <w:szCs w:val="28"/>
          <w:rtl/>
          <w:lang w:bidi="ar-JO"/>
        </w:rPr>
        <w:t xml:space="preserve">وقد ثبت الإجماع على وجوب العمل بتحقيق </w:t>
      </w:r>
      <w:r w:rsidR="000E4003" w:rsidRPr="00B529EB">
        <w:rPr>
          <w:rFonts w:ascii="Arabic Transparent" w:hAnsi="Arabic Transparent" w:cs="Arabic Transparent" w:hint="cs"/>
          <w:sz w:val="28"/>
          <w:szCs w:val="28"/>
          <w:rtl/>
          <w:lang w:bidi="ar-JO"/>
        </w:rPr>
        <w:t>المناط</w:t>
      </w:r>
      <w:r w:rsidR="00A23E4D">
        <w:rPr>
          <w:rFonts w:ascii="Arabic Transparent" w:hAnsi="Arabic Transparent" w:cs="Arabic Transparent" w:hint="cs"/>
          <w:sz w:val="28"/>
          <w:szCs w:val="28"/>
          <w:rtl/>
          <w:lang w:bidi="ar-JO"/>
        </w:rPr>
        <w:t>،</w:t>
      </w:r>
      <w:r w:rsidR="000E4003" w:rsidRPr="00B529EB">
        <w:rPr>
          <w:rFonts w:ascii="Arabic Transparent" w:hAnsi="Arabic Transparent" w:cs="Arabic Transparent" w:hint="cs"/>
          <w:sz w:val="28"/>
          <w:szCs w:val="28"/>
          <w:rtl/>
          <w:lang w:bidi="ar-JO"/>
        </w:rPr>
        <w:t xml:space="preserve"> فهو كما قال الذهبي</w:t>
      </w:r>
      <w:r w:rsidR="00C61F85" w:rsidRPr="00B529EB">
        <w:rPr>
          <w:rFonts w:ascii="Arabic Transparent" w:hAnsi="Arabic Transparent" w:cs="Arabic Transparent" w:hint="cs"/>
          <w:sz w:val="28"/>
          <w:szCs w:val="28"/>
          <w:rtl/>
          <w:lang w:bidi="ar-JO"/>
        </w:rPr>
        <w:t>:</w:t>
      </w:r>
      <w:r w:rsidR="00B974BC">
        <w:rPr>
          <w:rFonts w:ascii="Arabic Transparent" w:hAnsi="Arabic Transparent" w:cs="Arabic Transparent" w:hint="cs"/>
          <w:sz w:val="28"/>
          <w:szCs w:val="28"/>
          <w:rtl/>
          <w:lang w:bidi="ar-JO"/>
        </w:rPr>
        <w:t xml:space="preserve"> </w:t>
      </w:r>
      <w:r w:rsidR="000E4003" w:rsidRPr="00B529EB">
        <w:rPr>
          <w:rFonts w:ascii="Arabic Transparent" w:hAnsi="Arabic Transparent" w:cs="Arabic Transparent" w:hint="cs"/>
          <w:sz w:val="28"/>
          <w:szCs w:val="28"/>
          <w:rtl/>
          <w:lang w:bidi="ar-JO"/>
        </w:rPr>
        <w:t>"وهو مما اتفق عليه الناس كلهم نفاة القياس ومثبت</w:t>
      </w:r>
      <w:r w:rsidR="00A23E4D">
        <w:rPr>
          <w:rFonts w:ascii="Arabic Transparent" w:hAnsi="Arabic Transparent" w:cs="Arabic Transparent" w:hint="cs"/>
          <w:sz w:val="28"/>
          <w:szCs w:val="28"/>
          <w:rtl/>
          <w:lang w:bidi="ar-JO"/>
        </w:rPr>
        <w:t>ي</w:t>
      </w:r>
      <w:r w:rsidR="000E4003" w:rsidRPr="00B529EB">
        <w:rPr>
          <w:rFonts w:ascii="Arabic Transparent" w:hAnsi="Arabic Transparent" w:cs="Arabic Transparent" w:hint="cs"/>
          <w:sz w:val="28"/>
          <w:szCs w:val="28"/>
          <w:rtl/>
          <w:lang w:bidi="ar-JO"/>
        </w:rPr>
        <w:t>ه، فإن</w:t>
      </w:r>
      <w:r w:rsidR="00A23E4D">
        <w:rPr>
          <w:rFonts w:ascii="Arabic Transparent" w:hAnsi="Arabic Transparent" w:cs="Arabic Transparent" w:hint="cs"/>
          <w:sz w:val="28"/>
          <w:szCs w:val="28"/>
          <w:rtl/>
          <w:lang w:bidi="ar-JO"/>
        </w:rPr>
        <w:t>َّ</w:t>
      </w:r>
      <w:r w:rsidR="000E4003" w:rsidRPr="00B529EB">
        <w:rPr>
          <w:rFonts w:ascii="Arabic Transparent" w:hAnsi="Arabic Transparent" w:cs="Arabic Transparent" w:hint="cs"/>
          <w:sz w:val="28"/>
          <w:szCs w:val="28"/>
          <w:rtl/>
          <w:lang w:bidi="ar-JO"/>
        </w:rPr>
        <w:t xml:space="preserve"> الله إذا أمر أن يستشهد ذوا عدل فكون الشخص المعين من ذوي </w:t>
      </w:r>
    </w:p>
    <w:p w14:paraId="020F4755" w14:textId="77777777" w:rsidR="00E13483" w:rsidRDefault="00E13483">
      <w:pPr>
        <w:bidi w:val="0"/>
        <w:spacing w:after="0" w:line="240" w:lineRule="auto"/>
        <w:rPr>
          <w:rFonts w:ascii="Arabic Transparent" w:hAnsi="Arabic Transparent" w:cs="Arabic Transparent"/>
          <w:sz w:val="28"/>
          <w:szCs w:val="28"/>
          <w:rtl/>
          <w:lang w:bidi="ar-JO"/>
        </w:rPr>
      </w:pPr>
      <w:r>
        <w:rPr>
          <w:rFonts w:ascii="Arabic Transparent" w:hAnsi="Arabic Transparent" w:cs="Arabic Transparent"/>
          <w:sz w:val="28"/>
          <w:szCs w:val="28"/>
          <w:rtl/>
          <w:lang w:bidi="ar-JO"/>
        </w:rPr>
        <w:br w:type="page"/>
      </w:r>
    </w:p>
    <w:p w14:paraId="2F95A835" w14:textId="15ABFCD5" w:rsidR="0096175E" w:rsidRDefault="000E4003" w:rsidP="00930ACA">
      <w:pPr>
        <w:spacing w:after="0" w:line="360" w:lineRule="auto"/>
        <w:jc w:val="both"/>
        <w:rPr>
          <w:rFonts w:ascii="Arabic Transparent" w:hAnsi="Arabic Transparent" w:cs="Arabic Transparent"/>
          <w:sz w:val="28"/>
          <w:szCs w:val="28"/>
          <w:rtl/>
          <w:lang w:bidi="ar-JO"/>
        </w:rPr>
      </w:pPr>
      <w:r w:rsidRPr="00B529EB">
        <w:rPr>
          <w:rFonts w:ascii="Arabic Transparent" w:hAnsi="Arabic Transparent" w:cs="Arabic Transparent" w:hint="cs"/>
          <w:sz w:val="28"/>
          <w:szCs w:val="28"/>
          <w:rtl/>
          <w:lang w:bidi="ar-JO"/>
        </w:rPr>
        <w:t xml:space="preserve">العدل لا يعلم بالنص </w:t>
      </w:r>
      <w:r w:rsidR="00C61F85" w:rsidRPr="00B529EB">
        <w:rPr>
          <w:rFonts w:ascii="Arabic Transparent" w:hAnsi="Arabic Transparent" w:cs="Arabic Transparent" w:hint="cs"/>
          <w:sz w:val="28"/>
          <w:szCs w:val="28"/>
          <w:rtl/>
          <w:lang w:bidi="ar-JO"/>
        </w:rPr>
        <w:t>العام</w:t>
      </w:r>
      <w:r w:rsidR="00C61F85" w:rsidRPr="00B529EB">
        <w:rPr>
          <w:rFonts w:ascii="Arabic Transparent" w:hAnsi="Arabic Transparent" w:cs="Arabic Transparent" w:hint="eastAsia"/>
          <w:sz w:val="28"/>
          <w:szCs w:val="28"/>
          <w:rtl/>
          <w:lang w:bidi="ar-JO"/>
        </w:rPr>
        <w:t>،</w:t>
      </w:r>
      <w:r w:rsidRPr="00B529EB">
        <w:rPr>
          <w:rFonts w:ascii="Arabic Transparent" w:hAnsi="Arabic Transparent" w:cs="Arabic Transparent" w:hint="cs"/>
          <w:sz w:val="28"/>
          <w:szCs w:val="28"/>
          <w:rtl/>
          <w:lang w:bidi="ar-JO"/>
        </w:rPr>
        <w:t xml:space="preserve"> بل باجتهاد خاص"</w:t>
      </w:r>
      <w:r w:rsidRPr="00B529EB">
        <w:rPr>
          <w:rFonts w:ascii="Arabic Transparent" w:hAnsi="Arabic Transparent" w:cs="Arabic Transparent" w:hint="cs"/>
          <w:sz w:val="28"/>
          <w:szCs w:val="28"/>
          <w:vertAlign w:val="superscript"/>
          <w:rtl/>
          <w:lang w:bidi="ar-JO"/>
        </w:rPr>
        <w:t>(</w:t>
      </w:r>
      <w:r w:rsidRPr="00B529EB">
        <w:rPr>
          <w:rStyle w:val="FootnoteReference"/>
          <w:rFonts w:ascii="Arabic Transparent" w:hAnsi="Arabic Transparent" w:cs="Arabic Transparent" w:hint="cs"/>
          <w:sz w:val="28"/>
          <w:szCs w:val="28"/>
          <w:rtl/>
          <w:lang w:bidi="ar-JO"/>
        </w:rPr>
        <w:footnoteReference w:id="108"/>
      </w:r>
      <w:r w:rsidRPr="00B529EB">
        <w:rPr>
          <w:rFonts w:ascii="Arabic Transparent" w:hAnsi="Arabic Transparent" w:cs="Arabic Transparent" w:hint="cs"/>
          <w:sz w:val="28"/>
          <w:szCs w:val="28"/>
          <w:vertAlign w:val="superscript"/>
          <w:rtl/>
          <w:lang w:bidi="ar-JO"/>
        </w:rPr>
        <w:t>)</w:t>
      </w:r>
      <w:r w:rsidR="00E441D4" w:rsidRPr="00B529EB">
        <w:rPr>
          <w:rFonts w:ascii="Arabic Transparent" w:hAnsi="Arabic Transparent" w:cs="Arabic Transparent" w:hint="cs"/>
          <w:sz w:val="28"/>
          <w:szCs w:val="28"/>
          <w:rtl/>
          <w:lang w:bidi="ar-JO"/>
        </w:rPr>
        <w:t xml:space="preserve"> </w:t>
      </w:r>
      <w:r w:rsidRPr="00B529EB">
        <w:rPr>
          <w:rFonts w:ascii="Arabic Transparent" w:hAnsi="Arabic Transparent" w:cs="Arabic Transparent" w:hint="cs"/>
          <w:sz w:val="28"/>
          <w:szCs w:val="28"/>
          <w:rtl/>
          <w:lang w:bidi="ar-JO"/>
        </w:rPr>
        <w:t xml:space="preserve">وهو ما نقله الزركشي عن الغزالي بقوله: </w:t>
      </w:r>
      <w:r w:rsidR="004033F5">
        <w:rPr>
          <w:rFonts w:ascii="Arabic Transparent" w:hAnsi="Arabic Transparent" w:cs="Arabic Transparent" w:hint="cs"/>
          <w:sz w:val="28"/>
          <w:szCs w:val="28"/>
          <w:rtl/>
          <w:lang w:bidi="ar-JO"/>
        </w:rPr>
        <w:t>"</w:t>
      </w:r>
      <w:r w:rsidRPr="00B529EB">
        <w:rPr>
          <w:rFonts w:ascii="Arabic Transparent" w:hAnsi="Arabic Transparent" w:cs="Arabic Transparent" w:hint="cs"/>
          <w:sz w:val="28"/>
          <w:szCs w:val="28"/>
          <w:rtl/>
          <w:lang w:bidi="ar-JO"/>
        </w:rPr>
        <w:t>قال</w:t>
      </w:r>
      <w:r w:rsidRPr="00B529EB">
        <w:rPr>
          <w:rFonts w:ascii="Arabic Transparent" w:hAnsi="Arabic Transparent" w:cs="Arabic Transparent" w:hint="cs"/>
          <w:sz w:val="28"/>
          <w:szCs w:val="28"/>
          <w:vertAlign w:val="superscript"/>
          <w:rtl/>
          <w:lang w:bidi="ar-JO"/>
        </w:rPr>
        <w:t xml:space="preserve"> </w:t>
      </w:r>
      <w:r w:rsidRPr="00B529EB">
        <w:rPr>
          <w:rFonts w:ascii="Arabic Transparent" w:hAnsi="Arabic Transparent" w:cs="Arabic Transparent" w:hint="cs"/>
          <w:sz w:val="28"/>
          <w:szCs w:val="28"/>
          <w:rtl/>
          <w:lang w:bidi="ar-JO"/>
        </w:rPr>
        <w:t>الغزالي: وهذا النوع من الاجتهاد لا خلاف فيه بين الأئمة</w:t>
      </w:r>
      <w:r w:rsidR="00E441D4" w:rsidRPr="00B529EB">
        <w:rPr>
          <w:rFonts w:ascii="Arabic Transparent" w:hAnsi="Arabic Transparent" w:cs="Arabic Transparent" w:hint="cs"/>
          <w:sz w:val="28"/>
          <w:szCs w:val="28"/>
          <w:rtl/>
          <w:lang w:bidi="ar-JO"/>
        </w:rPr>
        <w:t>"</w:t>
      </w:r>
      <w:r w:rsidRPr="00B529EB">
        <w:rPr>
          <w:rFonts w:ascii="Arabic Transparent" w:hAnsi="Arabic Transparent" w:cs="Arabic Transparent" w:hint="cs"/>
          <w:sz w:val="28"/>
          <w:szCs w:val="28"/>
          <w:vertAlign w:val="superscript"/>
          <w:rtl/>
          <w:lang w:bidi="ar-JO"/>
        </w:rPr>
        <w:t>(</w:t>
      </w:r>
      <w:r w:rsidRPr="00B529EB">
        <w:rPr>
          <w:rStyle w:val="FootnoteReference"/>
          <w:rFonts w:ascii="Arabic Transparent" w:hAnsi="Arabic Transparent" w:cs="Arabic Transparent" w:hint="cs"/>
          <w:sz w:val="28"/>
          <w:szCs w:val="28"/>
          <w:rtl/>
          <w:lang w:bidi="ar-JO"/>
        </w:rPr>
        <w:footnoteReference w:id="109"/>
      </w:r>
      <w:r w:rsidRPr="00B529EB">
        <w:rPr>
          <w:rFonts w:ascii="Arabic Transparent" w:hAnsi="Arabic Transparent" w:cs="Arabic Transparent" w:hint="cs"/>
          <w:sz w:val="28"/>
          <w:szCs w:val="28"/>
          <w:vertAlign w:val="superscript"/>
          <w:rtl/>
          <w:lang w:bidi="ar-JO"/>
        </w:rPr>
        <w:t>)</w:t>
      </w:r>
      <w:r w:rsidRPr="00B529EB">
        <w:rPr>
          <w:rFonts w:ascii="Arabic Transparent" w:hAnsi="Arabic Transparent" w:cs="Arabic Transparent" w:hint="cs"/>
          <w:sz w:val="28"/>
          <w:szCs w:val="28"/>
          <w:rtl/>
          <w:lang w:bidi="ar-JO"/>
        </w:rPr>
        <w:t>.</w:t>
      </w:r>
    </w:p>
    <w:p w14:paraId="5941D254" w14:textId="49AD453A" w:rsidR="00E441D4" w:rsidRPr="00B529EB" w:rsidRDefault="005D7B91" w:rsidP="0096175E">
      <w:pPr>
        <w:spacing w:after="0" w:line="360" w:lineRule="auto"/>
        <w:jc w:val="both"/>
        <w:rPr>
          <w:rFonts w:ascii="Arabic Transparent" w:hAnsi="Arabic Transparent" w:cs="Arabic Transparent"/>
          <w:sz w:val="28"/>
          <w:szCs w:val="28"/>
          <w:rtl/>
          <w:lang w:bidi="ar-JO"/>
        </w:rPr>
      </w:pPr>
      <w:r>
        <w:rPr>
          <w:rFonts w:ascii="Arabic Transparent" w:hAnsi="Arabic Transparent" w:cs="Arabic Transparent" w:hint="cs"/>
          <w:sz w:val="28"/>
          <w:szCs w:val="28"/>
          <w:rtl/>
          <w:lang w:bidi="ar-JO"/>
        </w:rPr>
        <w:t xml:space="preserve">     </w:t>
      </w:r>
      <w:r w:rsidR="00E441D4" w:rsidRPr="00B529EB">
        <w:rPr>
          <w:rFonts w:ascii="Arabic Transparent" w:hAnsi="Arabic Transparent" w:cs="Arabic Transparent" w:hint="cs"/>
          <w:sz w:val="28"/>
          <w:szCs w:val="28"/>
          <w:rtl/>
          <w:lang w:bidi="ar-JO"/>
        </w:rPr>
        <w:t xml:space="preserve">وكذلك نص ابن تيمية على الاتفاق </w:t>
      </w:r>
      <w:r w:rsidR="000C3A3F" w:rsidRPr="00B529EB">
        <w:rPr>
          <w:rFonts w:ascii="Arabic Transparent" w:hAnsi="Arabic Transparent" w:cs="Arabic Transparent" w:hint="cs"/>
          <w:sz w:val="28"/>
          <w:szCs w:val="28"/>
          <w:rtl/>
          <w:lang w:bidi="ar-JO"/>
        </w:rPr>
        <w:t>عليه بقوله: "فإن هذا النوع من الاجتهاد متفق عليه بين المسلمين، بل بين العقلاء فيما يتبعونه من شرائ</w:t>
      </w:r>
      <w:r w:rsidR="00A23E4D">
        <w:rPr>
          <w:rFonts w:ascii="Arabic Transparent" w:hAnsi="Arabic Transparent" w:cs="Arabic Transparent" w:hint="cs"/>
          <w:sz w:val="28"/>
          <w:szCs w:val="28"/>
          <w:rtl/>
          <w:lang w:bidi="ar-JO"/>
        </w:rPr>
        <w:t>ع</w:t>
      </w:r>
      <w:r w:rsidR="000C3A3F" w:rsidRPr="00B529EB">
        <w:rPr>
          <w:rFonts w:ascii="Arabic Transparent" w:hAnsi="Arabic Transparent" w:cs="Arabic Transparent" w:hint="cs"/>
          <w:sz w:val="28"/>
          <w:szCs w:val="28"/>
          <w:rtl/>
          <w:lang w:bidi="ar-JO"/>
        </w:rPr>
        <w:t xml:space="preserve"> دينهم وطاعة ولاة أمورهم، ومصالح دنياهم وآخرتهم</w:t>
      </w:r>
      <w:r w:rsidR="000531CE">
        <w:rPr>
          <w:rFonts w:ascii="Arabic Transparent" w:hAnsi="Arabic Transparent" w:cs="Arabic Transparent" w:hint="cs"/>
          <w:sz w:val="28"/>
          <w:szCs w:val="28"/>
          <w:rtl/>
          <w:lang w:bidi="ar-JO"/>
        </w:rPr>
        <w:t>"</w:t>
      </w:r>
      <w:r w:rsidR="000C3A3F" w:rsidRPr="00B529EB">
        <w:rPr>
          <w:rFonts w:ascii="Arabic Transparent" w:hAnsi="Arabic Transparent" w:cs="Arabic Transparent" w:hint="cs"/>
          <w:sz w:val="28"/>
          <w:szCs w:val="28"/>
          <w:vertAlign w:val="superscript"/>
          <w:rtl/>
          <w:lang w:bidi="ar-JO"/>
        </w:rPr>
        <w:t>(</w:t>
      </w:r>
      <w:r w:rsidR="000C3A3F" w:rsidRPr="00B529EB">
        <w:rPr>
          <w:rStyle w:val="FootnoteReference"/>
          <w:rFonts w:ascii="Arabic Transparent" w:hAnsi="Arabic Transparent" w:cs="Arabic Transparent" w:hint="cs"/>
          <w:sz w:val="28"/>
          <w:szCs w:val="28"/>
          <w:rtl/>
          <w:lang w:bidi="ar-JO"/>
        </w:rPr>
        <w:footnoteReference w:id="110"/>
      </w:r>
      <w:r w:rsidR="000C3A3F" w:rsidRPr="00B529EB">
        <w:rPr>
          <w:rFonts w:ascii="Arabic Transparent" w:hAnsi="Arabic Transparent" w:cs="Arabic Transparent" w:hint="cs"/>
          <w:sz w:val="28"/>
          <w:szCs w:val="28"/>
          <w:vertAlign w:val="superscript"/>
          <w:rtl/>
          <w:lang w:bidi="ar-JO"/>
        </w:rPr>
        <w:t>)</w:t>
      </w:r>
      <w:r w:rsidR="000531CE">
        <w:rPr>
          <w:rFonts w:ascii="Arabic Transparent" w:hAnsi="Arabic Transparent" w:cs="Arabic Transparent" w:hint="cs"/>
          <w:sz w:val="28"/>
          <w:szCs w:val="28"/>
          <w:rtl/>
          <w:lang w:bidi="ar-JO"/>
        </w:rPr>
        <w:t>.</w:t>
      </w:r>
    </w:p>
    <w:p w14:paraId="3208456D" w14:textId="2DCE39DA" w:rsidR="0096175E" w:rsidRDefault="008770F2" w:rsidP="0096175E">
      <w:pPr>
        <w:spacing w:after="0" w:line="360" w:lineRule="auto"/>
        <w:jc w:val="both"/>
        <w:rPr>
          <w:rFonts w:ascii="Arabic Transparent" w:hAnsi="Arabic Transparent" w:cs="Arabic Transparent"/>
          <w:b/>
          <w:bCs/>
          <w:sz w:val="28"/>
          <w:szCs w:val="28"/>
          <w:rtl/>
          <w:lang w:bidi="ar-JO"/>
        </w:rPr>
      </w:pPr>
      <w:r>
        <w:rPr>
          <w:rFonts w:ascii="Arabic Transparent" w:hAnsi="Arabic Transparent" w:cs="Arabic Transparent" w:hint="cs"/>
          <w:b/>
          <w:bCs/>
          <w:sz w:val="28"/>
          <w:szCs w:val="28"/>
          <w:rtl/>
          <w:lang w:bidi="ar-JO"/>
        </w:rPr>
        <w:t>الفرع الرابع</w:t>
      </w:r>
      <w:r w:rsidR="00B80F53" w:rsidRPr="00A23E4D">
        <w:rPr>
          <w:rFonts w:ascii="Arabic Transparent" w:hAnsi="Arabic Transparent" w:cs="Arabic Transparent" w:hint="cs"/>
          <w:b/>
          <w:bCs/>
          <w:sz w:val="28"/>
          <w:szCs w:val="28"/>
          <w:rtl/>
          <w:lang w:bidi="ar-JO"/>
        </w:rPr>
        <w:t xml:space="preserve">: من المعقول: </w:t>
      </w:r>
    </w:p>
    <w:p w14:paraId="49333CC3" w14:textId="721E624D" w:rsidR="0096175E" w:rsidRDefault="005D7B91" w:rsidP="0096175E">
      <w:pPr>
        <w:spacing w:after="0" w:line="360" w:lineRule="auto"/>
        <w:jc w:val="both"/>
        <w:rPr>
          <w:rFonts w:ascii="Arabic Transparent" w:hAnsi="Arabic Transparent" w:cs="Arabic Transparent"/>
          <w:b/>
          <w:bCs/>
          <w:sz w:val="28"/>
          <w:szCs w:val="28"/>
          <w:rtl/>
          <w:lang w:bidi="ar-JO"/>
        </w:rPr>
      </w:pPr>
      <w:r>
        <w:rPr>
          <w:rFonts w:ascii="Arabic Transparent" w:hAnsi="Arabic Transparent" w:cs="Arabic Transparent" w:hint="cs"/>
          <w:b/>
          <w:bCs/>
          <w:sz w:val="28"/>
          <w:szCs w:val="28"/>
          <w:rtl/>
          <w:lang w:bidi="ar-JO"/>
        </w:rPr>
        <w:t xml:space="preserve">     </w:t>
      </w:r>
      <w:r w:rsidR="00A23E4D">
        <w:rPr>
          <w:rFonts w:ascii="Arabic Transparent" w:hAnsi="Arabic Transparent" w:cs="Arabic Transparent" w:hint="cs"/>
          <w:sz w:val="28"/>
          <w:szCs w:val="28"/>
          <w:rtl/>
          <w:lang w:bidi="ar-JO"/>
        </w:rPr>
        <w:t xml:space="preserve">إنَّ </w:t>
      </w:r>
      <w:r w:rsidR="00B80F53" w:rsidRPr="00B529EB">
        <w:rPr>
          <w:rFonts w:ascii="Arabic Transparent" w:hAnsi="Arabic Transparent" w:cs="Arabic Transparent" w:hint="cs"/>
          <w:sz w:val="28"/>
          <w:szCs w:val="28"/>
          <w:rtl/>
          <w:lang w:bidi="ar-JO"/>
        </w:rPr>
        <w:t xml:space="preserve">كل سبب شرعه الله لحكمة مؤثرة لا يشرعه عند عدم اقتران تلك الحكمة به، فقد شرع التعازير والحدود </w:t>
      </w:r>
      <w:r w:rsidR="00E13483">
        <w:rPr>
          <w:rFonts w:ascii="Arabic Transparent" w:hAnsi="Arabic Transparent" w:cs="Arabic Transparent" w:hint="cs"/>
          <w:sz w:val="28"/>
          <w:szCs w:val="28"/>
          <w:rtl/>
          <w:lang w:bidi="ar-JO"/>
        </w:rPr>
        <w:t xml:space="preserve">للردع </w:t>
      </w:r>
      <w:r w:rsidR="00B80F53" w:rsidRPr="00B529EB">
        <w:rPr>
          <w:rFonts w:ascii="Arabic Transparent" w:hAnsi="Arabic Transparent" w:cs="Arabic Transparent" w:hint="cs"/>
          <w:sz w:val="28"/>
          <w:szCs w:val="28"/>
          <w:rtl/>
          <w:lang w:bidi="ar-JO"/>
        </w:rPr>
        <w:t>، ولم يشرعها في حق المجانين</w:t>
      </w:r>
      <w:r w:rsidR="00A23E4D">
        <w:rPr>
          <w:rFonts w:ascii="Arabic Transparent" w:hAnsi="Arabic Transparent" w:cs="Arabic Transparent" w:hint="cs"/>
          <w:sz w:val="28"/>
          <w:szCs w:val="28"/>
          <w:rtl/>
          <w:lang w:bidi="ar-JO"/>
        </w:rPr>
        <w:t>،</w:t>
      </w:r>
      <w:r w:rsidR="00B80F53" w:rsidRPr="00B529EB">
        <w:rPr>
          <w:rFonts w:ascii="Arabic Transparent" w:hAnsi="Arabic Transparent" w:cs="Arabic Transparent" w:hint="cs"/>
          <w:sz w:val="28"/>
          <w:szCs w:val="28"/>
          <w:rtl/>
          <w:lang w:bidi="ar-JO"/>
        </w:rPr>
        <w:t xml:space="preserve"> وغير المكلفين لعدم تأثرهم </w:t>
      </w:r>
      <w:r w:rsidR="00A23E4D">
        <w:rPr>
          <w:rFonts w:ascii="Arabic Transparent" w:hAnsi="Arabic Transparent" w:cs="Arabic Transparent" w:hint="cs"/>
          <w:sz w:val="28"/>
          <w:szCs w:val="28"/>
          <w:rtl/>
          <w:lang w:bidi="ar-JO"/>
        </w:rPr>
        <w:t>ب</w:t>
      </w:r>
      <w:r w:rsidR="00B80F53" w:rsidRPr="00B529EB">
        <w:rPr>
          <w:rFonts w:ascii="Arabic Transparent" w:hAnsi="Arabic Transparent" w:cs="Arabic Transparent" w:hint="cs"/>
          <w:sz w:val="28"/>
          <w:szCs w:val="28"/>
          <w:rtl/>
          <w:lang w:bidi="ar-JO"/>
        </w:rPr>
        <w:t>حكمة التشريع، وشرع البيع للاختصاص بالمنافع في الغرضين</w:t>
      </w:r>
      <w:r w:rsidR="00A23E4D">
        <w:rPr>
          <w:rFonts w:ascii="Arabic Transparent" w:hAnsi="Arabic Transparent" w:cs="Arabic Transparent" w:hint="cs"/>
          <w:sz w:val="28"/>
          <w:szCs w:val="28"/>
          <w:rtl/>
          <w:lang w:bidi="ar-JO"/>
        </w:rPr>
        <w:t>،</w:t>
      </w:r>
      <w:r w:rsidR="00B80F53" w:rsidRPr="00B529EB">
        <w:rPr>
          <w:rFonts w:ascii="Arabic Transparent" w:hAnsi="Arabic Transparent" w:cs="Arabic Transparent" w:hint="cs"/>
          <w:sz w:val="28"/>
          <w:szCs w:val="28"/>
          <w:rtl/>
          <w:lang w:bidi="ar-JO"/>
        </w:rPr>
        <w:t xml:space="preserve"> ولم يشرعه فيما لا ي</w:t>
      </w:r>
      <w:r w:rsidR="00A23E4D">
        <w:rPr>
          <w:rFonts w:ascii="Arabic Transparent" w:hAnsi="Arabic Transparent" w:cs="Arabic Transparent" w:hint="cs"/>
          <w:sz w:val="28"/>
          <w:szCs w:val="28"/>
          <w:rtl/>
          <w:lang w:bidi="ar-JO"/>
        </w:rPr>
        <w:t>ُ</w:t>
      </w:r>
      <w:r w:rsidR="00B80F53" w:rsidRPr="00B529EB">
        <w:rPr>
          <w:rFonts w:ascii="Arabic Transparent" w:hAnsi="Arabic Transparent" w:cs="Arabic Transparent" w:hint="cs"/>
          <w:sz w:val="28"/>
          <w:szCs w:val="28"/>
          <w:rtl/>
          <w:lang w:bidi="ar-JO"/>
        </w:rPr>
        <w:t>نتفع به</w:t>
      </w:r>
      <w:r w:rsidR="00E13483">
        <w:rPr>
          <w:rFonts w:ascii="Arabic Transparent" w:hAnsi="Arabic Transparent" w:cs="Arabic Transparent" w:hint="cs"/>
          <w:sz w:val="28"/>
          <w:szCs w:val="28"/>
          <w:rtl/>
          <w:lang w:bidi="ar-JO"/>
        </w:rPr>
        <w:t xml:space="preserve"> كالخنزير</w:t>
      </w:r>
      <w:r w:rsidR="00B80F53" w:rsidRPr="00B529EB">
        <w:rPr>
          <w:rFonts w:ascii="Arabic Transparent" w:hAnsi="Arabic Transparent" w:cs="Arabic Transparent" w:hint="cs"/>
          <w:sz w:val="28"/>
          <w:szCs w:val="28"/>
          <w:rtl/>
          <w:lang w:bidi="ar-JO"/>
        </w:rPr>
        <w:t>، وشرع اللعان لنفي النسب</w:t>
      </w:r>
      <w:r w:rsidR="00A23E4D">
        <w:rPr>
          <w:rFonts w:ascii="Arabic Transparent" w:hAnsi="Arabic Transparent" w:cs="Arabic Transparent" w:hint="cs"/>
          <w:sz w:val="28"/>
          <w:szCs w:val="28"/>
          <w:rtl/>
          <w:lang w:bidi="ar-JO"/>
        </w:rPr>
        <w:t>،</w:t>
      </w:r>
      <w:r w:rsidR="00B80F53" w:rsidRPr="00B529EB">
        <w:rPr>
          <w:rFonts w:ascii="Arabic Transparent" w:hAnsi="Arabic Transparent" w:cs="Arabic Transparent" w:hint="cs"/>
          <w:sz w:val="28"/>
          <w:szCs w:val="28"/>
          <w:rtl/>
          <w:lang w:bidi="ar-JO"/>
        </w:rPr>
        <w:t xml:space="preserve"> ولم يشرعه ل</w:t>
      </w:r>
      <w:r w:rsidR="00A23E4D">
        <w:rPr>
          <w:rFonts w:ascii="Arabic Transparent" w:hAnsi="Arabic Transparent" w:cs="Arabic Transparent" w:hint="cs"/>
          <w:sz w:val="28"/>
          <w:szCs w:val="28"/>
          <w:rtl/>
          <w:lang w:bidi="ar-JO"/>
        </w:rPr>
        <w:t>ل</w:t>
      </w:r>
      <w:r w:rsidR="00B80F53" w:rsidRPr="00B529EB">
        <w:rPr>
          <w:rFonts w:ascii="Arabic Transparent" w:hAnsi="Arabic Transparent" w:cs="Arabic Transparent" w:hint="cs"/>
          <w:sz w:val="28"/>
          <w:szCs w:val="28"/>
          <w:rtl/>
          <w:lang w:bidi="ar-JO"/>
        </w:rPr>
        <w:t>مجبوب والخصي</w:t>
      </w:r>
      <w:r w:rsidR="00A23E4D">
        <w:rPr>
          <w:rFonts w:ascii="Arabic Transparent" w:hAnsi="Arabic Transparent" w:cs="Arabic Transparent" w:hint="cs"/>
          <w:sz w:val="28"/>
          <w:szCs w:val="28"/>
          <w:rtl/>
          <w:lang w:bidi="ar-JO"/>
        </w:rPr>
        <w:t>ِّ</w:t>
      </w:r>
      <w:r w:rsidR="00B80F53" w:rsidRPr="00B529EB">
        <w:rPr>
          <w:rFonts w:ascii="Arabic Transparent" w:hAnsi="Arabic Transparent" w:cs="Arabic Transparent" w:hint="cs"/>
          <w:sz w:val="28"/>
          <w:szCs w:val="28"/>
          <w:rtl/>
          <w:lang w:bidi="ar-JO"/>
        </w:rPr>
        <w:t xml:space="preserve"> لانتفاء النسب بغير لعان، والأمثلة على ذلك كثيرة بالاستقراء في فروع الشريعة، ومعياره أن كل سبب لا يحصل مقصوده لا يشرع</w:t>
      </w:r>
      <w:r w:rsidR="00B80F53" w:rsidRPr="00B529EB">
        <w:rPr>
          <w:rFonts w:ascii="Arabic Transparent" w:hAnsi="Arabic Transparent" w:cs="Arabic Transparent" w:hint="cs"/>
          <w:sz w:val="28"/>
          <w:szCs w:val="28"/>
          <w:vertAlign w:val="superscript"/>
          <w:rtl/>
          <w:lang w:bidi="ar-JO"/>
        </w:rPr>
        <w:t>(</w:t>
      </w:r>
      <w:r w:rsidR="00B80F53" w:rsidRPr="00B529EB">
        <w:rPr>
          <w:rStyle w:val="FootnoteReference"/>
          <w:rFonts w:ascii="Arabic Transparent" w:hAnsi="Arabic Transparent" w:cs="Arabic Transparent" w:hint="cs"/>
          <w:sz w:val="28"/>
          <w:szCs w:val="28"/>
          <w:rtl/>
          <w:lang w:bidi="ar-JO"/>
        </w:rPr>
        <w:footnoteReference w:id="111"/>
      </w:r>
      <w:r w:rsidR="00B80F53" w:rsidRPr="00B529EB">
        <w:rPr>
          <w:rFonts w:ascii="Arabic Transparent" w:hAnsi="Arabic Transparent" w:cs="Arabic Transparent" w:hint="cs"/>
          <w:sz w:val="28"/>
          <w:szCs w:val="28"/>
          <w:vertAlign w:val="superscript"/>
          <w:rtl/>
          <w:lang w:bidi="ar-JO"/>
        </w:rPr>
        <w:t>)</w:t>
      </w:r>
      <w:r w:rsidR="000E1385">
        <w:rPr>
          <w:rFonts w:ascii="Arabic Transparent" w:hAnsi="Arabic Transparent" w:cs="Arabic Transparent" w:hint="cs"/>
          <w:b/>
          <w:bCs/>
          <w:sz w:val="28"/>
          <w:szCs w:val="28"/>
          <w:rtl/>
          <w:lang w:bidi="ar-JO"/>
        </w:rPr>
        <w:t>.</w:t>
      </w:r>
    </w:p>
    <w:p w14:paraId="2BB65E6A" w14:textId="1CA7E94B" w:rsidR="0096175E" w:rsidRPr="000E1385" w:rsidRDefault="005D7B91" w:rsidP="0096175E">
      <w:pPr>
        <w:spacing w:after="0" w:line="360" w:lineRule="auto"/>
        <w:jc w:val="both"/>
        <w:rPr>
          <w:rFonts w:ascii="Arabic Transparent" w:hAnsi="Arabic Transparent" w:cs="Arabic Transparent"/>
          <w:b/>
          <w:bCs/>
          <w:sz w:val="28"/>
          <w:szCs w:val="28"/>
          <w:rtl/>
          <w:lang w:bidi="ar-JO"/>
        </w:rPr>
      </w:pPr>
      <w:r>
        <w:rPr>
          <w:rFonts w:ascii="Arabic Transparent" w:hAnsi="Arabic Transparent" w:cs="Arabic Transparent" w:hint="cs"/>
          <w:b/>
          <w:bCs/>
          <w:sz w:val="28"/>
          <w:szCs w:val="28"/>
          <w:rtl/>
          <w:lang w:bidi="ar-JO"/>
        </w:rPr>
        <w:t xml:space="preserve">     </w:t>
      </w:r>
      <w:r w:rsidR="00F61696" w:rsidRPr="00B529EB">
        <w:rPr>
          <w:rFonts w:ascii="Arabic Transparent" w:hAnsi="Arabic Transparent" w:cs="Arabic Transparent" w:hint="cs"/>
          <w:sz w:val="28"/>
          <w:szCs w:val="28"/>
          <w:rtl/>
          <w:lang w:bidi="ar-JO"/>
        </w:rPr>
        <w:t>ي</w:t>
      </w:r>
      <w:r w:rsidR="00A23E4D">
        <w:rPr>
          <w:rFonts w:ascii="Arabic Transparent" w:hAnsi="Arabic Transparent" w:cs="Arabic Transparent" w:hint="cs"/>
          <w:sz w:val="28"/>
          <w:szCs w:val="28"/>
          <w:rtl/>
          <w:lang w:bidi="ar-JO"/>
        </w:rPr>
        <w:t>ُ</w:t>
      </w:r>
      <w:r w:rsidR="00F61696" w:rsidRPr="00B529EB">
        <w:rPr>
          <w:rFonts w:ascii="Arabic Transparent" w:hAnsi="Arabic Transparent" w:cs="Arabic Transparent" w:hint="cs"/>
          <w:sz w:val="28"/>
          <w:szCs w:val="28"/>
          <w:rtl/>
          <w:lang w:bidi="ar-JO"/>
        </w:rPr>
        <w:t xml:space="preserve">قرر </w:t>
      </w:r>
      <w:r w:rsidR="003576F0" w:rsidRPr="00B529EB">
        <w:rPr>
          <w:rFonts w:ascii="Arabic Transparent" w:hAnsi="Arabic Transparent" w:cs="Arabic Transparent" w:hint="cs"/>
          <w:sz w:val="28"/>
          <w:szCs w:val="28"/>
          <w:rtl/>
          <w:lang w:bidi="ar-JO"/>
        </w:rPr>
        <w:t>ذلك</w:t>
      </w:r>
      <w:r w:rsidR="00A23E4D">
        <w:rPr>
          <w:rFonts w:ascii="Arabic Transparent" w:hAnsi="Arabic Transparent" w:cs="Arabic Transparent" w:hint="cs"/>
          <w:sz w:val="28"/>
          <w:szCs w:val="28"/>
          <w:rtl/>
          <w:lang w:bidi="ar-JO"/>
        </w:rPr>
        <w:t>،</w:t>
      </w:r>
      <w:r w:rsidR="003576F0" w:rsidRPr="00B529EB">
        <w:rPr>
          <w:rFonts w:ascii="Arabic Transparent" w:hAnsi="Arabic Transparent" w:cs="Arabic Transparent" w:hint="cs"/>
          <w:sz w:val="28"/>
          <w:szCs w:val="28"/>
          <w:rtl/>
          <w:lang w:bidi="ar-JO"/>
        </w:rPr>
        <w:t xml:space="preserve"> </w:t>
      </w:r>
      <w:r w:rsidR="000F4DC2" w:rsidRPr="000F4DC2">
        <w:rPr>
          <w:rFonts w:ascii="Arabic Transparent" w:hAnsi="Arabic Transparent" w:cs="Arabic Transparent"/>
          <w:sz w:val="28"/>
          <w:szCs w:val="28"/>
          <w:rtl/>
          <w:lang w:bidi="ar-JO"/>
        </w:rPr>
        <w:t xml:space="preserve">الشهرستاني </w:t>
      </w:r>
      <w:r w:rsidR="00C6011E" w:rsidRPr="00B529EB">
        <w:rPr>
          <w:rFonts w:ascii="Arabic Transparent" w:hAnsi="Arabic Transparent" w:cs="Arabic Transparent" w:hint="cs"/>
          <w:sz w:val="28"/>
          <w:szCs w:val="28"/>
          <w:rtl/>
          <w:lang w:bidi="ar-JO"/>
        </w:rPr>
        <w:t>فيقول: "إن</w:t>
      </w:r>
      <w:r w:rsidR="00E13483">
        <w:rPr>
          <w:rFonts w:ascii="Arabic Transparent" w:hAnsi="Arabic Transparent" w:cs="Arabic Transparent" w:hint="cs"/>
          <w:sz w:val="28"/>
          <w:szCs w:val="28"/>
          <w:rtl/>
          <w:lang w:bidi="ar-JO"/>
        </w:rPr>
        <w:t>َّ</w:t>
      </w:r>
      <w:r w:rsidR="00C6011E" w:rsidRPr="00B529EB">
        <w:rPr>
          <w:rFonts w:ascii="Arabic Transparent" w:hAnsi="Arabic Transparent" w:cs="Arabic Transparent" w:hint="cs"/>
          <w:sz w:val="28"/>
          <w:szCs w:val="28"/>
          <w:rtl/>
          <w:lang w:bidi="ar-JO"/>
        </w:rPr>
        <w:t>ما حكم</w:t>
      </w:r>
      <w:r w:rsidR="00A23E4D">
        <w:rPr>
          <w:rFonts w:ascii="Arabic Transparent" w:hAnsi="Arabic Transparent" w:cs="Arabic Transparent" w:hint="cs"/>
          <w:sz w:val="28"/>
          <w:szCs w:val="28"/>
          <w:rtl/>
          <w:lang w:bidi="ar-JO"/>
        </w:rPr>
        <w:t>ه</w:t>
      </w:r>
      <w:r w:rsidR="00C6011E" w:rsidRPr="00B529EB">
        <w:rPr>
          <w:rFonts w:ascii="Arabic Transparent" w:hAnsi="Arabic Transparent" w:cs="Arabic Transparent" w:hint="cs"/>
          <w:sz w:val="28"/>
          <w:szCs w:val="28"/>
          <w:rtl/>
          <w:lang w:bidi="ar-JO"/>
        </w:rPr>
        <w:t xml:space="preserve"> تعالى: ما أدى إليه اجتهاد المجتهد؛ وأن</w:t>
      </w:r>
      <w:r w:rsidR="00E13483">
        <w:rPr>
          <w:rFonts w:ascii="Arabic Transparent" w:hAnsi="Arabic Transparent" w:cs="Arabic Transparent" w:hint="cs"/>
          <w:sz w:val="28"/>
          <w:szCs w:val="28"/>
          <w:rtl/>
          <w:lang w:bidi="ar-JO"/>
        </w:rPr>
        <w:t>َّ</w:t>
      </w:r>
      <w:r w:rsidR="00C6011E" w:rsidRPr="00B529EB">
        <w:rPr>
          <w:rFonts w:ascii="Arabic Transparent" w:hAnsi="Arabic Transparent" w:cs="Arabic Transparent" w:hint="cs"/>
          <w:sz w:val="28"/>
          <w:szCs w:val="28"/>
          <w:rtl/>
          <w:lang w:bidi="ar-JO"/>
        </w:rPr>
        <w:t xml:space="preserve"> هذا الحكم منوط بهذا السبب، فما لم يوجد السبب لم يثبت الحكم"</w:t>
      </w:r>
      <w:r w:rsidR="00C6011E" w:rsidRPr="00B529EB">
        <w:rPr>
          <w:rFonts w:ascii="Arabic Transparent" w:hAnsi="Arabic Transparent" w:cs="Arabic Transparent" w:hint="cs"/>
          <w:sz w:val="28"/>
          <w:szCs w:val="28"/>
          <w:vertAlign w:val="superscript"/>
          <w:rtl/>
          <w:lang w:bidi="ar-JO"/>
        </w:rPr>
        <w:t>(</w:t>
      </w:r>
      <w:r w:rsidR="00C6011E" w:rsidRPr="00B529EB">
        <w:rPr>
          <w:rStyle w:val="FootnoteReference"/>
          <w:rFonts w:ascii="Arabic Transparent" w:hAnsi="Arabic Transparent" w:cs="Arabic Transparent" w:hint="cs"/>
          <w:sz w:val="28"/>
          <w:szCs w:val="28"/>
          <w:rtl/>
          <w:lang w:bidi="ar-JO"/>
        </w:rPr>
        <w:footnoteReference w:id="112"/>
      </w:r>
      <w:r w:rsidR="00C6011E" w:rsidRPr="00B529EB">
        <w:rPr>
          <w:rFonts w:ascii="Arabic Transparent" w:hAnsi="Arabic Transparent" w:cs="Arabic Transparent" w:hint="cs"/>
          <w:sz w:val="28"/>
          <w:szCs w:val="28"/>
          <w:vertAlign w:val="superscript"/>
          <w:rtl/>
          <w:lang w:bidi="ar-JO"/>
        </w:rPr>
        <w:t>)</w:t>
      </w:r>
      <w:r w:rsidR="000E1385">
        <w:rPr>
          <w:rFonts w:ascii="Arabic Transparent" w:hAnsi="Arabic Transparent" w:cs="Arabic Transparent" w:hint="cs"/>
          <w:sz w:val="28"/>
          <w:szCs w:val="28"/>
          <w:rtl/>
          <w:lang w:bidi="ar-JO"/>
        </w:rPr>
        <w:t>.</w:t>
      </w:r>
    </w:p>
    <w:p w14:paraId="17C1B3E7" w14:textId="4A168991" w:rsidR="00AA05F5" w:rsidRDefault="005D7B91" w:rsidP="00930ACA">
      <w:pPr>
        <w:spacing w:after="0" w:line="360" w:lineRule="auto"/>
        <w:jc w:val="both"/>
        <w:rPr>
          <w:rFonts w:ascii="Arabic Transparent" w:hAnsi="Arabic Transparent" w:cs="Arabic Transparent"/>
          <w:b/>
          <w:bCs/>
          <w:sz w:val="28"/>
          <w:szCs w:val="28"/>
          <w:rtl/>
          <w:lang w:bidi="ar-JO"/>
        </w:rPr>
      </w:pPr>
      <w:r>
        <w:rPr>
          <w:rFonts w:ascii="Arabic Transparent" w:hAnsi="Arabic Transparent" w:cs="Arabic Transparent" w:hint="cs"/>
          <w:b/>
          <w:bCs/>
          <w:sz w:val="28"/>
          <w:szCs w:val="28"/>
          <w:rtl/>
          <w:lang w:bidi="ar-JO"/>
        </w:rPr>
        <w:t xml:space="preserve">     </w:t>
      </w:r>
      <w:r w:rsidR="00993B39" w:rsidRPr="00B529EB">
        <w:rPr>
          <w:rFonts w:ascii="Arabic Transparent" w:hAnsi="Arabic Transparent" w:cs="Arabic Transparent" w:hint="cs"/>
          <w:sz w:val="28"/>
          <w:szCs w:val="28"/>
          <w:rtl/>
          <w:lang w:bidi="ar-JO"/>
        </w:rPr>
        <w:t xml:space="preserve">ولو استعملنا الفرضيات العقلية </w:t>
      </w:r>
      <w:r w:rsidR="00A50E9A">
        <w:rPr>
          <w:rFonts w:ascii="Arabic Transparent" w:hAnsi="Arabic Transparent" w:cs="Arabic Transparent" w:hint="cs"/>
          <w:sz w:val="28"/>
          <w:szCs w:val="28"/>
          <w:rtl/>
          <w:lang w:bidi="ar-JO"/>
        </w:rPr>
        <w:t>ف</w:t>
      </w:r>
      <w:r w:rsidR="00993B39" w:rsidRPr="00B529EB">
        <w:rPr>
          <w:rFonts w:ascii="Arabic Transparent" w:hAnsi="Arabic Transparent" w:cs="Arabic Transparent" w:hint="cs"/>
          <w:sz w:val="28"/>
          <w:szCs w:val="28"/>
          <w:rtl/>
          <w:lang w:bidi="ar-JO"/>
        </w:rPr>
        <w:t xml:space="preserve">فرضنا عدم حجية تحقيق المناط </w:t>
      </w:r>
      <w:r w:rsidR="00832720">
        <w:rPr>
          <w:rFonts w:ascii="Arabic Transparent" w:hAnsi="Arabic Transparent" w:cs="Arabic Transparent" w:hint="cs"/>
          <w:sz w:val="28"/>
          <w:szCs w:val="28"/>
          <w:rtl/>
          <w:lang w:bidi="ar-JO"/>
        </w:rPr>
        <w:t>"</w:t>
      </w:r>
      <w:r w:rsidR="00993B39" w:rsidRPr="00B529EB">
        <w:rPr>
          <w:rFonts w:ascii="Arabic Transparent" w:hAnsi="Arabic Transparent" w:cs="Arabic Transparent" w:hint="cs"/>
          <w:sz w:val="28"/>
          <w:szCs w:val="28"/>
          <w:rtl/>
          <w:lang w:bidi="ar-JO"/>
        </w:rPr>
        <w:t>لكان التكليف تكليفا</w:t>
      </w:r>
      <w:r w:rsidR="00A50E9A">
        <w:rPr>
          <w:rFonts w:ascii="Arabic Transparent" w:hAnsi="Arabic Transparent" w:cs="Arabic Transparent" w:hint="cs"/>
          <w:sz w:val="28"/>
          <w:szCs w:val="28"/>
          <w:rtl/>
          <w:lang w:bidi="ar-JO"/>
        </w:rPr>
        <w:t>ً</w:t>
      </w:r>
      <w:r w:rsidR="00993B39" w:rsidRPr="00B529EB">
        <w:rPr>
          <w:rFonts w:ascii="Arabic Transparent" w:hAnsi="Arabic Transparent" w:cs="Arabic Transparent" w:hint="cs"/>
          <w:sz w:val="28"/>
          <w:szCs w:val="28"/>
          <w:rtl/>
          <w:lang w:bidi="ar-JO"/>
        </w:rPr>
        <w:t xml:space="preserve"> بالمحال</w:t>
      </w:r>
      <w:r w:rsidR="00A50E9A">
        <w:rPr>
          <w:rFonts w:ascii="Arabic Transparent" w:hAnsi="Arabic Transparent" w:cs="Arabic Transparent" w:hint="cs"/>
          <w:sz w:val="28"/>
          <w:szCs w:val="28"/>
          <w:rtl/>
          <w:lang w:bidi="ar-JO"/>
        </w:rPr>
        <w:t>،</w:t>
      </w:r>
      <w:r w:rsidR="00993B39" w:rsidRPr="00B529EB">
        <w:rPr>
          <w:rFonts w:ascii="Arabic Transparent" w:hAnsi="Arabic Transparent" w:cs="Arabic Transparent" w:hint="cs"/>
          <w:sz w:val="28"/>
          <w:szCs w:val="28"/>
          <w:rtl/>
          <w:lang w:bidi="ar-JO"/>
        </w:rPr>
        <w:t xml:space="preserve"> وهذا ممنوع شرعاً، إذ لا يتأتى امتثال التكليف إلا بمعرفة المكلف به، وهي لا تكون إلا بهذا النوع من الاجتهاد</w:t>
      </w:r>
      <w:r w:rsidR="00832720">
        <w:rPr>
          <w:rFonts w:ascii="Arabic Transparent" w:hAnsi="Arabic Transparent" w:cs="Arabic Transparent" w:hint="cs"/>
          <w:sz w:val="28"/>
          <w:szCs w:val="28"/>
          <w:rtl/>
          <w:lang w:bidi="ar-JO"/>
        </w:rPr>
        <w:t>"</w:t>
      </w:r>
      <w:r w:rsidR="00993B39" w:rsidRPr="00B529EB">
        <w:rPr>
          <w:rFonts w:ascii="Arabic Transparent" w:hAnsi="Arabic Transparent" w:cs="Arabic Transparent" w:hint="cs"/>
          <w:sz w:val="28"/>
          <w:szCs w:val="28"/>
          <w:vertAlign w:val="superscript"/>
          <w:rtl/>
          <w:lang w:bidi="ar-JO"/>
        </w:rPr>
        <w:t>(</w:t>
      </w:r>
      <w:r w:rsidR="00993B39" w:rsidRPr="00B529EB">
        <w:rPr>
          <w:rStyle w:val="FootnoteReference"/>
          <w:rFonts w:ascii="Arabic Transparent" w:hAnsi="Arabic Transparent" w:cs="Arabic Transparent" w:hint="cs"/>
          <w:sz w:val="28"/>
          <w:szCs w:val="28"/>
          <w:rtl/>
          <w:lang w:bidi="ar-JO"/>
        </w:rPr>
        <w:footnoteReference w:id="113"/>
      </w:r>
      <w:r w:rsidR="00993B39" w:rsidRPr="00B529EB">
        <w:rPr>
          <w:rFonts w:ascii="Arabic Transparent" w:hAnsi="Arabic Transparent" w:cs="Arabic Transparent" w:hint="cs"/>
          <w:sz w:val="28"/>
          <w:szCs w:val="28"/>
          <w:vertAlign w:val="superscript"/>
          <w:rtl/>
          <w:lang w:bidi="ar-JO"/>
        </w:rPr>
        <w:t>)</w:t>
      </w:r>
      <w:r w:rsidR="00993B39" w:rsidRPr="00B529EB">
        <w:rPr>
          <w:rFonts w:ascii="Arabic Transparent" w:hAnsi="Arabic Transparent" w:cs="Arabic Transparent" w:hint="cs"/>
          <w:sz w:val="28"/>
          <w:szCs w:val="28"/>
          <w:rtl/>
          <w:lang w:bidi="ar-JO"/>
        </w:rPr>
        <w:t xml:space="preserve">، وذلك من خلال </w:t>
      </w:r>
      <w:r w:rsidR="00832720">
        <w:rPr>
          <w:rFonts w:ascii="Arabic Transparent" w:hAnsi="Arabic Transparent" w:cs="Arabic Transparent" w:hint="cs"/>
          <w:sz w:val="28"/>
          <w:szCs w:val="28"/>
          <w:rtl/>
          <w:lang w:bidi="ar-JO"/>
        </w:rPr>
        <w:t>"</w:t>
      </w:r>
      <w:r w:rsidR="00993B39" w:rsidRPr="00B529EB">
        <w:rPr>
          <w:rFonts w:ascii="Arabic Transparent" w:hAnsi="Arabic Transparent" w:cs="Arabic Transparent" w:hint="cs"/>
          <w:sz w:val="28"/>
          <w:szCs w:val="28"/>
          <w:rtl/>
          <w:lang w:bidi="ar-JO"/>
        </w:rPr>
        <w:t>تنزيل أفعال المكلف وفق قواعد التكليف، فكان الاجتهاد بتحقيق المناط معتبراً قطعاً، وإلا لزم الممنوع شرعاً وعقلاً</w:t>
      </w:r>
      <w:r w:rsidR="00832720" w:rsidRPr="00832720">
        <w:rPr>
          <w:rFonts w:ascii="Arabic Transparent" w:hAnsi="Arabic Transparent" w:cs="Arabic Transparent" w:hint="cs"/>
          <w:sz w:val="28"/>
          <w:szCs w:val="28"/>
          <w:rtl/>
          <w:lang w:bidi="ar-JO"/>
        </w:rPr>
        <w:t>"</w:t>
      </w:r>
      <w:r w:rsidR="00993B39" w:rsidRPr="00B529EB">
        <w:rPr>
          <w:rFonts w:ascii="Arabic Transparent" w:hAnsi="Arabic Transparent" w:cs="Arabic Transparent" w:hint="cs"/>
          <w:sz w:val="28"/>
          <w:szCs w:val="28"/>
          <w:vertAlign w:val="superscript"/>
          <w:rtl/>
          <w:lang w:bidi="ar-JO"/>
        </w:rPr>
        <w:t>(</w:t>
      </w:r>
      <w:r w:rsidR="00993B39" w:rsidRPr="00B529EB">
        <w:rPr>
          <w:rStyle w:val="FootnoteReference"/>
          <w:rFonts w:ascii="Arabic Transparent" w:hAnsi="Arabic Transparent" w:cs="Arabic Transparent" w:hint="cs"/>
          <w:sz w:val="28"/>
          <w:szCs w:val="28"/>
          <w:rtl/>
          <w:lang w:bidi="ar-JO"/>
        </w:rPr>
        <w:footnoteReference w:id="114"/>
      </w:r>
      <w:r w:rsidR="00993B39" w:rsidRPr="00B529EB">
        <w:rPr>
          <w:rFonts w:ascii="Arabic Transparent" w:hAnsi="Arabic Transparent" w:cs="Arabic Transparent" w:hint="cs"/>
          <w:sz w:val="28"/>
          <w:szCs w:val="28"/>
          <w:vertAlign w:val="superscript"/>
          <w:rtl/>
          <w:lang w:bidi="ar-JO"/>
        </w:rPr>
        <w:t>)</w:t>
      </w:r>
      <w:r w:rsidR="000E1385" w:rsidRPr="000E1385">
        <w:rPr>
          <w:rFonts w:ascii="Arabic Transparent" w:hAnsi="Arabic Transparent" w:cs="Arabic Transparent" w:hint="cs"/>
          <w:sz w:val="28"/>
          <w:szCs w:val="28"/>
          <w:rtl/>
          <w:lang w:bidi="ar-JO"/>
        </w:rPr>
        <w:t>.</w:t>
      </w:r>
    </w:p>
    <w:p w14:paraId="1A694AE8" w14:textId="77777777" w:rsidR="00AA05F5" w:rsidRDefault="00AA05F5">
      <w:pPr>
        <w:bidi w:val="0"/>
        <w:spacing w:after="0" w:line="240" w:lineRule="auto"/>
        <w:rPr>
          <w:rFonts w:ascii="Arabic Transparent" w:hAnsi="Arabic Transparent" w:cs="Arabic Transparent"/>
          <w:b/>
          <w:bCs/>
          <w:sz w:val="28"/>
          <w:szCs w:val="28"/>
          <w:rtl/>
          <w:lang w:bidi="ar-JO"/>
        </w:rPr>
      </w:pPr>
      <w:r>
        <w:rPr>
          <w:rFonts w:ascii="Arabic Transparent" w:hAnsi="Arabic Transparent" w:cs="Arabic Transparent"/>
          <w:b/>
          <w:bCs/>
          <w:sz w:val="28"/>
          <w:szCs w:val="28"/>
          <w:rtl/>
          <w:lang w:bidi="ar-JO"/>
        </w:rPr>
        <w:br w:type="page"/>
      </w:r>
    </w:p>
    <w:p w14:paraId="4F610A2B" w14:textId="7FC65F01" w:rsidR="00E54A28" w:rsidRPr="002C707F" w:rsidRDefault="009C1941" w:rsidP="000E3077">
      <w:pPr>
        <w:spacing w:after="0" w:line="360" w:lineRule="auto"/>
        <w:jc w:val="both"/>
        <w:rPr>
          <w:rFonts w:ascii="Arabic Transparent" w:hAnsi="Arabic Transparent" w:cs="Arabic Transparent"/>
          <w:b/>
          <w:bCs/>
          <w:sz w:val="32"/>
          <w:szCs w:val="32"/>
          <w:rtl/>
        </w:rPr>
      </w:pPr>
      <w:r w:rsidRPr="002C707F">
        <w:rPr>
          <w:rFonts w:ascii="Arabic Transparent" w:hAnsi="Arabic Transparent" w:cs="Arabic Transparent" w:hint="cs"/>
          <w:b/>
          <w:bCs/>
          <w:sz w:val="32"/>
          <w:szCs w:val="32"/>
          <w:rtl/>
          <w:lang w:bidi="ar-JO"/>
        </w:rPr>
        <w:t>المطلب الثالث:</w:t>
      </w:r>
      <w:r w:rsidR="000E3077" w:rsidRPr="002C707F">
        <w:rPr>
          <w:rFonts w:ascii="Arabic Transparent" w:hAnsi="Arabic Transparent" w:cs="Arabic Transparent" w:hint="cs"/>
          <w:b/>
          <w:bCs/>
          <w:sz w:val="32"/>
          <w:szCs w:val="32"/>
          <w:rtl/>
          <w:lang w:bidi="ar-JO"/>
        </w:rPr>
        <w:t xml:space="preserve"> أهمية تحقيق المناط</w:t>
      </w:r>
      <w:r w:rsidR="00B2298F" w:rsidRPr="002C707F">
        <w:rPr>
          <w:rFonts w:ascii="Arabic Transparent" w:hAnsi="Arabic Transparent" w:cs="Arabic Transparent" w:hint="cs"/>
          <w:b/>
          <w:bCs/>
          <w:sz w:val="32"/>
          <w:szCs w:val="32"/>
          <w:rtl/>
        </w:rPr>
        <w:t xml:space="preserve"> الخاص</w:t>
      </w:r>
    </w:p>
    <w:p w14:paraId="58CFE85D" w14:textId="5D0C48DD" w:rsidR="000F1A4C" w:rsidRPr="00B529EB" w:rsidRDefault="000F1A4C" w:rsidP="00A50E9A">
      <w:pPr>
        <w:spacing w:after="0" w:line="360" w:lineRule="auto"/>
        <w:ind w:firstLine="332"/>
        <w:jc w:val="both"/>
        <w:rPr>
          <w:rFonts w:ascii="Arabic Transparent" w:hAnsi="Arabic Transparent" w:cs="Arabic Transparent"/>
          <w:sz w:val="28"/>
          <w:szCs w:val="28"/>
          <w:rtl/>
        </w:rPr>
      </w:pPr>
      <w:r w:rsidRPr="00B529EB">
        <w:rPr>
          <w:rFonts w:ascii="Arabic Transparent" w:hAnsi="Arabic Transparent" w:cs="Arabic Transparent" w:hint="cs"/>
          <w:sz w:val="28"/>
          <w:szCs w:val="28"/>
          <w:rtl/>
        </w:rPr>
        <w:t>بعد التعرف على نشأة تحقيق المناط يمكن أن ن</w:t>
      </w:r>
      <w:r w:rsidR="00A50E9A">
        <w:rPr>
          <w:rFonts w:ascii="Arabic Transparent" w:hAnsi="Arabic Transparent" w:cs="Arabic Transparent" w:hint="cs"/>
          <w:sz w:val="28"/>
          <w:szCs w:val="28"/>
          <w:rtl/>
        </w:rPr>
        <w:t>ُ</w:t>
      </w:r>
      <w:r w:rsidRPr="00B529EB">
        <w:rPr>
          <w:rFonts w:ascii="Arabic Transparent" w:hAnsi="Arabic Transparent" w:cs="Arabic Transparent" w:hint="cs"/>
          <w:sz w:val="28"/>
          <w:szCs w:val="28"/>
          <w:rtl/>
        </w:rPr>
        <w:t>لخ</w:t>
      </w:r>
      <w:r w:rsidR="00A50E9A">
        <w:rPr>
          <w:rFonts w:ascii="Arabic Transparent" w:hAnsi="Arabic Transparent" w:cs="Arabic Transparent" w:hint="cs"/>
          <w:sz w:val="28"/>
          <w:szCs w:val="28"/>
          <w:rtl/>
        </w:rPr>
        <w:t>ّ</w:t>
      </w:r>
      <w:r w:rsidRPr="00B529EB">
        <w:rPr>
          <w:rFonts w:ascii="Arabic Transparent" w:hAnsi="Arabic Transparent" w:cs="Arabic Transparent" w:hint="cs"/>
          <w:sz w:val="28"/>
          <w:szCs w:val="28"/>
          <w:rtl/>
        </w:rPr>
        <w:t xml:space="preserve">ص أهميته بما يرتبط فيه من دور مهم في عملية الاجتهاد من خلال </w:t>
      </w:r>
      <w:r w:rsidR="003E19BD" w:rsidRPr="00B529EB">
        <w:rPr>
          <w:rFonts w:ascii="Arabic Transparent" w:hAnsi="Arabic Transparent" w:cs="Arabic Transparent" w:hint="cs"/>
          <w:sz w:val="28"/>
          <w:szCs w:val="28"/>
          <w:rtl/>
        </w:rPr>
        <w:t>ثلاثة جوانب وهي:</w:t>
      </w:r>
    </w:p>
    <w:p w14:paraId="78693C76" w14:textId="6A968791" w:rsidR="0096175E" w:rsidRDefault="000F1A4C" w:rsidP="00832720">
      <w:pPr>
        <w:spacing w:after="0" w:line="360" w:lineRule="auto"/>
        <w:jc w:val="both"/>
        <w:rPr>
          <w:rFonts w:ascii="Arabic Transparent" w:hAnsi="Arabic Transparent" w:cs="Arabic Transparent"/>
          <w:sz w:val="28"/>
          <w:szCs w:val="28"/>
          <w:rtl/>
          <w:lang w:bidi="ar-JO"/>
        </w:rPr>
      </w:pPr>
      <w:r w:rsidRPr="00A52C0B">
        <w:rPr>
          <w:rFonts w:ascii="Arabic Transparent" w:hAnsi="Arabic Transparent" w:cs="Arabic Transparent" w:hint="cs"/>
          <w:b/>
          <w:bCs/>
          <w:sz w:val="28"/>
          <w:szCs w:val="28"/>
          <w:rtl/>
        </w:rPr>
        <w:t>أولاً:</w:t>
      </w:r>
      <w:r w:rsidR="007C2C1E" w:rsidRPr="00B529EB">
        <w:rPr>
          <w:rFonts w:ascii="Arabic Transparent" w:hAnsi="Arabic Transparent" w:cs="Arabic Transparent" w:hint="cs"/>
          <w:sz w:val="28"/>
          <w:szCs w:val="28"/>
          <w:rtl/>
        </w:rPr>
        <w:t xml:space="preserve"> </w:t>
      </w:r>
      <w:r w:rsidR="00F72D14" w:rsidRPr="00B529EB">
        <w:rPr>
          <w:rFonts w:ascii="Arabic Transparent" w:hAnsi="Arabic Transparent" w:cs="Arabic Transparent" w:hint="cs"/>
          <w:sz w:val="28"/>
          <w:szCs w:val="28"/>
          <w:rtl/>
        </w:rPr>
        <w:t>أفضل وسيلة لتفعيل الشريعة وتنزيلها على الو</w:t>
      </w:r>
      <w:r w:rsidR="006C5DDC" w:rsidRPr="00B529EB">
        <w:rPr>
          <w:rFonts w:ascii="Arabic Transparent" w:hAnsi="Arabic Transparent" w:cs="Arabic Transparent" w:hint="cs"/>
          <w:sz w:val="28"/>
          <w:szCs w:val="28"/>
          <w:rtl/>
        </w:rPr>
        <w:t>قائع</w:t>
      </w:r>
      <w:r w:rsidR="0074737B" w:rsidRPr="00B529EB">
        <w:rPr>
          <w:rFonts w:ascii="Arabic Transparent" w:hAnsi="Arabic Transparent" w:cs="Arabic Transparent" w:hint="cs"/>
          <w:sz w:val="28"/>
          <w:szCs w:val="28"/>
          <w:rtl/>
        </w:rPr>
        <w:t xml:space="preserve"> الخاص</w:t>
      </w:r>
      <w:r w:rsidR="006C5DDC" w:rsidRPr="00B529EB">
        <w:rPr>
          <w:rFonts w:ascii="Arabic Transparent" w:hAnsi="Arabic Transparent" w:cs="Arabic Transparent" w:hint="cs"/>
          <w:sz w:val="28"/>
          <w:szCs w:val="28"/>
          <w:rtl/>
        </w:rPr>
        <w:t>ة</w:t>
      </w:r>
      <w:r w:rsidR="00F72D14" w:rsidRPr="00B529EB">
        <w:rPr>
          <w:rFonts w:ascii="Arabic Transparent" w:hAnsi="Arabic Transparent" w:cs="Arabic Transparent" w:hint="cs"/>
          <w:sz w:val="28"/>
          <w:szCs w:val="28"/>
          <w:rtl/>
        </w:rPr>
        <w:t>،</w:t>
      </w:r>
      <w:r w:rsidR="006C5DDC" w:rsidRPr="00B529EB">
        <w:rPr>
          <w:rFonts w:ascii="Arabic Transparent" w:hAnsi="Arabic Transparent" w:cs="Arabic Transparent" w:hint="cs"/>
          <w:sz w:val="28"/>
          <w:szCs w:val="28"/>
          <w:rtl/>
        </w:rPr>
        <w:t xml:space="preserve"> والحوادث المعي</w:t>
      </w:r>
      <w:r w:rsidR="00A50E9A">
        <w:rPr>
          <w:rFonts w:ascii="Arabic Transparent" w:hAnsi="Arabic Transparent" w:cs="Arabic Transparent" w:hint="cs"/>
          <w:sz w:val="28"/>
          <w:szCs w:val="28"/>
          <w:rtl/>
        </w:rPr>
        <w:t>َّ</w:t>
      </w:r>
      <w:r w:rsidR="006C5DDC" w:rsidRPr="00B529EB">
        <w:rPr>
          <w:rFonts w:ascii="Arabic Transparent" w:hAnsi="Arabic Transparent" w:cs="Arabic Transparent" w:hint="cs"/>
          <w:sz w:val="28"/>
          <w:szCs w:val="28"/>
          <w:rtl/>
        </w:rPr>
        <w:t xml:space="preserve">نة التي يتغير الحكم </w:t>
      </w:r>
      <w:r w:rsidR="00A50E9A">
        <w:rPr>
          <w:rFonts w:ascii="Arabic Transparent" w:hAnsi="Arabic Transparent" w:cs="Arabic Transparent" w:hint="cs"/>
          <w:sz w:val="28"/>
          <w:szCs w:val="28"/>
          <w:rtl/>
        </w:rPr>
        <w:t>فيها</w:t>
      </w:r>
      <w:r w:rsidR="006C5DDC" w:rsidRPr="00B529EB">
        <w:rPr>
          <w:rFonts w:ascii="Arabic Transparent" w:hAnsi="Arabic Transparent" w:cs="Arabic Transparent" w:hint="cs"/>
          <w:sz w:val="28"/>
          <w:szCs w:val="28"/>
          <w:rtl/>
        </w:rPr>
        <w:t xml:space="preserve"> بتغيّر الأوصاف</w:t>
      </w:r>
      <w:r w:rsidR="00A50E9A">
        <w:rPr>
          <w:rFonts w:ascii="Arabic Transparent" w:hAnsi="Arabic Transparent" w:cs="Arabic Transparent" w:hint="cs"/>
          <w:sz w:val="28"/>
          <w:szCs w:val="28"/>
          <w:rtl/>
        </w:rPr>
        <w:t>،</w:t>
      </w:r>
      <w:r w:rsidR="006C5DDC" w:rsidRPr="00B529EB">
        <w:rPr>
          <w:rFonts w:ascii="Arabic Transparent" w:hAnsi="Arabic Transparent" w:cs="Arabic Transparent" w:hint="cs"/>
          <w:sz w:val="28"/>
          <w:szCs w:val="28"/>
          <w:rtl/>
        </w:rPr>
        <w:t xml:space="preserve"> والتي </w:t>
      </w:r>
      <w:r w:rsidR="00F72D14" w:rsidRPr="00B529EB">
        <w:rPr>
          <w:rFonts w:ascii="Arabic Transparent" w:hAnsi="Arabic Transparent" w:cs="Arabic Transparent" w:hint="cs"/>
          <w:sz w:val="28"/>
          <w:szCs w:val="28"/>
          <w:rtl/>
        </w:rPr>
        <w:t>تن</w:t>
      </w:r>
      <w:r w:rsidR="006C5DDC" w:rsidRPr="00B529EB">
        <w:rPr>
          <w:rFonts w:ascii="Arabic Transparent" w:hAnsi="Arabic Transparent" w:cs="Arabic Transparent" w:hint="cs"/>
          <w:sz w:val="28"/>
          <w:szCs w:val="28"/>
          <w:rtl/>
        </w:rPr>
        <w:t>قل الأحكام الشرعية</w:t>
      </w:r>
      <w:r w:rsidR="00F72D14" w:rsidRPr="00B529EB">
        <w:rPr>
          <w:rFonts w:ascii="Arabic Transparent" w:hAnsi="Arabic Transparent" w:cs="Arabic Transparent" w:hint="cs"/>
          <w:sz w:val="28"/>
          <w:szCs w:val="28"/>
          <w:rtl/>
        </w:rPr>
        <w:t xml:space="preserve"> من حيز التنظير إلى حيز التنفيذ العملي،</w:t>
      </w:r>
      <w:r w:rsidR="006C5DDC" w:rsidRPr="00B529EB">
        <w:rPr>
          <w:rFonts w:ascii="Arabic Transparent" w:hAnsi="Arabic Transparent" w:cs="Arabic Transparent" w:hint="cs"/>
          <w:sz w:val="28"/>
          <w:szCs w:val="28"/>
          <w:rtl/>
        </w:rPr>
        <w:t xml:space="preserve"> بعد التأكد من انطباقها على الوقائع والحوادث المختلفة</w:t>
      </w:r>
      <w:r w:rsidR="00A50E9A">
        <w:rPr>
          <w:rFonts w:ascii="Arabic Transparent" w:hAnsi="Arabic Transparent" w:cs="Arabic Transparent" w:hint="cs"/>
          <w:sz w:val="28"/>
          <w:szCs w:val="28"/>
          <w:rtl/>
        </w:rPr>
        <w:t>،</w:t>
      </w:r>
      <w:r w:rsidR="00F72D14" w:rsidRPr="00B529EB">
        <w:rPr>
          <w:rFonts w:ascii="Arabic Transparent" w:hAnsi="Arabic Transparent" w:cs="Arabic Transparent" w:hint="cs"/>
          <w:sz w:val="28"/>
          <w:szCs w:val="28"/>
          <w:rtl/>
        </w:rPr>
        <w:t xml:space="preserve"> وهكذا عبر ال</w:t>
      </w:r>
      <w:r w:rsidR="00112AAB" w:rsidRPr="00B529EB">
        <w:rPr>
          <w:rFonts w:ascii="Arabic Transparent" w:hAnsi="Arabic Transparent" w:cs="Arabic Transparent" w:hint="cs"/>
          <w:sz w:val="28"/>
          <w:szCs w:val="28"/>
          <w:rtl/>
        </w:rPr>
        <w:t>شاطبي</w:t>
      </w:r>
      <w:r w:rsidR="00D9038F">
        <w:rPr>
          <w:rFonts w:ascii="Arabic Transparent" w:hAnsi="Arabic Transparent" w:cs="Arabic Transparent" w:hint="cs"/>
          <w:sz w:val="28"/>
          <w:szCs w:val="28"/>
          <w:rtl/>
        </w:rPr>
        <w:t xml:space="preserve">، </w:t>
      </w:r>
      <w:r w:rsidR="00F2156C" w:rsidRPr="00B529EB">
        <w:rPr>
          <w:rFonts w:ascii="Arabic Transparent" w:hAnsi="Arabic Transparent" w:cs="Arabic Transparent" w:hint="cs"/>
          <w:sz w:val="28"/>
          <w:szCs w:val="28"/>
          <w:rtl/>
        </w:rPr>
        <w:t>حيث قال: "</w:t>
      </w:r>
      <w:r w:rsidR="00A50E9A" w:rsidRPr="00A50E9A">
        <w:rPr>
          <w:rFonts w:ascii="Arabic Transparent" w:hAnsi="Arabic Transparent" w:cs="Arabic Transparent"/>
          <w:sz w:val="28"/>
          <w:szCs w:val="28"/>
          <w:rtl/>
        </w:rPr>
        <w:t>لو فرض ارتفاع هذا الاجتهاد لم تتنزل الأحكام الشرعية على أفعال المكلفين إلا في الذهن؛ لأنها مطلقات وعمومات وما يرجع إلى ذلك، منزلات على أفعال مطلقات كذلك، والأفعال لا تقع في الوجود مطلقة، وإنما تقع معي</w:t>
      </w:r>
      <w:r w:rsidR="00A50E9A">
        <w:rPr>
          <w:rFonts w:ascii="Arabic Transparent" w:hAnsi="Arabic Transparent" w:cs="Arabic Transparent" w:hint="cs"/>
          <w:sz w:val="28"/>
          <w:szCs w:val="28"/>
          <w:rtl/>
        </w:rPr>
        <w:t>َّ</w:t>
      </w:r>
      <w:r w:rsidR="00A50E9A" w:rsidRPr="00A50E9A">
        <w:rPr>
          <w:rFonts w:ascii="Arabic Transparent" w:hAnsi="Arabic Transparent" w:cs="Arabic Transparent"/>
          <w:sz w:val="28"/>
          <w:szCs w:val="28"/>
          <w:rtl/>
        </w:rPr>
        <w:t>نة مشخ</w:t>
      </w:r>
      <w:r w:rsidR="00A50E9A">
        <w:rPr>
          <w:rFonts w:ascii="Arabic Transparent" w:hAnsi="Arabic Transparent" w:cs="Arabic Transparent" w:hint="cs"/>
          <w:sz w:val="28"/>
          <w:szCs w:val="28"/>
          <w:rtl/>
        </w:rPr>
        <w:t>َّ</w:t>
      </w:r>
      <w:r w:rsidR="00A50E9A" w:rsidRPr="00A50E9A">
        <w:rPr>
          <w:rFonts w:ascii="Arabic Transparent" w:hAnsi="Arabic Transparent" w:cs="Arabic Transparent"/>
          <w:sz w:val="28"/>
          <w:szCs w:val="28"/>
          <w:rtl/>
        </w:rPr>
        <w:t>صة؛ فلا يكون الحكم واقعا</w:t>
      </w:r>
      <w:r w:rsidR="00832720">
        <w:rPr>
          <w:rFonts w:ascii="Arabic Transparent" w:hAnsi="Arabic Transparent" w:cs="Arabic Transparent" w:hint="cs"/>
          <w:sz w:val="28"/>
          <w:szCs w:val="28"/>
          <w:rtl/>
        </w:rPr>
        <w:t>ً</w:t>
      </w:r>
      <w:r w:rsidR="00A50E9A" w:rsidRPr="00A50E9A">
        <w:rPr>
          <w:rFonts w:ascii="Arabic Transparent" w:hAnsi="Arabic Transparent" w:cs="Arabic Transparent"/>
          <w:sz w:val="28"/>
          <w:szCs w:val="28"/>
          <w:rtl/>
        </w:rPr>
        <w:t xml:space="preserve"> عليها إلا بعد المعرفة بأن</w:t>
      </w:r>
      <w:r w:rsidR="00A50E9A">
        <w:rPr>
          <w:rFonts w:ascii="Arabic Transparent" w:hAnsi="Arabic Transparent" w:cs="Arabic Transparent" w:hint="cs"/>
          <w:sz w:val="28"/>
          <w:szCs w:val="28"/>
          <w:rtl/>
        </w:rPr>
        <w:t>َّ</w:t>
      </w:r>
      <w:r w:rsidR="00A50E9A" w:rsidRPr="00A50E9A">
        <w:rPr>
          <w:rFonts w:ascii="Arabic Transparent" w:hAnsi="Arabic Transparent" w:cs="Arabic Transparent"/>
          <w:sz w:val="28"/>
          <w:szCs w:val="28"/>
          <w:rtl/>
        </w:rPr>
        <w:t xml:space="preserve"> هذا المعي</w:t>
      </w:r>
      <w:r w:rsidR="00832720">
        <w:rPr>
          <w:rFonts w:ascii="Arabic Transparent" w:hAnsi="Arabic Transparent" w:cs="Arabic Transparent" w:hint="cs"/>
          <w:sz w:val="28"/>
          <w:szCs w:val="28"/>
          <w:rtl/>
        </w:rPr>
        <w:t>ّ</w:t>
      </w:r>
      <w:r w:rsidR="00A50E9A" w:rsidRPr="00A50E9A">
        <w:rPr>
          <w:rFonts w:ascii="Arabic Transparent" w:hAnsi="Arabic Transparent" w:cs="Arabic Transparent"/>
          <w:sz w:val="28"/>
          <w:szCs w:val="28"/>
          <w:rtl/>
        </w:rPr>
        <w:t>ن يشمله ذلك المطلق أو ذلك العام، ‌وقد ‌يكون ‌ذلك ‌سهلا</w:t>
      </w:r>
      <w:r w:rsidR="00A50E9A">
        <w:rPr>
          <w:rFonts w:ascii="Arabic Transparent" w:hAnsi="Arabic Transparent" w:cs="Arabic Transparent" w:hint="cs"/>
          <w:sz w:val="28"/>
          <w:szCs w:val="28"/>
          <w:rtl/>
        </w:rPr>
        <w:t>ً</w:t>
      </w:r>
      <w:r w:rsidR="00A50E9A" w:rsidRPr="00A50E9A">
        <w:rPr>
          <w:rFonts w:ascii="Arabic Transparent" w:hAnsi="Arabic Transparent" w:cs="Arabic Transparent"/>
          <w:sz w:val="28"/>
          <w:szCs w:val="28"/>
          <w:rtl/>
        </w:rPr>
        <w:t xml:space="preserve"> ‌وقد ‌لا ‌يكون، ‌وكل</w:t>
      </w:r>
      <w:r w:rsidR="00A50E9A">
        <w:rPr>
          <w:rFonts w:ascii="Arabic Transparent" w:hAnsi="Arabic Transparent" w:cs="Arabic Transparent" w:hint="cs"/>
          <w:sz w:val="28"/>
          <w:szCs w:val="28"/>
          <w:rtl/>
        </w:rPr>
        <w:t>ّ</w:t>
      </w:r>
      <w:r w:rsidR="00A50E9A" w:rsidRPr="00A50E9A">
        <w:rPr>
          <w:rFonts w:ascii="Arabic Transparent" w:hAnsi="Arabic Transparent" w:cs="Arabic Transparent"/>
          <w:sz w:val="28"/>
          <w:szCs w:val="28"/>
          <w:rtl/>
        </w:rPr>
        <w:t>ه ‌اجتهاد</w:t>
      </w:r>
      <w:r w:rsidR="00F2156C" w:rsidRPr="00B529EB">
        <w:rPr>
          <w:rFonts w:ascii="Arabic Transparent" w:hAnsi="Arabic Transparent" w:cs="Arabic Transparent" w:hint="cs"/>
          <w:sz w:val="28"/>
          <w:szCs w:val="28"/>
          <w:rtl/>
        </w:rPr>
        <w:t>"</w:t>
      </w:r>
      <w:r w:rsidR="00F2156C" w:rsidRPr="00B529EB">
        <w:rPr>
          <w:rFonts w:ascii="Arabic Transparent" w:hAnsi="Arabic Transparent" w:cs="Arabic Transparent" w:hint="cs"/>
          <w:sz w:val="28"/>
          <w:szCs w:val="28"/>
          <w:vertAlign w:val="superscript"/>
          <w:rtl/>
        </w:rPr>
        <w:t>(</w:t>
      </w:r>
      <w:r w:rsidR="00F2156C" w:rsidRPr="00B529EB">
        <w:rPr>
          <w:rStyle w:val="FootnoteReference"/>
          <w:rFonts w:ascii="Arabic Transparent" w:hAnsi="Arabic Transparent" w:cs="Arabic Transparent" w:hint="cs"/>
          <w:sz w:val="28"/>
          <w:szCs w:val="28"/>
          <w:rtl/>
        </w:rPr>
        <w:footnoteReference w:id="115"/>
      </w:r>
      <w:r w:rsidR="00F2156C" w:rsidRPr="00B529EB">
        <w:rPr>
          <w:rFonts w:ascii="Arabic Transparent" w:hAnsi="Arabic Transparent" w:cs="Arabic Transparent" w:hint="cs"/>
          <w:sz w:val="28"/>
          <w:szCs w:val="28"/>
          <w:vertAlign w:val="superscript"/>
          <w:rtl/>
        </w:rPr>
        <w:t>)</w:t>
      </w:r>
      <w:r w:rsidR="00A15C31" w:rsidRPr="00B529EB">
        <w:rPr>
          <w:rFonts w:ascii="Arabic Transparent" w:hAnsi="Arabic Transparent" w:cs="Arabic Transparent" w:hint="cs"/>
          <w:sz w:val="28"/>
          <w:szCs w:val="28"/>
          <w:rtl/>
        </w:rPr>
        <w:t>، ومقصد من هذا الكلام</w:t>
      </w:r>
      <w:r w:rsidR="00D40089">
        <w:rPr>
          <w:rFonts w:ascii="Arabic Transparent" w:hAnsi="Arabic Transparent" w:cs="Arabic Transparent" w:hint="cs"/>
          <w:sz w:val="28"/>
          <w:szCs w:val="28"/>
          <w:rtl/>
        </w:rPr>
        <w:t xml:space="preserve"> أنَّ</w:t>
      </w:r>
      <w:r w:rsidR="00A15C31" w:rsidRPr="00B529EB">
        <w:rPr>
          <w:rFonts w:ascii="Arabic Transparent" w:hAnsi="Arabic Transparent" w:cs="Arabic Transparent" w:hint="cs"/>
          <w:sz w:val="28"/>
          <w:szCs w:val="28"/>
          <w:rtl/>
        </w:rPr>
        <w:t xml:space="preserve"> تحقيق المناط</w:t>
      </w:r>
      <w:r w:rsidR="00A50E9A">
        <w:rPr>
          <w:rFonts w:ascii="Arabic Transparent" w:hAnsi="Arabic Transparent" w:cs="Arabic Transparent" w:hint="cs"/>
          <w:sz w:val="28"/>
          <w:szCs w:val="28"/>
          <w:rtl/>
        </w:rPr>
        <w:t xml:space="preserve"> يكمن</w:t>
      </w:r>
      <w:r w:rsidR="00A15C31" w:rsidRPr="00B529EB">
        <w:rPr>
          <w:rFonts w:ascii="Arabic Transparent" w:hAnsi="Arabic Transparent" w:cs="Arabic Transparent" w:hint="cs"/>
          <w:sz w:val="28"/>
          <w:szCs w:val="28"/>
          <w:rtl/>
        </w:rPr>
        <w:t xml:space="preserve"> بتعيين محل الحكم الكلي</w:t>
      </w:r>
      <w:r w:rsidR="00A50E9A">
        <w:rPr>
          <w:rFonts w:ascii="Arabic Transparent" w:hAnsi="Arabic Transparent" w:cs="Arabic Transparent" w:hint="cs"/>
          <w:sz w:val="28"/>
          <w:szCs w:val="28"/>
          <w:rtl/>
        </w:rPr>
        <w:t>،</w:t>
      </w:r>
      <w:r w:rsidR="00A15C31" w:rsidRPr="00B529EB">
        <w:rPr>
          <w:rFonts w:ascii="Arabic Transparent" w:hAnsi="Arabic Transparent" w:cs="Arabic Transparent" w:hint="cs"/>
          <w:sz w:val="28"/>
          <w:szCs w:val="28"/>
          <w:rtl/>
        </w:rPr>
        <w:t xml:space="preserve"> وهو تنزيل الحكم على الواقعة الجزئية قضائية</w:t>
      </w:r>
      <w:r w:rsidR="00B974BC">
        <w:rPr>
          <w:rFonts w:ascii="Arabic Transparent" w:hAnsi="Arabic Transparent" w:cs="Arabic Transparent" w:hint="cs"/>
          <w:sz w:val="28"/>
          <w:szCs w:val="28"/>
          <w:rtl/>
        </w:rPr>
        <w:t>،</w:t>
      </w:r>
      <w:r w:rsidR="00A15C31" w:rsidRPr="00B529EB">
        <w:rPr>
          <w:rFonts w:ascii="Arabic Transparent" w:hAnsi="Arabic Transparent" w:cs="Arabic Transparent" w:hint="cs"/>
          <w:sz w:val="28"/>
          <w:szCs w:val="28"/>
          <w:rtl/>
        </w:rPr>
        <w:t xml:space="preserve"> أو </w:t>
      </w:r>
      <w:r w:rsidR="00A50E9A">
        <w:rPr>
          <w:rFonts w:ascii="Arabic Transparent" w:hAnsi="Arabic Transparent" w:cs="Arabic Transparent" w:hint="cs"/>
          <w:sz w:val="28"/>
          <w:szCs w:val="28"/>
          <w:rtl/>
        </w:rPr>
        <w:t>إفتائية،</w:t>
      </w:r>
      <w:r w:rsidR="00A15C31" w:rsidRPr="00B529EB">
        <w:rPr>
          <w:rFonts w:ascii="Arabic Transparent" w:hAnsi="Arabic Transparent" w:cs="Arabic Transparent" w:hint="cs"/>
          <w:sz w:val="28"/>
          <w:szCs w:val="28"/>
          <w:rtl/>
        </w:rPr>
        <w:t xml:space="preserve"> وهو عين تحقيق المناط الخاص</w:t>
      </w:r>
      <w:r w:rsidR="00A15C31" w:rsidRPr="00B529EB">
        <w:rPr>
          <w:rFonts w:ascii="Arabic Transparent" w:hAnsi="Arabic Transparent" w:cs="Arabic Transparent" w:hint="cs"/>
          <w:sz w:val="28"/>
          <w:szCs w:val="28"/>
          <w:vertAlign w:val="superscript"/>
          <w:rtl/>
        </w:rPr>
        <w:t>(</w:t>
      </w:r>
      <w:r w:rsidR="00A15C31" w:rsidRPr="00B529EB">
        <w:rPr>
          <w:rStyle w:val="FootnoteReference"/>
          <w:rFonts w:ascii="Arabic Transparent" w:hAnsi="Arabic Transparent" w:cs="Arabic Transparent" w:hint="cs"/>
          <w:sz w:val="28"/>
          <w:szCs w:val="28"/>
          <w:rtl/>
        </w:rPr>
        <w:footnoteReference w:id="116"/>
      </w:r>
      <w:r w:rsidR="00A15C31" w:rsidRPr="00B529EB">
        <w:rPr>
          <w:rFonts w:ascii="Arabic Transparent" w:hAnsi="Arabic Transparent" w:cs="Arabic Transparent" w:hint="cs"/>
          <w:sz w:val="28"/>
          <w:szCs w:val="28"/>
          <w:vertAlign w:val="superscript"/>
          <w:rtl/>
        </w:rPr>
        <w:t>)</w:t>
      </w:r>
      <w:r w:rsidR="00761313" w:rsidRPr="00B529EB">
        <w:rPr>
          <w:rFonts w:ascii="Arabic Transparent" w:hAnsi="Arabic Transparent" w:cs="Arabic Transparent" w:hint="cs"/>
          <w:sz w:val="28"/>
          <w:szCs w:val="28"/>
          <w:rtl/>
        </w:rPr>
        <w:t>، وقد صرّح الشاطبي</w:t>
      </w:r>
      <w:r w:rsidR="00D9038F">
        <w:rPr>
          <w:rFonts w:ascii="Arabic Transparent" w:hAnsi="Arabic Transparent" w:cs="Arabic Transparent" w:hint="cs"/>
          <w:sz w:val="28"/>
          <w:szCs w:val="28"/>
          <w:rtl/>
        </w:rPr>
        <w:t xml:space="preserve">، </w:t>
      </w:r>
      <w:r w:rsidR="00761313" w:rsidRPr="00B529EB">
        <w:rPr>
          <w:rFonts w:ascii="Arabic Transparent" w:hAnsi="Arabic Transparent" w:cs="Arabic Transparent" w:hint="cs"/>
          <w:sz w:val="28"/>
          <w:szCs w:val="28"/>
          <w:rtl/>
        </w:rPr>
        <w:t>بهذه الأهمية وأنه قسيم للاجتهاد في استنباط الأحكام، ولا ينقطع حتى ينقطع أصل الحياة فقال: "الاجتهاد على ضربين: أحدهما: لا يمكن أن ينقطع حتى ينقطع أصل التكليف، وذلك عند قيام الساعة</w:t>
      </w:r>
      <w:r w:rsidR="00832720">
        <w:rPr>
          <w:rFonts w:ascii="Arabic Transparent" w:hAnsi="Arabic Transparent" w:cs="Arabic Transparent" w:hint="cs"/>
          <w:sz w:val="28"/>
          <w:szCs w:val="28"/>
          <w:rtl/>
        </w:rPr>
        <w:t xml:space="preserve">، </w:t>
      </w:r>
      <w:r w:rsidR="00761313" w:rsidRPr="00B529EB">
        <w:rPr>
          <w:rFonts w:ascii="Arabic Transparent" w:hAnsi="Arabic Transparent" w:cs="Arabic Transparent" w:hint="cs"/>
          <w:sz w:val="28"/>
          <w:szCs w:val="28"/>
          <w:rtl/>
        </w:rPr>
        <w:t>والثاني: يمكن أن ينقطع قبل فناء الدنيا</w:t>
      </w:r>
      <w:r w:rsidR="00832720">
        <w:rPr>
          <w:rFonts w:ascii="Arabic Transparent" w:hAnsi="Arabic Transparent" w:cs="Arabic Transparent" w:hint="cs"/>
          <w:sz w:val="28"/>
          <w:szCs w:val="28"/>
          <w:rtl/>
        </w:rPr>
        <w:t xml:space="preserve">، </w:t>
      </w:r>
      <w:r w:rsidR="00761313" w:rsidRPr="00B529EB">
        <w:rPr>
          <w:rFonts w:ascii="Arabic Transparent" w:hAnsi="Arabic Transparent" w:cs="Arabic Transparent" w:hint="cs"/>
          <w:sz w:val="28"/>
          <w:szCs w:val="28"/>
          <w:rtl/>
        </w:rPr>
        <w:t>فأما الأول: فهو الاجتهاد المتعلق بتحقيق المناط، وهو الذي لا خلاف بين الأمة في قبوله ومعناه: أن يثبت الحكم بمدركه الشرعي، ولكن يبقى النظر في تعيين محله"</w:t>
      </w:r>
      <w:r w:rsidR="00761313" w:rsidRPr="00D40089">
        <w:rPr>
          <w:rFonts w:ascii="Arabic Transparent" w:hAnsi="Arabic Transparent" w:cs="Arabic Transparent" w:hint="cs"/>
          <w:sz w:val="28"/>
          <w:szCs w:val="28"/>
          <w:vertAlign w:val="superscript"/>
          <w:rtl/>
        </w:rPr>
        <w:t>(</w:t>
      </w:r>
      <w:r w:rsidR="00761313" w:rsidRPr="00D40089">
        <w:rPr>
          <w:rStyle w:val="FootnoteReference"/>
          <w:rFonts w:ascii="Arabic Transparent" w:hAnsi="Arabic Transparent" w:cs="Arabic Transparent" w:hint="cs"/>
          <w:sz w:val="28"/>
          <w:szCs w:val="28"/>
          <w:rtl/>
        </w:rPr>
        <w:footnoteReference w:id="117"/>
      </w:r>
      <w:r w:rsidR="00761313" w:rsidRPr="00D40089">
        <w:rPr>
          <w:rFonts w:ascii="Arabic Transparent" w:hAnsi="Arabic Transparent" w:cs="Arabic Transparent" w:hint="cs"/>
          <w:sz w:val="28"/>
          <w:szCs w:val="28"/>
          <w:vertAlign w:val="superscript"/>
          <w:rtl/>
        </w:rPr>
        <w:t>)</w:t>
      </w:r>
      <w:r w:rsidR="00761313" w:rsidRPr="00B529EB">
        <w:rPr>
          <w:rFonts w:ascii="Arabic Transparent" w:hAnsi="Arabic Transparent" w:cs="Arabic Transparent" w:hint="cs"/>
          <w:sz w:val="28"/>
          <w:szCs w:val="28"/>
          <w:rtl/>
        </w:rPr>
        <w:t>.</w:t>
      </w:r>
    </w:p>
    <w:p w14:paraId="14D7C61E" w14:textId="77777777" w:rsidR="00EF065F" w:rsidRDefault="005E489D" w:rsidP="00943BCC">
      <w:pPr>
        <w:spacing w:after="0" w:line="360" w:lineRule="auto"/>
        <w:jc w:val="both"/>
        <w:rPr>
          <w:rFonts w:ascii="Arabic Transparent" w:hAnsi="Arabic Transparent" w:cs="Arabic Transparent"/>
          <w:sz w:val="28"/>
          <w:szCs w:val="28"/>
          <w:rtl/>
        </w:rPr>
      </w:pPr>
      <w:r w:rsidRPr="00A52C0B">
        <w:rPr>
          <w:rFonts w:ascii="Arabic Transparent" w:hAnsi="Arabic Transparent" w:cs="Arabic Transparent" w:hint="cs"/>
          <w:b/>
          <w:bCs/>
          <w:sz w:val="28"/>
          <w:szCs w:val="28"/>
          <w:rtl/>
        </w:rPr>
        <w:t>ثانياً:</w:t>
      </w:r>
      <w:r w:rsidR="00761313" w:rsidRPr="00B529EB">
        <w:rPr>
          <w:rFonts w:ascii="Arabic Transparent" w:hAnsi="Arabic Transparent" w:cs="Arabic Transparent" w:hint="cs"/>
          <w:rtl/>
        </w:rPr>
        <w:t xml:space="preserve"> </w:t>
      </w:r>
      <w:r w:rsidR="00761313" w:rsidRPr="00B529EB">
        <w:rPr>
          <w:rFonts w:ascii="Arabic Transparent" w:hAnsi="Arabic Transparent" w:cs="Arabic Transparent" w:hint="cs"/>
          <w:sz w:val="28"/>
          <w:szCs w:val="28"/>
          <w:rtl/>
        </w:rPr>
        <w:t xml:space="preserve">يحقق استدامة ومرونة الشريعة واستيعابها للوقائع والنوازل المتجددة، </w:t>
      </w:r>
      <w:r w:rsidR="00FD6839" w:rsidRPr="00B529EB">
        <w:rPr>
          <w:rFonts w:ascii="Arabic Transparent" w:hAnsi="Arabic Transparent" w:cs="Arabic Transparent" w:hint="cs"/>
          <w:sz w:val="28"/>
          <w:szCs w:val="28"/>
          <w:rtl/>
        </w:rPr>
        <w:t>حيث</w:t>
      </w:r>
      <w:r w:rsidRPr="00B529EB">
        <w:rPr>
          <w:rFonts w:ascii="Arabic Transparent" w:hAnsi="Arabic Transparent" w:cs="Arabic Transparent" w:hint="cs"/>
          <w:sz w:val="28"/>
          <w:szCs w:val="28"/>
          <w:rtl/>
        </w:rPr>
        <w:t xml:space="preserve"> جاءت الشريعة في الغالب بقواعد كلية وعبارات مطلقة، ولم تنص على حكم كل جزئية من جزئيات الحياة المتغيرة</w:t>
      </w:r>
      <w:r w:rsidR="001605D4" w:rsidRPr="00B529EB">
        <w:rPr>
          <w:rFonts w:ascii="Arabic Transparent" w:hAnsi="Arabic Transparent" w:cs="Arabic Transparent" w:hint="cs"/>
          <w:sz w:val="28"/>
          <w:szCs w:val="28"/>
          <w:rtl/>
        </w:rPr>
        <w:t>، لذلك كان لابد من أن يقوم المجتهد بالسير بالحكم الشرعي الذي صر</w:t>
      </w:r>
      <w:r w:rsidR="00A52C0B">
        <w:rPr>
          <w:rFonts w:ascii="Arabic Transparent" w:hAnsi="Arabic Transparent" w:cs="Arabic Transparent" w:hint="cs"/>
          <w:sz w:val="28"/>
          <w:szCs w:val="28"/>
          <w:rtl/>
        </w:rPr>
        <w:t>َّ</w:t>
      </w:r>
      <w:r w:rsidR="001605D4" w:rsidRPr="00B529EB">
        <w:rPr>
          <w:rFonts w:ascii="Arabic Transparent" w:hAnsi="Arabic Transparent" w:cs="Arabic Transparent" w:hint="cs"/>
          <w:sz w:val="28"/>
          <w:szCs w:val="28"/>
          <w:rtl/>
        </w:rPr>
        <w:t xml:space="preserve">ح بالمطلقات والعموميات نحو تنزيله على مناطاته الخاصة به؛ نحو الأفعال والأحداث والوقائع، وذلك بمراعاة حال الشخص </w:t>
      </w:r>
      <w:r w:rsidR="00832720">
        <w:rPr>
          <w:rFonts w:ascii="Arabic Transparent" w:hAnsi="Arabic Transparent" w:cs="Arabic Transparent" w:hint="cs"/>
          <w:sz w:val="28"/>
          <w:szCs w:val="28"/>
          <w:rtl/>
        </w:rPr>
        <w:t>وزمانه ومكانه</w:t>
      </w:r>
      <w:r w:rsidR="001605D4" w:rsidRPr="00B529EB">
        <w:rPr>
          <w:rFonts w:ascii="Arabic Transparent" w:hAnsi="Arabic Transparent" w:cs="Arabic Transparent" w:hint="cs"/>
          <w:sz w:val="28"/>
          <w:szCs w:val="28"/>
          <w:rtl/>
        </w:rPr>
        <w:t>، والتأكد أن الحكم يحقق مصلحة</w:t>
      </w:r>
      <w:r w:rsidR="00A52C0B">
        <w:rPr>
          <w:rFonts w:ascii="Arabic Transparent" w:hAnsi="Arabic Transparent" w:cs="Arabic Transparent" w:hint="cs"/>
          <w:sz w:val="28"/>
          <w:szCs w:val="28"/>
          <w:rtl/>
        </w:rPr>
        <w:t>ً</w:t>
      </w:r>
      <w:r w:rsidR="001605D4" w:rsidRPr="00B529EB">
        <w:rPr>
          <w:rFonts w:ascii="Arabic Transparent" w:hAnsi="Arabic Transparent" w:cs="Arabic Transparent" w:hint="cs"/>
          <w:sz w:val="28"/>
          <w:szCs w:val="28"/>
          <w:rtl/>
        </w:rPr>
        <w:t xml:space="preserve"> أو يدرأ </w:t>
      </w:r>
      <w:r w:rsidR="00832720">
        <w:rPr>
          <w:rFonts w:ascii="Arabic Transparent" w:hAnsi="Arabic Transparent" w:cs="Arabic Transparent" w:hint="cs"/>
          <w:sz w:val="28"/>
          <w:szCs w:val="28"/>
          <w:rtl/>
        </w:rPr>
        <w:t xml:space="preserve">عنه </w:t>
      </w:r>
      <w:r w:rsidR="001605D4" w:rsidRPr="00B529EB">
        <w:rPr>
          <w:rFonts w:ascii="Arabic Transparent" w:hAnsi="Arabic Transparent" w:cs="Arabic Transparent" w:hint="cs"/>
          <w:sz w:val="28"/>
          <w:szCs w:val="28"/>
          <w:rtl/>
        </w:rPr>
        <w:t>مفسدة</w:t>
      </w:r>
      <w:r w:rsidR="00A52C0B">
        <w:rPr>
          <w:rFonts w:ascii="Arabic Transparent" w:hAnsi="Arabic Transparent" w:cs="Arabic Transparent" w:hint="cs"/>
          <w:sz w:val="28"/>
          <w:szCs w:val="28"/>
          <w:rtl/>
        </w:rPr>
        <w:t>ً</w:t>
      </w:r>
      <w:r w:rsidR="001605D4" w:rsidRPr="00B529EB">
        <w:rPr>
          <w:rFonts w:ascii="Arabic Transparent" w:hAnsi="Arabic Transparent" w:cs="Arabic Transparent" w:hint="cs"/>
          <w:sz w:val="28"/>
          <w:szCs w:val="28"/>
          <w:rtl/>
        </w:rPr>
        <w:t xml:space="preserve"> في الحال</w:t>
      </w:r>
      <w:r w:rsidR="00832720">
        <w:rPr>
          <w:rFonts w:ascii="Arabic Transparent" w:hAnsi="Arabic Transparent" w:cs="Arabic Transparent" w:hint="cs"/>
          <w:sz w:val="28"/>
          <w:szCs w:val="28"/>
          <w:rtl/>
        </w:rPr>
        <w:t>،</w:t>
      </w:r>
      <w:r w:rsidR="001605D4" w:rsidRPr="00B529EB">
        <w:rPr>
          <w:rFonts w:ascii="Arabic Transparent" w:hAnsi="Arabic Transparent" w:cs="Arabic Transparent" w:hint="cs"/>
          <w:sz w:val="28"/>
          <w:szCs w:val="28"/>
          <w:rtl/>
        </w:rPr>
        <w:t xml:space="preserve"> أو المآل، وتحقيق المناط الخاص هو المدخل الوحيد للاجتهاد </w:t>
      </w:r>
      <w:r w:rsidR="00EF065F">
        <w:rPr>
          <w:rFonts w:ascii="Arabic Transparent" w:hAnsi="Arabic Transparent" w:cs="Arabic Transparent" w:hint="cs"/>
          <w:sz w:val="28"/>
          <w:szCs w:val="28"/>
          <w:rtl/>
        </w:rPr>
        <w:t xml:space="preserve">المرن </w:t>
      </w:r>
      <w:r w:rsidR="001605D4" w:rsidRPr="00B529EB">
        <w:rPr>
          <w:rFonts w:ascii="Arabic Transparent" w:hAnsi="Arabic Transparent" w:cs="Arabic Transparent" w:hint="cs"/>
          <w:sz w:val="28"/>
          <w:szCs w:val="28"/>
          <w:rtl/>
        </w:rPr>
        <w:t xml:space="preserve">في </w:t>
      </w:r>
      <w:r w:rsidR="00A52C0B">
        <w:rPr>
          <w:rFonts w:ascii="Arabic Transparent" w:hAnsi="Arabic Transparent" w:cs="Arabic Transparent" w:hint="cs"/>
          <w:sz w:val="28"/>
          <w:szCs w:val="28"/>
          <w:rtl/>
        </w:rPr>
        <w:t>الوقائع</w:t>
      </w:r>
      <w:r w:rsidR="001605D4" w:rsidRPr="00B529EB">
        <w:rPr>
          <w:rFonts w:ascii="Arabic Transparent" w:hAnsi="Arabic Transparent" w:cs="Arabic Transparent" w:hint="cs"/>
          <w:sz w:val="28"/>
          <w:szCs w:val="28"/>
          <w:rtl/>
        </w:rPr>
        <w:t xml:space="preserve"> المعينة الذي لا غنى </w:t>
      </w:r>
      <w:r w:rsidR="001605D4" w:rsidRPr="00B529EB">
        <w:rPr>
          <w:rFonts w:ascii="Arabic Transparent" w:hAnsi="Arabic Transparent" w:cs="Arabic Transparent" w:hint="cs"/>
          <w:sz w:val="28"/>
          <w:szCs w:val="28"/>
          <w:rtl/>
        </w:rPr>
        <w:lastRenderedPageBreak/>
        <w:t>عن تحقيقه، بحيث لا يمكن أن ي</w:t>
      </w:r>
      <w:r w:rsidR="00A52C0B">
        <w:rPr>
          <w:rFonts w:ascii="Arabic Transparent" w:hAnsi="Arabic Transparent" w:cs="Arabic Transparent" w:hint="cs"/>
          <w:sz w:val="28"/>
          <w:szCs w:val="28"/>
          <w:rtl/>
        </w:rPr>
        <w:t>ُ</w:t>
      </w:r>
      <w:r w:rsidR="001605D4" w:rsidRPr="00B529EB">
        <w:rPr>
          <w:rFonts w:ascii="Arabic Transparent" w:hAnsi="Arabic Transparent" w:cs="Arabic Transparent" w:hint="cs"/>
          <w:sz w:val="28"/>
          <w:szCs w:val="28"/>
          <w:rtl/>
        </w:rPr>
        <w:t>حكم على واقعة معي</w:t>
      </w:r>
      <w:r w:rsidR="006808DE">
        <w:rPr>
          <w:rFonts w:ascii="Arabic Transparent" w:hAnsi="Arabic Transparent" w:cs="Arabic Transparent" w:hint="cs"/>
          <w:sz w:val="28"/>
          <w:szCs w:val="28"/>
          <w:rtl/>
        </w:rPr>
        <w:t>َّ</w:t>
      </w:r>
      <w:r w:rsidR="001605D4" w:rsidRPr="00B529EB">
        <w:rPr>
          <w:rFonts w:ascii="Arabic Transparent" w:hAnsi="Arabic Transparent" w:cs="Arabic Transparent" w:hint="cs"/>
          <w:sz w:val="28"/>
          <w:szCs w:val="28"/>
          <w:rtl/>
        </w:rPr>
        <w:t>ن</w:t>
      </w:r>
      <w:r w:rsidR="00A52C0B">
        <w:rPr>
          <w:rFonts w:ascii="Arabic Transparent" w:hAnsi="Arabic Transparent" w:cs="Arabic Transparent" w:hint="cs"/>
          <w:sz w:val="28"/>
          <w:szCs w:val="28"/>
          <w:rtl/>
        </w:rPr>
        <w:t>ة</w:t>
      </w:r>
      <w:r w:rsidR="001605D4" w:rsidRPr="00B529EB">
        <w:rPr>
          <w:rFonts w:ascii="Arabic Transparent" w:hAnsi="Arabic Transparent" w:cs="Arabic Transparent" w:hint="cs"/>
          <w:sz w:val="28"/>
          <w:szCs w:val="28"/>
          <w:rtl/>
        </w:rPr>
        <w:t xml:space="preserve"> بحكم واحد يدور معها مهما اختلفت ظروفها وملابساتها وذلك؛ </w:t>
      </w:r>
    </w:p>
    <w:p w14:paraId="63954694" w14:textId="77777777" w:rsidR="00EF065F" w:rsidRDefault="00EF065F">
      <w:pPr>
        <w:bidi w:val="0"/>
        <w:spacing w:after="0" w:line="240" w:lineRule="auto"/>
        <w:rPr>
          <w:rFonts w:ascii="Arabic Transparent" w:hAnsi="Arabic Transparent" w:cs="Arabic Transparent"/>
          <w:sz w:val="28"/>
          <w:szCs w:val="28"/>
          <w:rtl/>
        </w:rPr>
      </w:pPr>
      <w:r>
        <w:rPr>
          <w:rFonts w:ascii="Arabic Transparent" w:hAnsi="Arabic Transparent" w:cs="Arabic Transparent"/>
          <w:sz w:val="28"/>
          <w:szCs w:val="28"/>
          <w:rtl/>
        </w:rPr>
        <w:br w:type="page"/>
      </w:r>
    </w:p>
    <w:p w14:paraId="41BBFBF5" w14:textId="34D82878" w:rsidR="005E489D" w:rsidRPr="00B529EB" w:rsidRDefault="001605D4" w:rsidP="00943BCC">
      <w:pPr>
        <w:spacing w:after="0" w:line="360" w:lineRule="auto"/>
        <w:jc w:val="both"/>
        <w:rPr>
          <w:rFonts w:ascii="Arabic Transparent" w:hAnsi="Arabic Transparent" w:cs="Arabic Transparent"/>
          <w:sz w:val="28"/>
          <w:szCs w:val="28"/>
          <w:rtl/>
        </w:rPr>
      </w:pPr>
      <w:r w:rsidRPr="00B529EB">
        <w:rPr>
          <w:rFonts w:ascii="Arabic Transparent" w:hAnsi="Arabic Transparent" w:cs="Arabic Transparent" w:hint="cs"/>
          <w:sz w:val="28"/>
          <w:szCs w:val="28"/>
          <w:rtl/>
        </w:rPr>
        <w:t>لأن للأوصاف التي تحف بالحكم أثرٌ في تكييف حكم الواقعة</w:t>
      </w:r>
      <w:r w:rsidR="00EF065F" w:rsidRPr="00D40089">
        <w:rPr>
          <w:rFonts w:ascii="Arabic Transparent" w:hAnsi="Arabic Transparent" w:cs="Arabic Transparent" w:hint="cs"/>
          <w:sz w:val="28"/>
          <w:szCs w:val="28"/>
          <w:vertAlign w:val="superscript"/>
          <w:rtl/>
        </w:rPr>
        <w:t>(</w:t>
      </w:r>
      <w:r w:rsidR="00EF065F" w:rsidRPr="00D40089">
        <w:rPr>
          <w:rStyle w:val="FootnoteReference"/>
          <w:rFonts w:ascii="Arabic Transparent" w:hAnsi="Arabic Transparent" w:cs="Arabic Transparent" w:hint="cs"/>
          <w:sz w:val="28"/>
          <w:szCs w:val="28"/>
          <w:rtl/>
        </w:rPr>
        <w:footnoteReference w:id="118"/>
      </w:r>
      <w:r w:rsidR="00EF065F" w:rsidRPr="00D40089">
        <w:rPr>
          <w:rFonts w:ascii="Arabic Transparent" w:hAnsi="Arabic Transparent" w:cs="Arabic Transparent" w:hint="cs"/>
          <w:sz w:val="28"/>
          <w:szCs w:val="28"/>
          <w:vertAlign w:val="superscript"/>
          <w:rtl/>
        </w:rPr>
        <w:t>)</w:t>
      </w:r>
      <w:r w:rsidR="00E97FA8" w:rsidRPr="00B529EB">
        <w:rPr>
          <w:rFonts w:ascii="Arabic Transparent" w:hAnsi="Arabic Transparent" w:cs="Arabic Transparent" w:hint="cs"/>
          <w:sz w:val="28"/>
          <w:szCs w:val="28"/>
          <w:rtl/>
        </w:rPr>
        <w:t>، وأثر في تحقيق المناط</w:t>
      </w:r>
      <w:r w:rsidR="00EF065F">
        <w:rPr>
          <w:rFonts w:ascii="Arabic Transparent" w:hAnsi="Arabic Transparent" w:cs="Arabic Transparent" w:hint="cs"/>
          <w:sz w:val="28"/>
          <w:szCs w:val="28"/>
          <w:rtl/>
        </w:rPr>
        <w:t>؛</w:t>
      </w:r>
      <w:r w:rsidR="00E97FA8" w:rsidRPr="00B529EB">
        <w:rPr>
          <w:rFonts w:ascii="Arabic Transparent" w:hAnsi="Arabic Transparent" w:cs="Arabic Transparent" w:hint="cs"/>
          <w:sz w:val="28"/>
          <w:szCs w:val="28"/>
          <w:rtl/>
        </w:rPr>
        <w:t xml:space="preserve"> لذا يتوجب على المجتهد مراعاة مقتضى الحال، من خلال تحقيق المناط الخاص</w:t>
      </w:r>
      <w:r w:rsidR="00937632" w:rsidRPr="00B529EB">
        <w:rPr>
          <w:rFonts w:ascii="Arabic Transparent" w:hAnsi="Arabic Transparent" w:cs="Arabic Transparent" w:hint="cs"/>
          <w:sz w:val="28"/>
          <w:szCs w:val="28"/>
          <w:rtl/>
        </w:rPr>
        <w:t>، الذي ي</w:t>
      </w:r>
      <w:r w:rsidR="006808DE">
        <w:rPr>
          <w:rFonts w:ascii="Arabic Transparent" w:hAnsi="Arabic Transparent" w:cs="Arabic Transparent" w:hint="cs"/>
          <w:sz w:val="28"/>
          <w:szCs w:val="28"/>
          <w:rtl/>
        </w:rPr>
        <w:t>ُ</w:t>
      </w:r>
      <w:r w:rsidR="00937632" w:rsidRPr="00B529EB">
        <w:rPr>
          <w:rFonts w:ascii="Arabic Transparent" w:hAnsi="Arabic Transparent" w:cs="Arabic Transparent" w:hint="cs"/>
          <w:sz w:val="28"/>
          <w:szCs w:val="28"/>
          <w:rtl/>
        </w:rPr>
        <w:t xml:space="preserve">عد أهم مرحلة من مراحل الاجتهاد في استنباط الحكم الشرعي </w:t>
      </w:r>
      <w:r w:rsidR="00A52C0B">
        <w:rPr>
          <w:rFonts w:ascii="Arabic Transparent" w:hAnsi="Arabic Transparent" w:cs="Arabic Transparent" w:hint="cs"/>
          <w:sz w:val="28"/>
          <w:szCs w:val="28"/>
          <w:rtl/>
        </w:rPr>
        <w:t>و</w:t>
      </w:r>
      <w:r w:rsidR="00937632" w:rsidRPr="00B529EB">
        <w:rPr>
          <w:rFonts w:ascii="Arabic Transparent" w:hAnsi="Arabic Transparent" w:cs="Arabic Transparent" w:hint="cs"/>
          <w:sz w:val="28"/>
          <w:szCs w:val="28"/>
          <w:rtl/>
        </w:rPr>
        <w:t>الذي يحقق مقاصد الشارع الحكيم لذا يقول العز بن عبدالسلام:</w:t>
      </w:r>
      <w:r w:rsidR="00151AED">
        <w:rPr>
          <w:rFonts w:ascii="Arabic Transparent" w:hAnsi="Arabic Transparent" w:cs="Arabic Transparent" w:hint="cs"/>
          <w:sz w:val="28"/>
          <w:szCs w:val="28"/>
          <w:rtl/>
        </w:rPr>
        <w:t xml:space="preserve"> </w:t>
      </w:r>
      <w:r w:rsidR="00151AED">
        <w:rPr>
          <w:rFonts w:ascii="Arabic Transparent" w:hAnsi="Arabic Transparent" w:cs="Arabic Transparent"/>
          <w:sz w:val="28"/>
          <w:szCs w:val="28"/>
          <w:rtl/>
        </w:rPr>
        <w:t>"</w:t>
      </w:r>
      <w:r w:rsidR="00937632" w:rsidRPr="00B529EB">
        <w:rPr>
          <w:rFonts w:ascii="Arabic Transparent" w:hAnsi="Arabic Transparent" w:cs="Arabic Transparent" w:hint="cs"/>
          <w:sz w:val="28"/>
          <w:szCs w:val="28"/>
          <w:rtl/>
        </w:rPr>
        <w:t xml:space="preserve">كل تصرف تقاعد عن تحصيل </w:t>
      </w:r>
      <w:r w:rsidR="00536363" w:rsidRPr="00B529EB">
        <w:rPr>
          <w:rFonts w:ascii="Arabic Transparent" w:hAnsi="Arabic Transparent" w:cs="Arabic Transparent" w:hint="cs"/>
          <w:sz w:val="28"/>
          <w:szCs w:val="28"/>
          <w:rtl/>
        </w:rPr>
        <w:t>مقصود</w:t>
      </w:r>
      <w:r w:rsidR="00536363">
        <w:rPr>
          <w:rFonts w:ascii="Arabic Transparent" w:hAnsi="Arabic Transparent" w:cs="Arabic Transparent" w:hint="cs"/>
          <w:sz w:val="28"/>
          <w:szCs w:val="28"/>
          <w:rtl/>
        </w:rPr>
        <w:t>ه</w:t>
      </w:r>
      <w:r w:rsidR="00937632" w:rsidRPr="00B529EB">
        <w:rPr>
          <w:rFonts w:ascii="Arabic Transparent" w:hAnsi="Arabic Transparent" w:cs="Arabic Transparent" w:hint="cs"/>
          <w:sz w:val="28"/>
          <w:szCs w:val="28"/>
          <w:rtl/>
        </w:rPr>
        <w:t xml:space="preserve"> فهو باطل"</w:t>
      </w:r>
      <w:r w:rsidR="00937632" w:rsidRPr="00D40089">
        <w:rPr>
          <w:rFonts w:ascii="Arabic Transparent" w:hAnsi="Arabic Transparent" w:cs="Arabic Transparent" w:hint="cs"/>
          <w:sz w:val="28"/>
          <w:szCs w:val="28"/>
          <w:vertAlign w:val="superscript"/>
          <w:rtl/>
        </w:rPr>
        <w:t>(</w:t>
      </w:r>
      <w:r w:rsidR="00937632" w:rsidRPr="00D40089">
        <w:rPr>
          <w:rStyle w:val="FootnoteReference"/>
          <w:rFonts w:ascii="Arabic Transparent" w:hAnsi="Arabic Transparent" w:cs="Arabic Transparent" w:hint="cs"/>
          <w:sz w:val="28"/>
          <w:szCs w:val="28"/>
          <w:rtl/>
        </w:rPr>
        <w:footnoteReference w:id="119"/>
      </w:r>
      <w:r w:rsidR="00937632" w:rsidRPr="00D40089">
        <w:rPr>
          <w:rFonts w:ascii="Arabic Transparent" w:hAnsi="Arabic Transparent" w:cs="Arabic Transparent" w:hint="cs"/>
          <w:sz w:val="28"/>
          <w:szCs w:val="28"/>
          <w:vertAlign w:val="superscript"/>
          <w:rtl/>
        </w:rPr>
        <w:t>)</w:t>
      </w:r>
      <w:r w:rsidR="000E1385">
        <w:rPr>
          <w:rFonts w:ascii="Arabic Transparent" w:hAnsi="Arabic Transparent" w:cs="Arabic Transparent" w:hint="cs"/>
          <w:sz w:val="28"/>
          <w:szCs w:val="28"/>
          <w:rtl/>
        </w:rPr>
        <w:t>.</w:t>
      </w:r>
    </w:p>
    <w:p w14:paraId="25C6D772" w14:textId="608B4486" w:rsidR="0096175E" w:rsidRPr="000E1385" w:rsidRDefault="005C59D5" w:rsidP="0099058E">
      <w:pPr>
        <w:spacing w:after="0" w:line="360" w:lineRule="auto"/>
        <w:ind w:firstLine="332"/>
        <w:jc w:val="both"/>
        <w:rPr>
          <w:rFonts w:ascii="Arabic Transparent" w:hAnsi="Arabic Transparent" w:cs="Arabic Transparent"/>
          <w:sz w:val="28"/>
          <w:szCs w:val="28"/>
          <w:rtl/>
        </w:rPr>
      </w:pPr>
      <w:r w:rsidRPr="00B529EB">
        <w:rPr>
          <w:rFonts w:ascii="Arabic Transparent" w:hAnsi="Arabic Transparent" w:cs="Arabic Transparent" w:hint="cs"/>
          <w:sz w:val="28"/>
          <w:szCs w:val="28"/>
          <w:rtl/>
        </w:rPr>
        <w:t>ومن أمثلة ذلك قدرة الشريعة على مواكبة معاملات الناس</w:t>
      </w:r>
      <w:r w:rsidR="00A52C0B">
        <w:rPr>
          <w:rFonts w:ascii="Arabic Transparent" w:hAnsi="Arabic Transparent" w:cs="Arabic Transparent" w:hint="cs"/>
          <w:sz w:val="28"/>
          <w:szCs w:val="28"/>
          <w:rtl/>
        </w:rPr>
        <w:t>،</w:t>
      </w:r>
      <w:r w:rsidRPr="00B529EB">
        <w:rPr>
          <w:rFonts w:ascii="Arabic Transparent" w:hAnsi="Arabic Transparent" w:cs="Arabic Transparent" w:hint="cs"/>
          <w:sz w:val="28"/>
          <w:szCs w:val="28"/>
          <w:rtl/>
        </w:rPr>
        <w:t xml:space="preserve"> وإيجاد فقه واقعي يواكب التطور الغربي في جانب المعاملات والاقتصاد الإسلامي،</w:t>
      </w:r>
      <w:r w:rsidR="00851321" w:rsidRPr="00B529EB">
        <w:rPr>
          <w:rFonts w:ascii="Arabic Transparent" w:hAnsi="Arabic Transparent" w:cs="Arabic Transparent" w:hint="cs"/>
          <w:sz w:val="28"/>
          <w:szCs w:val="28"/>
          <w:rtl/>
        </w:rPr>
        <w:t xml:space="preserve"> حيث من يعقد البيع قاصدًا به الربا؛ فإن</w:t>
      </w:r>
      <w:r w:rsidR="006808DE">
        <w:rPr>
          <w:rFonts w:ascii="Arabic Transparent" w:hAnsi="Arabic Transparent" w:cs="Arabic Transparent" w:hint="cs"/>
          <w:sz w:val="28"/>
          <w:szCs w:val="28"/>
          <w:rtl/>
        </w:rPr>
        <w:t>َّ</w:t>
      </w:r>
      <w:r w:rsidR="00851321" w:rsidRPr="00B529EB">
        <w:rPr>
          <w:rFonts w:ascii="Arabic Transparent" w:hAnsi="Arabic Transparent" w:cs="Arabic Transparent" w:hint="cs"/>
          <w:sz w:val="28"/>
          <w:szCs w:val="28"/>
          <w:rtl/>
        </w:rPr>
        <w:t xml:space="preserve"> العقد باطل سدًّا للذريعة، </w:t>
      </w:r>
      <w:r w:rsidR="00EF065F">
        <w:rPr>
          <w:rFonts w:ascii="Arabic Transparent" w:hAnsi="Arabic Transparent" w:cs="Arabic Transparent" w:hint="cs"/>
          <w:sz w:val="28"/>
          <w:szCs w:val="28"/>
          <w:rtl/>
        </w:rPr>
        <w:t>"</w:t>
      </w:r>
      <w:r w:rsidR="00851321" w:rsidRPr="00B529EB">
        <w:rPr>
          <w:rFonts w:ascii="Arabic Transparent" w:hAnsi="Arabic Transparent" w:cs="Arabic Transparent" w:hint="cs"/>
          <w:sz w:val="28"/>
          <w:szCs w:val="28"/>
          <w:rtl/>
        </w:rPr>
        <w:t>كمن باع لشخص سلعة بمائتين مؤجلة، ثم اشتراها منه بمائة حالَّة (بيع العينة) لم يجز؛ سدًّا للذريعة إلى الرِّبا المحرَّم</w:t>
      </w:r>
      <w:r w:rsidR="00EF065F">
        <w:rPr>
          <w:rFonts w:ascii="Arabic Transparent" w:hAnsi="Arabic Transparent" w:cs="Arabic Transparent" w:hint="cs"/>
          <w:sz w:val="28"/>
          <w:szCs w:val="28"/>
          <w:rtl/>
        </w:rPr>
        <w:t>"</w:t>
      </w:r>
      <w:r w:rsidR="00EF065F" w:rsidRPr="00B529EB">
        <w:rPr>
          <w:rFonts w:ascii="Arabic Transparent" w:hAnsi="Arabic Transparent" w:cs="Arabic Transparent" w:hint="cs"/>
          <w:sz w:val="28"/>
          <w:szCs w:val="28"/>
          <w:vertAlign w:val="superscript"/>
          <w:rtl/>
        </w:rPr>
        <w:t>(</w:t>
      </w:r>
      <w:r w:rsidR="00EF065F" w:rsidRPr="00B529EB">
        <w:rPr>
          <w:rStyle w:val="FootnoteReference"/>
          <w:rFonts w:ascii="Arabic Transparent" w:hAnsi="Arabic Transparent" w:cs="Arabic Transparent" w:hint="cs"/>
          <w:sz w:val="28"/>
          <w:szCs w:val="28"/>
          <w:rtl/>
        </w:rPr>
        <w:footnoteReference w:id="120"/>
      </w:r>
      <w:r w:rsidR="00EF065F" w:rsidRPr="00B529EB">
        <w:rPr>
          <w:rFonts w:ascii="Arabic Transparent" w:hAnsi="Arabic Transparent" w:cs="Arabic Transparent" w:hint="cs"/>
          <w:sz w:val="28"/>
          <w:szCs w:val="28"/>
          <w:vertAlign w:val="superscript"/>
          <w:rtl/>
        </w:rPr>
        <w:t>)</w:t>
      </w:r>
      <w:r w:rsidR="00851321" w:rsidRPr="00B529EB">
        <w:rPr>
          <w:rFonts w:ascii="Arabic Transparent" w:hAnsi="Arabic Transparent" w:cs="Arabic Transparent" w:hint="cs"/>
          <w:sz w:val="28"/>
          <w:szCs w:val="28"/>
          <w:rtl/>
        </w:rPr>
        <w:t>؛ إذ يؤول الحال إلى أنه دفع مائة حالَّة وأخذ مائتين مؤجلة من نفس الشخص بينما من يعقد البيع قاصداً به الربح؛ فإن العقد صحيح وتغير الحكم وفقاً لتغيّر الأسباب والأوصاف التي أدت إلى تحقيق المناط أو عدم تحقيقه</w:t>
      </w:r>
      <w:r w:rsidR="000E1385">
        <w:rPr>
          <w:rFonts w:ascii="Arabic Transparent" w:hAnsi="Arabic Transparent" w:cs="Arabic Transparent" w:hint="cs"/>
          <w:sz w:val="28"/>
          <w:szCs w:val="28"/>
          <w:rtl/>
        </w:rPr>
        <w:t>.</w:t>
      </w:r>
    </w:p>
    <w:p w14:paraId="2E506E27" w14:textId="07B1DA9F" w:rsidR="007476DB" w:rsidRDefault="00761313" w:rsidP="00761313">
      <w:pPr>
        <w:spacing w:after="0" w:line="360" w:lineRule="auto"/>
        <w:jc w:val="both"/>
        <w:rPr>
          <w:rFonts w:ascii="Arabic Transparent" w:hAnsi="Arabic Transparent" w:cs="Arabic Transparent"/>
          <w:sz w:val="28"/>
          <w:szCs w:val="28"/>
          <w:rtl/>
        </w:rPr>
      </w:pPr>
      <w:r w:rsidRPr="00A52C0B">
        <w:rPr>
          <w:rFonts w:ascii="Arabic Transparent" w:hAnsi="Arabic Transparent" w:cs="Arabic Transparent" w:hint="cs"/>
          <w:b/>
          <w:bCs/>
          <w:sz w:val="28"/>
          <w:szCs w:val="28"/>
          <w:rtl/>
        </w:rPr>
        <w:t>ثالثاً:</w:t>
      </w:r>
      <w:r w:rsidR="00D3232D" w:rsidRPr="00B529EB">
        <w:rPr>
          <w:rFonts w:ascii="Arabic Transparent" w:hAnsi="Arabic Transparent" w:cs="Arabic Transparent" w:hint="cs"/>
          <w:sz w:val="28"/>
          <w:szCs w:val="28"/>
          <w:rtl/>
        </w:rPr>
        <w:t xml:space="preserve"> يساعد الباحث الشرعي على </w:t>
      </w:r>
      <w:r w:rsidR="00D40089">
        <w:rPr>
          <w:rFonts w:ascii="Arabic Transparent" w:hAnsi="Arabic Transparent" w:cs="Arabic Transparent" w:hint="cs"/>
          <w:sz w:val="28"/>
          <w:szCs w:val="28"/>
          <w:rtl/>
        </w:rPr>
        <w:t>تصوير</w:t>
      </w:r>
      <w:r w:rsidR="00D3232D" w:rsidRPr="00B529EB">
        <w:rPr>
          <w:rFonts w:ascii="Arabic Transparent" w:hAnsi="Arabic Transparent" w:cs="Arabic Transparent" w:hint="cs"/>
          <w:sz w:val="28"/>
          <w:szCs w:val="28"/>
          <w:rtl/>
        </w:rPr>
        <w:t xml:space="preserve"> القضية من حيث الواقع</w:t>
      </w:r>
      <w:r w:rsidR="00487DB4" w:rsidRPr="00B529EB">
        <w:rPr>
          <w:rFonts w:ascii="Arabic Transparent" w:hAnsi="Arabic Transparent" w:cs="Arabic Transparent" w:hint="cs"/>
          <w:sz w:val="28"/>
          <w:szCs w:val="28"/>
          <w:rtl/>
        </w:rPr>
        <w:t xml:space="preserve">، فإذا كانت عقداً يكون </w:t>
      </w:r>
      <w:r w:rsidR="00D40089">
        <w:rPr>
          <w:rFonts w:ascii="Arabic Transparent" w:hAnsi="Arabic Transparent" w:cs="Arabic Transparent" w:hint="cs"/>
          <w:sz w:val="28"/>
          <w:szCs w:val="28"/>
          <w:rtl/>
        </w:rPr>
        <w:t>التصوير</w:t>
      </w:r>
      <w:r w:rsidR="00487DB4" w:rsidRPr="00B529EB">
        <w:rPr>
          <w:rFonts w:ascii="Arabic Transparent" w:hAnsi="Arabic Transparent" w:cs="Arabic Transparent" w:hint="cs"/>
          <w:sz w:val="28"/>
          <w:szCs w:val="28"/>
          <w:rtl/>
        </w:rPr>
        <w:t xml:space="preserve"> بالتعرف على مكوناته وعناصر</w:t>
      </w:r>
      <w:r w:rsidR="006808DE">
        <w:rPr>
          <w:rFonts w:ascii="Arabic Transparent" w:hAnsi="Arabic Transparent" w:cs="Arabic Transparent" w:hint="cs"/>
          <w:sz w:val="28"/>
          <w:szCs w:val="28"/>
          <w:rtl/>
        </w:rPr>
        <w:t>ه</w:t>
      </w:r>
      <w:r w:rsidR="00487DB4" w:rsidRPr="00B529EB">
        <w:rPr>
          <w:rFonts w:ascii="Arabic Transparent" w:hAnsi="Arabic Transparent" w:cs="Arabic Transparent" w:hint="cs"/>
          <w:sz w:val="28"/>
          <w:szCs w:val="28"/>
          <w:rtl/>
        </w:rPr>
        <w:t xml:space="preserve"> وشروطه، وإذا كان الأمر يتعلق بذاتٍ معين</w:t>
      </w:r>
      <w:r w:rsidR="00536363">
        <w:rPr>
          <w:rFonts w:ascii="Arabic Transparent" w:hAnsi="Arabic Transparent" w:cs="Arabic Transparent" w:hint="cs"/>
          <w:sz w:val="28"/>
          <w:szCs w:val="28"/>
          <w:rtl/>
        </w:rPr>
        <w:t>ة</w:t>
      </w:r>
      <w:r w:rsidR="00487DB4" w:rsidRPr="00B529EB">
        <w:rPr>
          <w:rFonts w:ascii="Arabic Transparent" w:hAnsi="Arabic Transparent" w:cs="Arabic Transparent" w:hint="cs"/>
          <w:sz w:val="28"/>
          <w:szCs w:val="28"/>
          <w:rtl/>
        </w:rPr>
        <w:t xml:space="preserve"> ل</w:t>
      </w:r>
      <w:r w:rsidR="00536363">
        <w:rPr>
          <w:rFonts w:ascii="Arabic Transparent" w:hAnsi="Arabic Transparent" w:cs="Arabic Transparent" w:hint="cs"/>
          <w:sz w:val="28"/>
          <w:szCs w:val="28"/>
          <w:rtl/>
        </w:rPr>
        <w:t>إ</w:t>
      </w:r>
      <w:r w:rsidR="00487DB4" w:rsidRPr="00B529EB">
        <w:rPr>
          <w:rFonts w:ascii="Arabic Transparent" w:hAnsi="Arabic Transparent" w:cs="Arabic Transparent" w:hint="cs"/>
          <w:sz w:val="28"/>
          <w:szCs w:val="28"/>
          <w:rtl/>
        </w:rPr>
        <w:t xml:space="preserve">صدار الحكم عليها كمسألة النقود الورقية، فإن </w:t>
      </w:r>
      <w:r w:rsidR="006808DE">
        <w:rPr>
          <w:rFonts w:ascii="Arabic Transparent" w:hAnsi="Arabic Transparent" w:cs="Arabic Transparent" w:hint="cs"/>
          <w:sz w:val="28"/>
          <w:szCs w:val="28"/>
          <w:rtl/>
        </w:rPr>
        <w:t xml:space="preserve">على </w:t>
      </w:r>
      <w:r w:rsidR="00487DB4" w:rsidRPr="00B529EB">
        <w:rPr>
          <w:rFonts w:ascii="Arabic Transparent" w:hAnsi="Arabic Transparent" w:cs="Arabic Transparent" w:hint="cs"/>
          <w:sz w:val="28"/>
          <w:szCs w:val="28"/>
          <w:rtl/>
        </w:rPr>
        <w:t>المجتهد أن يتعرض إلى جميع الجزئيات التي تتعلق به</w:t>
      </w:r>
      <w:r w:rsidR="008439A3">
        <w:rPr>
          <w:rFonts w:ascii="Arabic Transparent" w:hAnsi="Arabic Transparent" w:cs="Arabic Transparent" w:hint="cs"/>
          <w:sz w:val="28"/>
          <w:szCs w:val="28"/>
          <w:rtl/>
        </w:rPr>
        <w:t xml:space="preserve">ا، </w:t>
      </w:r>
      <w:r w:rsidR="00487DB4" w:rsidRPr="00B529EB">
        <w:rPr>
          <w:rFonts w:ascii="Arabic Transparent" w:hAnsi="Arabic Transparent" w:cs="Arabic Transparent" w:hint="cs"/>
          <w:sz w:val="28"/>
          <w:szCs w:val="28"/>
          <w:rtl/>
        </w:rPr>
        <w:t xml:space="preserve">مثل: تاريخ </w:t>
      </w:r>
      <w:r w:rsidR="008439A3">
        <w:rPr>
          <w:rFonts w:ascii="Arabic Transparent" w:hAnsi="Arabic Transparent" w:cs="Arabic Transparent" w:hint="cs"/>
          <w:sz w:val="28"/>
          <w:szCs w:val="28"/>
          <w:rtl/>
        </w:rPr>
        <w:t>النقود</w:t>
      </w:r>
      <w:r w:rsidR="00EF065F">
        <w:rPr>
          <w:rFonts w:ascii="Arabic Transparent" w:hAnsi="Arabic Transparent" w:cs="Arabic Transparent" w:hint="cs"/>
          <w:sz w:val="28"/>
          <w:szCs w:val="28"/>
          <w:rtl/>
        </w:rPr>
        <w:t>،</w:t>
      </w:r>
      <w:r w:rsidR="00487DB4" w:rsidRPr="00B529EB">
        <w:rPr>
          <w:rFonts w:ascii="Arabic Transparent" w:hAnsi="Arabic Transparent" w:cs="Arabic Transparent" w:hint="cs"/>
          <w:sz w:val="28"/>
          <w:szCs w:val="28"/>
          <w:rtl/>
        </w:rPr>
        <w:t xml:space="preserve"> ووظيفته في التداول</w:t>
      </w:r>
      <w:r w:rsidR="00EF065F">
        <w:rPr>
          <w:rFonts w:ascii="Arabic Transparent" w:hAnsi="Arabic Transparent" w:cs="Arabic Transparent" w:hint="cs"/>
          <w:sz w:val="28"/>
          <w:szCs w:val="28"/>
          <w:rtl/>
        </w:rPr>
        <w:t>،</w:t>
      </w:r>
      <w:r w:rsidR="00487DB4" w:rsidRPr="00B529EB">
        <w:rPr>
          <w:rFonts w:ascii="Arabic Transparent" w:hAnsi="Arabic Transparent" w:cs="Arabic Transparent" w:hint="cs"/>
          <w:sz w:val="28"/>
          <w:szCs w:val="28"/>
          <w:rtl/>
        </w:rPr>
        <w:t xml:space="preserve"> والتعامل</w:t>
      </w:r>
      <w:r w:rsidR="00EF065F">
        <w:rPr>
          <w:rFonts w:ascii="Arabic Transparent" w:hAnsi="Arabic Transparent" w:cs="Arabic Transparent" w:hint="cs"/>
          <w:sz w:val="28"/>
          <w:szCs w:val="28"/>
          <w:rtl/>
        </w:rPr>
        <w:t>،</w:t>
      </w:r>
      <w:r w:rsidR="00487DB4" w:rsidRPr="00B529EB">
        <w:rPr>
          <w:rFonts w:ascii="Arabic Transparent" w:hAnsi="Arabic Transparent" w:cs="Arabic Transparent" w:hint="cs"/>
          <w:sz w:val="28"/>
          <w:szCs w:val="28"/>
          <w:rtl/>
        </w:rPr>
        <w:t xml:space="preserve"> والتبادل، وما اعتر</w:t>
      </w:r>
      <w:r w:rsidR="00D40089">
        <w:rPr>
          <w:rFonts w:ascii="Arabic Transparent" w:hAnsi="Arabic Transparent" w:cs="Arabic Transparent" w:hint="cs"/>
          <w:sz w:val="28"/>
          <w:szCs w:val="28"/>
          <w:rtl/>
        </w:rPr>
        <w:t>ا</w:t>
      </w:r>
      <w:r w:rsidR="00487DB4" w:rsidRPr="00B529EB">
        <w:rPr>
          <w:rFonts w:ascii="Arabic Transparent" w:hAnsi="Arabic Transparent" w:cs="Arabic Transparent" w:hint="cs"/>
          <w:sz w:val="28"/>
          <w:szCs w:val="28"/>
          <w:rtl/>
        </w:rPr>
        <w:t>ه على مرِّ التاريخ من تطوّر يتعلق بذات النقد</w:t>
      </w:r>
      <w:r w:rsidR="00EF065F">
        <w:rPr>
          <w:rFonts w:ascii="Arabic Transparent" w:hAnsi="Arabic Transparent" w:cs="Arabic Transparent" w:hint="cs"/>
          <w:sz w:val="28"/>
          <w:szCs w:val="28"/>
          <w:rtl/>
        </w:rPr>
        <w:t>،</w:t>
      </w:r>
      <w:r w:rsidR="006808DE">
        <w:rPr>
          <w:rFonts w:ascii="Arabic Transparent" w:hAnsi="Arabic Transparent" w:cs="Arabic Transparent" w:hint="cs"/>
          <w:sz w:val="28"/>
          <w:szCs w:val="28"/>
          <w:rtl/>
        </w:rPr>
        <w:t xml:space="preserve"> والمتغيرات التي أثًّرت </w:t>
      </w:r>
      <w:r w:rsidR="00D40089">
        <w:rPr>
          <w:rFonts w:ascii="Arabic Transparent" w:hAnsi="Arabic Transparent" w:cs="Arabic Transparent" w:hint="cs"/>
          <w:sz w:val="28"/>
          <w:szCs w:val="28"/>
          <w:rtl/>
        </w:rPr>
        <w:t>فيه</w:t>
      </w:r>
      <w:r w:rsidR="00487DB4" w:rsidRPr="00B529EB">
        <w:rPr>
          <w:rFonts w:ascii="Arabic Transparent" w:hAnsi="Arabic Transparent" w:cs="Arabic Transparent" w:hint="cs"/>
          <w:sz w:val="28"/>
          <w:szCs w:val="28"/>
          <w:rtl/>
        </w:rPr>
        <w:t>،</w:t>
      </w:r>
      <w:r w:rsidR="006808DE">
        <w:rPr>
          <w:rFonts w:ascii="Arabic Transparent" w:hAnsi="Arabic Transparent" w:cs="Arabic Transparent" w:hint="cs"/>
          <w:sz w:val="28"/>
          <w:szCs w:val="28"/>
          <w:rtl/>
        </w:rPr>
        <w:t xml:space="preserve"> فيتأكد من انطباق أوصاف النق</w:t>
      </w:r>
      <w:r w:rsidR="008439A3">
        <w:rPr>
          <w:rFonts w:ascii="Arabic Transparent" w:hAnsi="Arabic Transparent" w:cs="Arabic Transparent" w:hint="cs"/>
          <w:sz w:val="28"/>
          <w:szCs w:val="28"/>
          <w:rtl/>
        </w:rPr>
        <w:t>ود</w:t>
      </w:r>
      <w:r w:rsidR="006808DE">
        <w:rPr>
          <w:rFonts w:ascii="Arabic Transparent" w:hAnsi="Arabic Transparent" w:cs="Arabic Transparent" w:hint="cs"/>
          <w:sz w:val="28"/>
          <w:szCs w:val="28"/>
          <w:rtl/>
        </w:rPr>
        <w:t xml:space="preserve"> على كل مرحلة من مراحله</w:t>
      </w:r>
      <w:r w:rsidR="008439A3">
        <w:rPr>
          <w:rFonts w:ascii="Arabic Transparent" w:hAnsi="Arabic Transparent" w:cs="Arabic Transparent" w:hint="cs"/>
          <w:sz w:val="28"/>
          <w:szCs w:val="28"/>
          <w:rtl/>
        </w:rPr>
        <w:t>ا،</w:t>
      </w:r>
      <w:r w:rsidR="006808DE">
        <w:rPr>
          <w:rFonts w:ascii="Arabic Transparent" w:hAnsi="Arabic Transparent" w:cs="Arabic Transparent" w:hint="cs"/>
          <w:sz w:val="28"/>
          <w:szCs w:val="28"/>
          <w:rtl/>
        </w:rPr>
        <w:t xml:space="preserve"> بدأً من مرحلة المقايضة، ثم النقود السلعية</w:t>
      </w:r>
      <w:r w:rsidR="00F80A7F">
        <w:rPr>
          <w:rFonts w:ascii="Arabic Transparent" w:hAnsi="Arabic Transparent" w:cs="Arabic Transparent" w:hint="cs"/>
          <w:sz w:val="28"/>
          <w:szCs w:val="28"/>
          <w:rtl/>
        </w:rPr>
        <w:t>،</w:t>
      </w:r>
      <w:r w:rsidR="006808DE">
        <w:rPr>
          <w:rFonts w:ascii="Arabic Transparent" w:hAnsi="Arabic Transparent" w:cs="Arabic Transparent" w:hint="cs"/>
          <w:sz w:val="28"/>
          <w:szCs w:val="28"/>
          <w:rtl/>
        </w:rPr>
        <w:t xml:space="preserve"> ثم النقود المعدنية</w:t>
      </w:r>
      <w:r w:rsidR="00F80A7F">
        <w:rPr>
          <w:rFonts w:ascii="Arabic Transparent" w:hAnsi="Arabic Transparent" w:cs="Arabic Transparent" w:hint="cs"/>
          <w:sz w:val="28"/>
          <w:szCs w:val="28"/>
          <w:rtl/>
        </w:rPr>
        <w:t>،</w:t>
      </w:r>
      <w:r w:rsidR="006808DE">
        <w:rPr>
          <w:rFonts w:ascii="Arabic Transparent" w:hAnsi="Arabic Transparent" w:cs="Arabic Transparent" w:hint="cs"/>
          <w:sz w:val="28"/>
          <w:szCs w:val="28"/>
          <w:rtl/>
        </w:rPr>
        <w:t xml:space="preserve"> ثم النقود الورقية، ثم النقود الإلكترونية</w:t>
      </w:r>
      <w:r w:rsidR="00F80A7F">
        <w:rPr>
          <w:rFonts w:ascii="Arabic Transparent" w:hAnsi="Arabic Transparent" w:cs="Arabic Transparent" w:hint="cs"/>
          <w:sz w:val="28"/>
          <w:szCs w:val="28"/>
          <w:rtl/>
        </w:rPr>
        <w:t>،</w:t>
      </w:r>
      <w:r w:rsidR="006808DE">
        <w:rPr>
          <w:rFonts w:ascii="Arabic Transparent" w:hAnsi="Arabic Transparent" w:cs="Arabic Transparent" w:hint="cs"/>
          <w:sz w:val="28"/>
          <w:szCs w:val="28"/>
          <w:rtl/>
        </w:rPr>
        <w:t xml:space="preserve"> و</w:t>
      </w:r>
      <w:r w:rsidR="00487DB4" w:rsidRPr="00B529EB">
        <w:rPr>
          <w:rFonts w:ascii="Arabic Transparent" w:hAnsi="Arabic Transparent" w:cs="Arabic Transparent" w:hint="cs"/>
          <w:sz w:val="28"/>
          <w:szCs w:val="28"/>
          <w:rtl/>
        </w:rPr>
        <w:t>هذا التشخيص والتوصيف</w:t>
      </w:r>
      <w:r w:rsidR="00F80A7F">
        <w:rPr>
          <w:rFonts w:ascii="Arabic Transparent" w:hAnsi="Arabic Transparent" w:cs="Arabic Transparent" w:hint="cs"/>
          <w:sz w:val="28"/>
          <w:szCs w:val="28"/>
          <w:rtl/>
        </w:rPr>
        <w:t xml:space="preserve"> والتطبيق</w:t>
      </w:r>
      <w:r w:rsidR="00487DB4" w:rsidRPr="00B529EB">
        <w:rPr>
          <w:rFonts w:ascii="Arabic Transparent" w:hAnsi="Arabic Transparent" w:cs="Arabic Transparent" w:hint="cs"/>
          <w:sz w:val="28"/>
          <w:szCs w:val="28"/>
          <w:rtl/>
        </w:rPr>
        <w:t xml:space="preserve"> ي</w:t>
      </w:r>
      <w:r w:rsidR="006808DE">
        <w:rPr>
          <w:rFonts w:ascii="Arabic Transparent" w:hAnsi="Arabic Transparent" w:cs="Arabic Transparent" w:hint="cs"/>
          <w:sz w:val="28"/>
          <w:szCs w:val="28"/>
          <w:rtl/>
        </w:rPr>
        <w:t>ُ</w:t>
      </w:r>
      <w:r w:rsidR="00487DB4" w:rsidRPr="00B529EB">
        <w:rPr>
          <w:rFonts w:ascii="Arabic Transparent" w:hAnsi="Arabic Transparent" w:cs="Arabic Transparent" w:hint="cs"/>
          <w:sz w:val="28"/>
          <w:szCs w:val="28"/>
          <w:rtl/>
        </w:rPr>
        <w:t>عبر عنه بتحقيق المناط الخاص عند الأصوليين، لأنه تطبيق قاعدة متفق عليها على واقع معيّنٍ أو في آحاد صور</w:t>
      </w:r>
      <w:r w:rsidR="00EF065F">
        <w:rPr>
          <w:rFonts w:ascii="Arabic Transparent" w:hAnsi="Arabic Transparent" w:cs="Arabic Transparent" w:hint="cs"/>
          <w:sz w:val="28"/>
          <w:szCs w:val="28"/>
          <w:rtl/>
        </w:rPr>
        <w:t xml:space="preserve"> </w:t>
      </w:r>
      <w:r w:rsidR="00EF065F" w:rsidRPr="00EF065F">
        <w:rPr>
          <w:rFonts w:ascii="Arabic Transparent" w:hAnsi="Arabic Transparent" w:cs="Arabic Transparent"/>
          <w:sz w:val="28"/>
          <w:szCs w:val="28"/>
          <w:rtl/>
        </w:rPr>
        <w:t xml:space="preserve">جزئية </w:t>
      </w:r>
      <w:r w:rsidR="00EF065F">
        <w:rPr>
          <w:rFonts w:ascii="Arabic Transparent" w:hAnsi="Arabic Transparent" w:cs="Arabic Transparent" w:hint="cs"/>
          <w:sz w:val="28"/>
          <w:szCs w:val="28"/>
          <w:rtl/>
        </w:rPr>
        <w:t xml:space="preserve"> جديدة</w:t>
      </w:r>
      <w:r w:rsidR="00D3232D" w:rsidRPr="00B529EB">
        <w:rPr>
          <w:rFonts w:ascii="Arabic Transparent" w:hAnsi="Arabic Transparent" w:cs="Arabic Transparent" w:hint="cs"/>
          <w:sz w:val="28"/>
          <w:szCs w:val="28"/>
          <w:vertAlign w:val="superscript"/>
          <w:rtl/>
        </w:rPr>
        <w:t>(</w:t>
      </w:r>
      <w:r w:rsidR="00D3232D" w:rsidRPr="00B529EB">
        <w:rPr>
          <w:rStyle w:val="FootnoteReference"/>
          <w:rFonts w:ascii="Arabic Transparent" w:hAnsi="Arabic Transparent" w:cs="Arabic Transparent" w:hint="cs"/>
          <w:sz w:val="28"/>
          <w:szCs w:val="28"/>
          <w:rtl/>
        </w:rPr>
        <w:footnoteReference w:id="121"/>
      </w:r>
      <w:r w:rsidR="00D3232D" w:rsidRPr="00B529EB">
        <w:rPr>
          <w:rFonts w:ascii="Arabic Transparent" w:hAnsi="Arabic Transparent" w:cs="Arabic Transparent" w:hint="cs"/>
          <w:sz w:val="28"/>
          <w:szCs w:val="28"/>
          <w:vertAlign w:val="superscript"/>
          <w:rtl/>
        </w:rPr>
        <w:t>)</w:t>
      </w:r>
      <w:r w:rsidR="000E1385">
        <w:rPr>
          <w:rFonts w:ascii="Arabic Transparent" w:hAnsi="Arabic Transparent" w:cs="Arabic Transparent" w:hint="cs"/>
          <w:sz w:val="28"/>
          <w:szCs w:val="28"/>
          <w:rtl/>
        </w:rPr>
        <w:t>.</w:t>
      </w:r>
    </w:p>
    <w:p w14:paraId="4D1CB63D" w14:textId="77777777" w:rsidR="007476DB" w:rsidRDefault="007476DB">
      <w:pPr>
        <w:bidi w:val="0"/>
        <w:spacing w:after="0" w:line="240" w:lineRule="auto"/>
        <w:rPr>
          <w:rFonts w:ascii="Arabic Transparent" w:hAnsi="Arabic Transparent" w:cs="Arabic Transparent"/>
          <w:sz w:val="28"/>
          <w:szCs w:val="28"/>
          <w:rtl/>
        </w:rPr>
      </w:pPr>
      <w:r>
        <w:rPr>
          <w:rFonts w:ascii="Arabic Transparent" w:hAnsi="Arabic Transparent" w:cs="Arabic Transparent"/>
          <w:sz w:val="28"/>
          <w:szCs w:val="28"/>
          <w:rtl/>
        </w:rPr>
        <w:br w:type="page"/>
      </w:r>
    </w:p>
    <w:p w14:paraId="7973FE4B" w14:textId="2A32597F" w:rsidR="00625C31" w:rsidRDefault="00B15CC5" w:rsidP="0099058E">
      <w:pPr>
        <w:spacing w:after="0" w:line="360" w:lineRule="auto"/>
        <w:ind w:firstLine="332"/>
        <w:jc w:val="both"/>
        <w:rPr>
          <w:rFonts w:ascii="Arabic Transparent" w:hAnsi="Arabic Transparent" w:cs="Arabic Transparent"/>
          <w:b/>
          <w:bCs/>
          <w:sz w:val="32"/>
          <w:szCs w:val="32"/>
          <w:rtl/>
          <w:lang w:bidi="ar-JO"/>
        </w:rPr>
      </w:pPr>
      <w:r>
        <w:rPr>
          <w:rFonts w:ascii="Arabic Transparent" w:hAnsi="Arabic Transparent" w:cs="Arabic Transparent" w:hint="cs"/>
          <w:sz w:val="28"/>
          <w:szCs w:val="28"/>
          <w:rtl/>
        </w:rPr>
        <w:t xml:space="preserve">  </w:t>
      </w:r>
      <w:r w:rsidR="00487DB4" w:rsidRPr="00B529EB">
        <w:rPr>
          <w:rFonts w:ascii="Arabic Transparent" w:hAnsi="Arabic Transparent" w:cs="Arabic Transparent" w:hint="cs"/>
          <w:sz w:val="28"/>
          <w:szCs w:val="28"/>
          <w:rtl/>
        </w:rPr>
        <w:t xml:space="preserve">وهذه المرحلة لا غنى عنها للفقيه فإنّ </w:t>
      </w:r>
      <w:r w:rsidR="00AE2892" w:rsidRPr="00B529EB">
        <w:rPr>
          <w:rFonts w:ascii="Arabic Transparent" w:hAnsi="Arabic Transparent" w:cs="Arabic Transparent" w:hint="cs"/>
          <w:sz w:val="28"/>
          <w:szCs w:val="28"/>
          <w:rtl/>
        </w:rPr>
        <w:t>"</w:t>
      </w:r>
      <w:r w:rsidR="00487DB4" w:rsidRPr="00B529EB">
        <w:rPr>
          <w:rFonts w:ascii="Arabic Transparent" w:hAnsi="Arabic Transparent" w:cs="Arabic Transparent" w:hint="cs"/>
          <w:sz w:val="28"/>
          <w:szCs w:val="28"/>
          <w:rtl/>
        </w:rPr>
        <w:t>الحكم على الشيء فرعٌ عن تصوره</w:t>
      </w:r>
      <w:r w:rsidR="00AE2892" w:rsidRPr="00B529EB">
        <w:rPr>
          <w:rFonts w:ascii="Arabic Transparent" w:hAnsi="Arabic Transparent" w:cs="Arabic Transparent" w:hint="cs"/>
          <w:sz w:val="28"/>
          <w:szCs w:val="28"/>
          <w:rtl/>
        </w:rPr>
        <w:t>"</w:t>
      </w:r>
      <w:r w:rsidR="00AE2892" w:rsidRPr="00B529EB">
        <w:rPr>
          <w:rFonts w:ascii="Arabic Transparent" w:hAnsi="Arabic Transparent" w:cs="Arabic Transparent" w:hint="cs"/>
          <w:sz w:val="28"/>
          <w:szCs w:val="28"/>
          <w:vertAlign w:val="superscript"/>
          <w:rtl/>
        </w:rPr>
        <w:t>(</w:t>
      </w:r>
      <w:r w:rsidR="00AE2892" w:rsidRPr="00B529EB">
        <w:rPr>
          <w:rStyle w:val="FootnoteReference"/>
          <w:rFonts w:ascii="Arabic Transparent" w:hAnsi="Arabic Transparent" w:cs="Arabic Transparent" w:hint="cs"/>
          <w:sz w:val="28"/>
          <w:szCs w:val="28"/>
          <w:rtl/>
        </w:rPr>
        <w:footnoteReference w:id="122"/>
      </w:r>
      <w:r w:rsidR="00AE2892" w:rsidRPr="00B529EB">
        <w:rPr>
          <w:rFonts w:ascii="Arabic Transparent" w:hAnsi="Arabic Transparent" w:cs="Arabic Transparent" w:hint="cs"/>
          <w:sz w:val="28"/>
          <w:szCs w:val="28"/>
          <w:vertAlign w:val="superscript"/>
          <w:rtl/>
        </w:rPr>
        <w:t>)</w:t>
      </w:r>
      <w:r w:rsidR="00487DB4" w:rsidRPr="00B529EB">
        <w:rPr>
          <w:rFonts w:ascii="Arabic Transparent" w:hAnsi="Arabic Transparent" w:cs="Arabic Transparent" w:hint="cs"/>
          <w:sz w:val="28"/>
          <w:szCs w:val="28"/>
          <w:rtl/>
        </w:rPr>
        <w:t>، وبدون هذا التصور والتصوير يمكن أَن يكونَ الحكمُ غيرَ صائبٍ؛ لأنه لم يصادف محلاً</w:t>
      </w:r>
      <w:r w:rsidR="008439A3">
        <w:rPr>
          <w:rFonts w:ascii="Arabic Transparent" w:hAnsi="Arabic Transparent" w:cs="Arabic Transparent" w:hint="cs"/>
          <w:sz w:val="28"/>
          <w:szCs w:val="28"/>
          <w:rtl/>
        </w:rPr>
        <w:t xml:space="preserve"> مناسباً</w:t>
      </w:r>
      <w:r w:rsidR="00F80A7F">
        <w:rPr>
          <w:rFonts w:ascii="Arabic Transparent" w:hAnsi="Arabic Transparent" w:cs="Arabic Transparent" w:hint="cs"/>
          <w:sz w:val="28"/>
          <w:szCs w:val="28"/>
          <w:rtl/>
        </w:rPr>
        <w:t>،</w:t>
      </w:r>
      <w:r w:rsidR="00487DB4" w:rsidRPr="00B529EB">
        <w:rPr>
          <w:rFonts w:ascii="Arabic Transparent" w:hAnsi="Arabic Transparent" w:cs="Arabic Transparent" w:hint="cs"/>
          <w:sz w:val="28"/>
          <w:szCs w:val="28"/>
          <w:rtl/>
        </w:rPr>
        <w:t xml:space="preserve"> </w:t>
      </w:r>
      <w:r w:rsidR="008439A3">
        <w:rPr>
          <w:rFonts w:ascii="Arabic Transparent" w:hAnsi="Arabic Transparent" w:cs="Arabic Transparent" w:hint="cs"/>
          <w:sz w:val="28"/>
          <w:szCs w:val="28"/>
          <w:rtl/>
        </w:rPr>
        <w:t>"</w:t>
      </w:r>
      <w:r w:rsidR="00487DB4" w:rsidRPr="00B529EB">
        <w:rPr>
          <w:rFonts w:ascii="Arabic Transparent" w:hAnsi="Arabic Transparent" w:cs="Arabic Transparent" w:hint="cs"/>
          <w:sz w:val="28"/>
          <w:szCs w:val="28"/>
          <w:rtl/>
        </w:rPr>
        <w:t xml:space="preserve">وتزدادُ أهمية هذه المرحلة عندما ندرك </w:t>
      </w:r>
      <w:r w:rsidR="00F80A7F">
        <w:rPr>
          <w:rFonts w:ascii="Arabic Transparent" w:hAnsi="Arabic Transparent" w:cs="Arabic Transparent" w:hint="cs"/>
          <w:sz w:val="28"/>
          <w:szCs w:val="28"/>
          <w:rtl/>
        </w:rPr>
        <w:t>أنَّ هندسة</w:t>
      </w:r>
      <w:r w:rsidR="00487DB4" w:rsidRPr="00B529EB">
        <w:rPr>
          <w:rFonts w:ascii="Arabic Transparent" w:hAnsi="Arabic Transparent" w:cs="Arabic Transparent" w:hint="cs"/>
          <w:sz w:val="28"/>
          <w:szCs w:val="28"/>
          <w:rtl/>
        </w:rPr>
        <w:t xml:space="preserve"> العقود المعاصرة وانبنائَها على عناصر لم تكن موجودةً في العقود المعروفة لدى الفقهاء</w:t>
      </w:r>
      <w:r w:rsidR="00F80A7F">
        <w:rPr>
          <w:rFonts w:ascii="Arabic Transparent" w:hAnsi="Arabic Transparent" w:cs="Arabic Transparent" w:hint="cs"/>
          <w:sz w:val="28"/>
          <w:szCs w:val="28"/>
          <w:rtl/>
        </w:rPr>
        <w:t xml:space="preserve">، </w:t>
      </w:r>
      <w:r w:rsidR="00487DB4" w:rsidRPr="00B529EB">
        <w:rPr>
          <w:rFonts w:ascii="Arabic Transparent" w:hAnsi="Arabic Transparent" w:cs="Arabic Transparent" w:hint="cs"/>
          <w:sz w:val="28"/>
          <w:szCs w:val="28"/>
          <w:rtl/>
        </w:rPr>
        <w:t>فهنا يتوقف الفقيهُ برهةً من الزمن للتعرف على مكونات العقد وردّه إلى عناصرِه الأو</w:t>
      </w:r>
      <w:r w:rsidR="008439A3">
        <w:rPr>
          <w:rFonts w:ascii="Arabic Transparent" w:hAnsi="Arabic Transparent" w:cs="Arabic Transparent" w:hint="cs"/>
          <w:sz w:val="28"/>
          <w:szCs w:val="28"/>
          <w:rtl/>
        </w:rPr>
        <w:t>لية</w:t>
      </w:r>
      <w:r w:rsidR="00487DB4" w:rsidRPr="00B529EB">
        <w:rPr>
          <w:rFonts w:ascii="Arabic Transparent" w:hAnsi="Arabic Transparent" w:cs="Arabic Transparent" w:hint="cs"/>
          <w:sz w:val="28"/>
          <w:szCs w:val="28"/>
          <w:rtl/>
        </w:rPr>
        <w:t xml:space="preserve"> لتقرير طبيعته، وهل هو مشتملُ على شرطٍ ينافي سَنَن العقود المجمع عليها والمختلف فيها</w:t>
      </w:r>
      <w:r w:rsidR="00D40089">
        <w:rPr>
          <w:rFonts w:ascii="Arabic Transparent" w:hAnsi="Arabic Transparent" w:cs="Arabic Transparent" w:hint="cs"/>
          <w:sz w:val="28"/>
          <w:szCs w:val="28"/>
          <w:rtl/>
        </w:rPr>
        <w:t xml:space="preserve"> أم لا</w:t>
      </w:r>
      <w:r w:rsidR="008439A3">
        <w:rPr>
          <w:rFonts w:ascii="Arabic Transparent" w:hAnsi="Arabic Transparent" w:cs="Arabic Transparent" w:hint="cs"/>
          <w:sz w:val="28"/>
          <w:szCs w:val="28"/>
          <w:rtl/>
        </w:rPr>
        <w:t>"</w:t>
      </w:r>
      <w:r w:rsidR="002709CB" w:rsidRPr="00B529EB">
        <w:rPr>
          <w:rFonts w:ascii="Arabic Transparent" w:hAnsi="Arabic Transparent" w:cs="Arabic Transparent" w:hint="cs"/>
          <w:sz w:val="28"/>
          <w:szCs w:val="28"/>
          <w:vertAlign w:val="superscript"/>
          <w:rtl/>
        </w:rPr>
        <w:t>(</w:t>
      </w:r>
      <w:r w:rsidR="002709CB" w:rsidRPr="00B529EB">
        <w:rPr>
          <w:rStyle w:val="FootnoteReference"/>
          <w:rFonts w:ascii="Arabic Transparent" w:hAnsi="Arabic Transparent" w:cs="Arabic Transparent" w:hint="cs"/>
          <w:sz w:val="28"/>
          <w:szCs w:val="28"/>
          <w:rtl/>
        </w:rPr>
        <w:footnoteReference w:id="123"/>
      </w:r>
      <w:r w:rsidR="002709CB" w:rsidRPr="00B529EB">
        <w:rPr>
          <w:rFonts w:ascii="Arabic Transparent" w:hAnsi="Arabic Transparent" w:cs="Arabic Transparent" w:hint="cs"/>
          <w:sz w:val="28"/>
          <w:szCs w:val="28"/>
          <w:vertAlign w:val="superscript"/>
          <w:rtl/>
        </w:rPr>
        <w:t>)</w:t>
      </w:r>
      <w:r w:rsidR="00E17557" w:rsidRPr="00B529EB">
        <w:rPr>
          <w:rFonts w:ascii="Arabic Transparent" w:hAnsi="Arabic Transparent" w:cs="Arabic Transparent" w:hint="cs"/>
          <w:sz w:val="28"/>
          <w:szCs w:val="28"/>
          <w:rtl/>
        </w:rPr>
        <w:t>.</w:t>
      </w:r>
      <w:r w:rsidR="00487DB4" w:rsidRPr="00B529EB">
        <w:rPr>
          <w:rFonts w:ascii="Arabic Transparent" w:hAnsi="Arabic Transparent" w:cs="Arabic Transparent" w:hint="cs"/>
          <w:sz w:val="28"/>
          <w:szCs w:val="28"/>
          <w:rtl/>
          <w:lang w:bidi="ar-JO"/>
        </w:rPr>
        <w:t>و</w:t>
      </w:r>
      <w:r w:rsidR="00AE2892" w:rsidRPr="00B529EB">
        <w:rPr>
          <w:rFonts w:ascii="Arabic Transparent" w:hAnsi="Arabic Transparent" w:cs="Arabic Transparent" w:hint="cs"/>
          <w:sz w:val="28"/>
          <w:szCs w:val="28"/>
          <w:rtl/>
          <w:lang w:bidi="ar-JO"/>
        </w:rPr>
        <w:t>ي</w:t>
      </w:r>
      <w:r w:rsidR="00487DB4" w:rsidRPr="00B529EB">
        <w:rPr>
          <w:rFonts w:ascii="Arabic Transparent" w:hAnsi="Arabic Transparent" w:cs="Arabic Transparent" w:hint="cs"/>
          <w:sz w:val="28"/>
          <w:szCs w:val="28"/>
          <w:rtl/>
          <w:lang w:bidi="ar-JO"/>
        </w:rPr>
        <w:t>عتقدُ</w:t>
      </w:r>
      <w:r w:rsidR="00AE2892" w:rsidRPr="00B529EB">
        <w:rPr>
          <w:rFonts w:ascii="Arabic Transparent" w:hAnsi="Arabic Transparent" w:cs="Arabic Transparent" w:hint="cs"/>
          <w:sz w:val="28"/>
          <w:szCs w:val="28"/>
          <w:rtl/>
          <w:lang w:bidi="ar-JO"/>
        </w:rPr>
        <w:t xml:space="preserve"> بن بيه</w:t>
      </w:r>
      <w:r w:rsidR="00487DB4" w:rsidRPr="00B529EB">
        <w:rPr>
          <w:rFonts w:ascii="Arabic Transparent" w:hAnsi="Arabic Transparent" w:cs="Arabic Transparent" w:hint="cs"/>
          <w:sz w:val="28"/>
          <w:szCs w:val="28"/>
          <w:rtl/>
          <w:lang w:bidi="ar-JO"/>
        </w:rPr>
        <w:t xml:space="preserve"> أنَّ الخلاف بين أعضاء المجامع الفقهية في جملةٍ من المسائل يرجعُ إلى تفاوتُ بين الباحثين في قضية التصوُر والتشخيص أكثرَ مما يرجع إلى اختلافٍ في فهم النُّصوص الفقهية، ولهذا فمن الأهمية بمكانٍ </w:t>
      </w:r>
      <w:r w:rsidR="00A13B75">
        <w:rPr>
          <w:rFonts w:ascii="Arabic Transparent" w:hAnsi="Arabic Transparent" w:cs="Arabic Transparent" w:hint="cs"/>
          <w:sz w:val="28"/>
          <w:szCs w:val="28"/>
          <w:rtl/>
          <w:lang w:bidi="ar-JO"/>
        </w:rPr>
        <w:t>"</w:t>
      </w:r>
      <w:r w:rsidR="00487DB4" w:rsidRPr="00B529EB">
        <w:rPr>
          <w:rFonts w:ascii="Arabic Transparent" w:hAnsi="Arabic Transparent" w:cs="Arabic Transparent" w:hint="cs"/>
          <w:sz w:val="28"/>
          <w:szCs w:val="28"/>
          <w:rtl/>
          <w:lang w:bidi="ar-JO"/>
        </w:rPr>
        <w:t>أَن يبذُلَ الاقتصاديون الوَضعيون</w:t>
      </w:r>
      <w:r w:rsidR="00420B45">
        <w:rPr>
          <w:rFonts w:ascii="Arabic Transparent" w:hAnsi="Arabic Transparent" w:cs="Arabic Transparent" w:hint="cs"/>
          <w:sz w:val="28"/>
          <w:szCs w:val="28"/>
          <w:rtl/>
          <w:lang w:bidi="ar-JO"/>
        </w:rPr>
        <w:t>،</w:t>
      </w:r>
      <w:r w:rsidR="00487DB4" w:rsidRPr="00B529EB">
        <w:rPr>
          <w:rFonts w:ascii="Arabic Transparent" w:hAnsi="Arabic Transparent" w:cs="Arabic Transparent" w:hint="cs"/>
          <w:sz w:val="28"/>
          <w:szCs w:val="28"/>
          <w:rtl/>
          <w:lang w:bidi="ar-JO"/>
        </w:rPr>
        <w:t xml:space="preserve"> والأطباء وغيرهم من أصحاب الصنائع والتخصصات جهداً لإيصال كلُ العناصر التي يتوفر</w:t>
      </w:r>
      <w:r w:rsidR="00D40089">
        <w:rPr>
          <w:rFonts w:ascii="Arabic Transparent" w:hAnsi="Arabic Transparent" w:cs="Arabic Transparent" w:hint="cs"/>
          <w:sz w:val="28"/>
          <w:szCs w:val="28"/>
          <w:rtl/>
          <w:lang w:bidi="ar-JO"/>
        </w:rPr>
        <w:t>َّ</w:t>
      </w:r>
      <w:r w:rsidR="00487DB4" w:rsidRPr="00B529EB">
        <w:rPr>
          <w:rFonts w:ascii="Arabic Transparent" w:hAnsi="Arabic Transparent" w:cs="Arabic Transparent" w:hint="cs"/>
          <w:sz w:val="28"/>
          <w:szCs w:val="28"/>
          <w:rtl/>
          <w:lang w:bidi="ar-JO"/>
        </w:rPr>
        <w:t>ون عليها إلى زملائهم الشرعيين لي</w:t>
      </w:r>
      <w:r w:rsidR="00420B45">
        <w:rPr>
          <w:rFonts w:ascii="Arabic Transparent" w:hAnsi="Arabic Transparent" w:cs="Arabic Transparent" w:hint="cs"/>
          <w:sz w:val="28"/>
          <w:szCs w:val="28"/>
          <w:rtl/>
          <w:lang w:bidi="ar-JO"/>
        </w:rPr>
        <w:t>ُ</w:t>
      </w:r>
      <w:r w:rsidR="00487DB4" w:rsidRPr="00B529EB">
        <w:rPr>
          <w:rFonts w:ascii="Arabic Transparent" w:hAnsi="Arabic Transparent" w:cs="Arabic Transparent" w:hint="cs"/>
          <w:sz w:val="28"/>
          <w:szCs w:val="28"/>
          <w:rtl/>
          <w:lang w:bidi="ar-JO"/>
        </w:rPr>
        <w:t>حقق هؤلاء المناط لتنزيل الحكم على واقع العقد وعلى حقيق</w:t>
      </w:r>
      <w:r w:rsidR="00A21718" w:rsidRPr="00B529EB">
        <w:rPr>
          <w:rFonts w:ascii="Arabic Transparent" w:hAnsi="Arabic Transparent" w:cs="Arabic Transparent" w:hint="cs"/>
          <w:sz w:val="28"/>
          <w:szCs w:val="28"/>
          <w:rtl/>
          <w:lang w:bidi="ar-JO"/>
        </w:rPr>
        <w:t>ته الذاتية</w:t>
      </w:r>
      <w:r w:rsidR="000B47C7" w:rsidRPr="000531CE">
        <w:rPr>
          <w:rFonts w:ascii="Arabic Transparent" w:hAnsi="Arabic Transparent" w:cs="Arabic Transparent" w:hint="cs"/>
          <w:sz w:val="28"/>
          <w:szCs w:val="28"/>
          <w:rtl/>
          <w:lang w:bidi="ar-JO"/>
        </w:rPr>
        <w:t>"</w:t>
      </w:r>
      <w:r w:rsidR="00AE2892" w:rsidRPr="00B529EB">
        <w:rPr>
          <w:rFonts w:ascii="Arabic Transparent" w:hAnsi="Arabic Transparent" w:cs="Arabic Transparent" w:hint="cs"/>
          <w:sz w:val="28"/>
          <w:szCs w:val="28"/>
          <w:vertAlign w:val="superscript"/>
          <w:rtl/>
          <w:lang w:bidi="ar-JO"/>
        </w:rPr>
        <w:t>(</w:t>
      </w:r>
      <w:r w:rsidR="00AE2892" w:rsidRPr="00B529EB">
        <w:rPr>
          <w:rStyle w:val="FootnoteReference"/>
          <w:rFonts w:ascii="Arabic Transparent" w:hAnsi="Arabic Transparent" w:cs="Arabic Transparent" w:hint="cs"/>
          <w:sz w:val="28"/>
          <w:szCs w:val="28"/>
          <w:rtl/>
          <w:lang w:bidi="ar-JO"/>
        </w:rPr>
        <w:footnoteReference w:id="124"/>
      </w:r>
      <w:r w:rsidR="00AE2892" w:rsidRPr="00B529EB">
        <w:rPr>
          <w:rFonts w:ascii="Arabic Transparent" w:hAnsi="Arabic Transparent" w:cs="Arabic Transparent" w:hint="cs"/>
          <w:sz w:val="28"/>
          <w:szCs w:val="28"/>
          <w:vertAlign w:val="superscript"/>
          <w:rtl/>
          <w:lang w:bidi="ar-JO"/>
        </w:rPr>
        <w:t>)</w:t>
      </w:r>
      <w:r w:rsidR="00487DB4" w:rsidRPr="00B529EB">
        <w:rPr>
          <w:rFonts w:ascii="Arabic Transparent" w:hAnsi="Arabic Transparent" w:cs="Arabic Transparent" w:hint="cs"/>
          <w:sz w:val="28"/>
          <w:szCs w:val="28"/>
          <w:rtl/>
          <w:lang w:bidi="ar-JO"/>
        </w:rPr>
        <w:t>.</w:t>
      </w:r>
      <w:r w:rsidR="00625C31">
        <w:rPr>
          <w:rFonts w:ascii="Arabic Transparent" w:hAnsi="Arabic Transparent" w:cs="Arabic Transparent"/>
          <w:b/>
          <w:bCs/>
          <w:sz w:val="32"/>
          <w:szCs w:val="32"/>
          <w:rtl/>
          <w:lang w:bidi="ar-JO"/>
        </w:rPr>
        <w:br w:type="page"/>
      </w:r>
    </w:p>
    <w:p w14:paraId="3411E7B9" w14:textId="480B6D7C" w:rsidR="00A21718" w:rsidRPr="00B529EB" w:rsidRDefault="007311E6" w:rsidP="00B15CC5">
      <w:pPr>
        <w:spacing w:after="0" w:line="360" w:lineRule="auto"/>
        <w:jc w:val="center"/>
        <w:rPr>
          <w:rFonts w:ascii="Arabic Transparent" w:hAnsi="Arabic Transparent" w:cs="Arabic Transparent"/>
          <w:b/>
          <w:bCs/>
          <w:sz w:val="32"/>
          <w:szCs w:val="32"/>
          <w:rtl/>
          <w:lang w:bidi="ar-JO"/>
        </w:rPr>
      </w:pPr>
      <w:r w:rsidRPr="00B529EB">
        <w:rPr>
          <w:rFonts w:ascii="Arabic Transparent" w:hAnsi="Arabic Transparent" w:cs="Arabic Transparent" w:hint="cs"/>
          <w:b/>
          <w:bCs/>
          <w:sz w:val="32"/>
          <w:szCs w:val="32"/>
          <w:rtl/>
          <w:lang w:bidi="ar-JO"/>
        </w:rPr>
        <w:t>المبحث ا</w:t>
      </w:r>
      <w:r w:rsidR="002A1586" w:rsidRPr="00B529EB">
        <w:rPr>
          <w:rFonts w:ascii="Arabic Transparent" w:hAnsi="Arabic Transparent" w:cs="Arabic Transparent" w:hint="cs"/>
          <w:b/>
          <w:bCs/>
          <w:sz w:val="32"/>
          <w:szCs w:val="32"/>
          <w:rtl/>
          <w:lang w:bidi="ar-JO"/>
        </w:rPr>
        <w:t>لرابع</w:t>
      </w:r>
      <w:r w:rsidR="00E356F4" w:rsidRPr="00B529EB">
        <w:rPr>
          <w:rFonts w:ascii="Arabic Transparent" w:hAnsi="Arabic Transparent" w:cs="Arabic Transparent" w:hint="cs"/>
          <w:b/>
          <w:bCs/>
          <w:sz w:val="32"/>
          <w:szCs w:val="32"/>
          <w:rtl/>
          <w:lang w:bidi="ar-JO"/>
        </w:rPr>
        <w:t>:</w:t>
      </w:r>
    </w:p>
    <w:p w14:paraId="65178AF3" w14:textId="30138D78" w:rsidR="00E356F4" w:rsidRPr="00B529EB" w:rsidRDefault="00E356F4" w:rsidP="00B15CC5">
      <w:pPr>
        <w:spacing w:after="0" w:line="360" w:lineRule="auto"/>
        <w:jc w:val="center"/>
        <w:rPr>
          <w:rFonts w:ascii="Arabic Transparent" w:hAnsi="Arabic Transparent" w:cs="Arabic Transparent"/>
          <w:b/>
          <w:bCs/>
          <w:sz w:val="32"/>
          <w:szCs w:val="32"/>
          <w:rtl/>
          <w:lang w:bidi="ar-JO"/>
        </w:rPr>
      </w:pPr>
      <w:r w:rsidRPr="00B529EB">
        <w:rPr>
          <w:rFonts w:ascii="Arabic Transparent" w:hAnsi="Arabic Transparent" w:cs="Arabic Transparent" w:hint="cs"/>
          <w:b/>
          <w:bCs/>
          <w:sz w:val="32"/>
          <w:szCs w:val="32"/>
          <w:rtl/>
          <w:lang w:bidi="ar-JO"/>
        </w:rPr>
        <w:t xml:space="preserve"> تحقيق المناط</w:t>
      </w:r>
      <w:r w:rsidR="009C1941" w:rsidRPr="00B529EB">
        <w:rPr>
          <w:rFonts w:ascii="Arabic Transparent" w:hAnsi="Arabic Transparent" w:cs="Arabic Transparent" w:hint="cs"/>
          <w:b/>
          <w:bCs/>
          <w:sz w:val="32"/>
          <w:szCs w:val="32"/>
          <w:rtl/>
          <w:lang w:bidi="ar-JO"/>
        </w:rPr>
        <w:t xml:space="preserve"> الخاص موقعه ومجالاته </w:t>
      </w:r>
      <w:r w:rsidR="009C1941" w:rsidRPr="00B529EB">
        <w:rPr>
          <w:rFonts w:ascii="Arabic Transparent" w:hAnsi="Arabic Transparent" w:cs="Arabic Transparent"/>
          <w:b/>
          <w:bCs/>
          <w:sz w:val="32"/>
          <w:szCs w:val="32"/>
          <w:rtl/>
          <w:lang w:bidi="ar-JO"/>
        </w:rPr>
        <w:t>وضوابطه</w:t>
      </w:r>
    </w:p>
    <w:p w14:paraId="533A6943" w14:textId="356C1239" w:rsidR="007311E6" w:rsidRPr="00B529EB" w:rsidRDefault="007311E6" w:rsidP="00B15CC5">
      <w:pPr>
        <w:spacing w:after="0" w:line="360" w:lineRule="auto"/>
        <w:rPr>
          <w:rFonts w:ascii="Arabic Transparent" w:hAnsi="Arabic Transparent" w:cs="Arabic Transparent"/>
          <w:b/>
          <w:bCs/>
          <w:sz w:val="32"/>
          <w:szCs w:val="32"/>
          <w:rtl/>
          <w:lang w:bidi="ar-JO"/>
        </w:rPr>
      </w:pPr>
      <w:r w:rsidRPr="00B529EB">
        <w:rPr>
          <w:rFonts w:ascii="Arabic Transparent" w:hAnsi="Arabic Transparent" w:cs="Arabic Transparent" w:hint="cs"/>
          <w:b/>
          <w:bCs/>
          <w:sz w:val="32"/>
          <w:szCs w:val="32"/>
          <w:rtl/>
          <w:lang w:bidi="ar-JO"/>
        </w:rPr>
        <w:t xml:space="preserve">المطلب الأول: </w:t>
      </w:r>
      <w:r w:rsidR="009C1941" w:rsidRPr="00B529EB">
        <w:rPr>
          <w:rFonts w:ascii="Arabic Transparent" w:hAnsi="Arabic Transparent" w:cs="Arabic Transparent" w:hint="cs"/>
          <w:b/>
          <w:bCs/>
          <w:sz w:val="32"/>
          <w:szCs w:val="32"/>
          <w:rtl/>
        </w:rPr>
        <w:t xml:space="preserve">موقع تحقيق المناط الخاص من الاجتهاد </w:t>
      </w:r>
    </w:p>
    <w:p w14:paraId="67C8506F" w14:textId="4BE16FFE" w:rsidR="002A1586" w:rsidRPr="00B529EB" w:rsidRDefault="005D7B91" w:rsidP="00476F10">
      <w:pPr>
        <w:spacing w:after="0" w:line="360" w:lineRule="auto"/>
        <w:jc w:val="both"/>
        <w:rPr>
          <w:rFonts w:ascii="Arabic Transparent" w:hAnsi="Arabic Transparent" w:cs="Arabic Transparent"/>
          <w:sz w:val="28"/>
          <w:szCs w:val="28"/>
          <w:rtl/>
          <w:lang w:val="en-AE" w:bidi="ar-JO"/>
        </w:rPr>
      </w:pPr>
      <w:r>
        <w:rPr>
          <w:rFonts w:ascii="Arabic Transparent" w:hAnsi="Arabic Transparent" w:cs="Arabic Transparent" w:hint="cs"/>
          <w:sz w:val="28"/>
          <w:szCs w:val="28"/>
          <w:rtl/>
          <w:lang w:val="en-AE" w:bidi="ar-JO"/>
        </w:rPr>
        <w:t xml:space="preserve">     </w:t>
      </w:r>
      <w:r w:rsidR="009911A3">
        <w:rPr>
          <w:rFonts w:ascii="Arabic Transparent" w:hAnsi="Arabic Transparent" w:cs="Arabic Transparent" w:hint="cs"/>
          <w:sz w:val="28"/>
          <w:szCs w:val="28"/>
          <w:rtl/>
          <w:lang w:val="en-AE" w:bidi="ar-JO"/>
        </w:rPr>
        <w:t>لابد من بيان م</w:t>
      </w:r>
      <w:r w:rsidR="00FB2100" w:rsidRPr="00B529EB">
        <w:rPr>
          <w:rFonts w:ascii="Arabic Transparent" w:hAnsi="Arabic Transparent" w:cs="Arabic Transparent" w:hint="cs"/>
          <w:sz w:val="28"/>
          <w:szCs w:val="28"/>
          <w:rtl/>
          <w:lang w:val="en-AE" w:bidi="ar-JO"/>
        </w:rPr>
        <w:t>راحل الاجتهاد بالنازلة</w:t>
      </w:r>
      <w:r w:rsidR="009150C6" w:rsidRPr="00B529EB">
        <w:rPr>
          <w:rFonts w:ascii="Arabic Transparent" w:hAnsi="Arabic Transparent" w:cs="Arabic Transparent" w:hint="cs"/>
          <w:sz w:val="28"/>
          <w:szCs w:val="28"/>
          <w:vertAlign w:val="superscript"/>
          <w:rtl/>
          <w:lang w:val="en-AE" w:bidi="ar-JO"/>
        </w:rPr>
        <w:t>(</w:t>
      </w:r>
      <w:r w:rsidR="009150C6" w:rsidRPr="00B529EB">
        <w:rPr>
          <w:rStyle w:val="FootnoteReference"/>
          <w:rFonts w:ascii="Arabic Transparent" w:hAnsi="Arabic Transparent" w:cs="Arabic Transparent" w:hint="cs"/>
          <w:sz w:val="28"/>
          <w:szCs w:val="28"/>
          <w:rtl/>
          <w:lang w:val="en-AE" w:bidi="ar-JO"/>
        </w:rPr>
        <w:footnoteReference w:id="125"/>
      </w:r>
      <w:r w:rsidR="009150C6" w:rsidRPr="00B529EB">
        <w:rPr>
          <w:rFonts w:ascii="Arabic Transparent" w:hAnsi="Arabic Transparent" w:cs="Arabic Transparent" w:hint="cs"/>
          <w:sz w:val="28"/>
          <w:szCs w:val="28"/>
          <w:vertAlign w:val="superscript"/>
          <w:rtl/>
          <w:lang w:val="en-AE" w:bidi="ar-JO"/>
        </w:rPr>
        <w:t>)</w:t>
      </w:r>
      <w:r w:rsidR="00FB2100" w:rsidRPr="00B529EB">
        <w:rPr>
          <w:rFonts w:ascii="Arabic Transparent" w:hAnsi="Arabic Transparent" w:cs="Arabic Transparent" w:hint="cs"/>
          <w:sz w:val="28"/>
          <w:szCs w:val="28"/>
          <w:rtl/>
          <w:lang w:val="en-AE" w:bidi="ar-JO"/>
        </w:rPr>
        <w:t xml:space="preserve"> المعاصرة </w:t>
      </w:r>
      <w:r w:rsidR="008667A3">
        <w:rPr>
          <w:rFonts w:ascii="Arabic Transparent" w:hAnsi="Arabic Transparent" w:cs="Arabic Transparent" w:hint="cs"/>
          <w:sz w:val="28"/>
          <w:szCs w:val="28"/>
          <w:rtl/>
          <w:lang w:val="en-AE" w:bidi="ar-JO"/>
        </w:rPr>
        <w:t>ل</w:t>
      </w:r>
      <w:r w:rsidR="00FB2100" w:rsidRPr="00B529EB">
        <w:rPr>
          <w:rFonts w:ascii="Arabic Transparent" w:hAnsi="Arabic Transparent" w:cs="Arabic Transparent" w:hint="cs"/>
          <w:sz w:val="28"/>
          <w:szCs w:val="28"/>
          <w:rtl/>
          <w:lang w:val="en-AE" w:bidi="ar-JO"/>
        </w:rPr>
        <w:t>تحديد موقع تحقيق المناط الخاص</w:t>
      </w:r>
      <w:r w:rsidR="008667A3">
        <w:rPr>
          <w:rFonts w:ascii="Arabic Transparent" w:hAnsi="Arabic Transparent" w:cs="Arabic Transparent" w:hint="cs"/>
          <w:sz w:val="28"/>
          <w:szCs w:val="28"/>
          <w:rtl/>
          <w:lang w:val="en-AE" w:bidi="ar-JO"/>
        </w:rPr>
        <w:t>،</w:t>
      </w:r>
      <w:r w:rsidR="00FB2100" w:rsidRPr="00B529EB">
        <w:rPr>
          <w:rFonts w:ascii="Arabic Transparent" w:hAnsi="Arabic Transparent" w:cs="Arabic Transparent" w:hint="cs"/>
          <w:sz w:val="28"/>
          <w:szCs w:val="28"/>
          <w:rtl/>
          <w:lang w:val="en-AE" w:bidi="ar-JO"/>
        </w:rPr>
        <w:t xml:space="preserve"> وعلاقته بالمراحل الأخرى</w:t>
      </w:r>
      <w:r w:rsidR="008667A3">
        <w:rPr>
          <w:rFonts w:ascii="Arabic Transparent" w:hAnsi="Arabic Transparent" w:cs="Arabic Transparent" w:hint="cs"/>
          <w:sz w:val="28"/>
          <w:szCs w:val="28"/>
          <w:rtl/>
          <w:lang w:val="en-AE" w:bidi="ar-JO"/>
        </w:rPr>
        <w:t>،</w:t>
      </w:r>
      <w:r w:rsidR="00FB2100" w:rsidRPr="00B529EB">
        <w:rPr>
          <w:rFonts w:ascii="Arabic Transparent" w:hAnsi="Arabic Transparent" w:cs="Arabic Transparent" w:hint="cs"/>
          <w:sz w:val="28"/>
          <w:szCs w:val="28"/>
          <w:rtl/>
          <w:lang w:val="en-AE" w:bidi="ar-JO"/>
        </w:rPr>
        <w:t xml:space="preserve"> </w:t>
      </w:r>
      <w:r w:rsidR="00476F10" w:rsidRPr="00B529EB">
        <w:rPr>
          <w:rFonts w:ascii="Arabic Transparent" w:hAnsi="Arabic Transparent" w:cs="Arabic Transparent" w:hint="cs"/>
          <w:sz w:val="28"/>
          <w:szCs w:val="28"/>
          <w:rtl/>
          <w:lang w:val="en-AE" w:bidi="ar-JO"/>
        </w:rPr>
        <w:t xml:space="preserve">حيث يتوجب على المجتهد أن يتدرج في مراحل الاجتهاد بدايةً من التصور، </w:t>
      </w:r>
      <w:r w:rsidR="00D32288">
        <w:rPr>
          <w:rFonts w:ascii="Arabic Transparent" w:hAnsi="Arabic Transparent" w:cs="Arabic Transparent" w:hint="cs"/>
          <w:sz w:val="28"/>
          <w:szCs w:val="28"/>
          <w:rtl/>
          <w:lang w:val="en-AE" w:bidi="ar-JO"/>
        </w:rPr>
        <w:t>و</w:t>
      </w:r>
      <w:r w:rsidR="00476F10" w:rsidRPr="00B529EB">
        <w:rPr>
          <w:rFonts w:ascii="Arabic Transparent" w:hAnsi="Arabic Transparent" w:cs="Arabic Transparent" w:hint="cs"/>
          <w:sz w:val="28"/>
          <w:szCs w:val="28"/>
          <w:rtl/>
          <w:lang w:val="en-AE" w:bidi="ar-JO"/>
        </w:rPr>
        <w:t>التكييف، والتطبيق</w:t>
      </w:r>
      <w:r w:rsidR="00476F10" w:rsidRPr="00B529EB">
        <w:rPr>
          <w:rFonts w:ascii="Arabic Transparent" w:hAnsi="Arabic Transparent" w:cs="Arabic Transparent" w:hint="cs"/>
          <w:sz w:val="28"/>
          <w:szCs w:val="28"/>
          <w:vertAlign w:val="superscript"/>
          <w:rtl/>
          <w:lang w:val="en-AE" w:bidi="ar-JO"/>
        </w:rPr>
        <w:t>(</w:t>
      </w:r>
      <w:r w:rsidR="00476F10" w:rsidRPr="00B529EB">
        <w:rPr>
          <w:rStyle w:val="FootnoteReference"/>
          <w:rFonts w:ascii="Arabic Transparent" w:hAnsi="Arabic Transparent" w:cs="Arabic Transparent" w:hint="cs"/>
          <w:sz w:val="28"/>
          <w:szCs w:val="28"/>
          <w:rtl/>
          <w:lang w:val="en-AE" w:bidi="ar-JO"/>
        </w:rPr>
        <w:footnoteReference w:id="126"/>
      </w:r>
      <w:r w:rsidR="00476F10" w:rsidRPr="00B529EB">
        <w:rPr>
          <w:rFonts w:ascii="Arabic Transparent" w:hAnsi="Arabic Transparent" w:cs="Arabic Transparent" w:hint="cs"/>
          <w:sz w:val="28"/>
          <w:szCs w:val="28"/>
          <w:vertAlign w:val="superscript"/>
          <w:rtl/>
          <w:lang w:val="en-AE" w:bidi="ar-JO"/>
        </w:rPr>
        <w:t>)</w:t>
      </w:r>
      <w:r w:rsidR="00476F10" w:rsidRPr="00B529EB">
        <w:rPr>
          <w:rFonts w:ascii="Arabic Transparent" w:hAnsi="Arabic Transparent" w:cs="Arabic Transparent" w:hint="cs"/>
          <w:sz w:val="28"/>
          <w:szCs w:val="28"/>
          <w:rtl/>
          <w:lang w:val="en-AE" w:bidi="ar-JO"/>
        </w:rPr>
        <w:t>، وهي المراحل والخطوات المتتالية التي تمكن المجتهد من الوصول إلى الحكم الشرعي للنوازل الفقهية المختلفة</w:t>
      </w:r>
      <w:r w:rsidR="001A596B">
        <w:rPr>
          <w:rFonts w:ascii="Arabic Transparent" w:hAnsi="Arabic Transparent" w:cs="Arabic Transparent" w:hint="cs"/>
          <w:sz w:val="28"/>
          <w:szCs w:val="28"/>
          <w:rtl/>
          <w:lang w:val="en-AE" w:bidi="ar-JO"/>
        </w:rPr>
        <w:t>.</w:t>
      </w:r>
    </w:p>
    <w:p w14:paraId="594F3F18" w14:textId="5BCA642C" w:rsidR="006544A1" w:rsidRPr="00D32288" w:rsidRDefault="008770F2" w:rsidP="002A1586">
      <w:pPr>
        <w:spacing w:after="0" w:line="360" w:lineRule="auto"/>
        <w:jc w:val="both"/>
        <w:rPr>
          <w:rFonts w:ascii="Arabic Transparent" w:hAnsi="Arabic Transparent" w:cs="Arabic Transparent"/>
          <w:b/>
          <w:bCs/>
          <w:sz w:val="28"/>
          <w:szCs w:val="28"/>
          <w:rtl/>
          <w:lang w:val="en-AE" w:bidi="ar-JO"/>
        </w:rPr>
      </w:pPr>
      <w:r>
        <w:rPr>
          <w:rFonts w:ascii="Arabic Transparent" w:hAnsi="Arabic Transparent" w:cs="Arabic Transparent" w:hint="cs"/>
          <w:b/>
          <w:bCs/>
          <w:sz w:val="28"/>
          <w:szCs w:val="28"/>
          <w:rtl/>
          <w:lang w:val="en-AE" w:bidi="ar-JO"/>
        </w:rPr>
        <w:t>الفرع الأول</w:t>
      </w:r>
      <w:r w:rsidR="005D7B91">
        <w:rPr>
          <w:rFonts w:ascii="Arabic Transparent" w:hAnsi="Arabic Transparent" w:cs="Arabic Transparent" w:hint="cs"/>
          <w:b/>
          <w:bCs/>
          <w:sz w:val="28"/>
          <w:szCs w:val="28"/>
          <w:rtl/>
          <w:lang w:val="en-AE" w:bidi="ar-JO"/>
        </w:rPr>
        <w:t xml:space="preserve">: </w:t>
      </w:r>
      <w:r w:rsidR="005E1818" w:rsidRPr="00D32288">
        <w:rPr>
          <w:rFonts w:ascii="Arabic Transparent" w:hAnsi="Arabic Transparent" w:cs="Arabic Transparent" w:hint="cs"/>
          <w:b/>
          <w:bCs/>
          <w:sz w:val="28"/>
          <w:szCs w:val="28"/>
          <w:rtl/>
          <w:lang w:val="en-AE" w:bidi="ar-JO"/>
        </w:rPr>
        <w:t>التصور</w:t>
      </w:r>
      <w:r w:rsidR="006544A1" w:rsidRPr="00D32288">
        <w:rPr>
          <w:rFonts w:ascii="Arabic Transparent" w:hAnsi="Arabic Transparent" w:cs="Arabic Transparent" w:hint="cs"/>
          <w:b/>
          <w:bCs/>
          <w:sz w:val="28"/>
          <w:szCs w:val="28"/>
          <w:rtl/>
          <w:lang w:val="en-AE" w:bidi="ar-JO"/>
        </w:rPr>
        <w:t xml:space="preserve"> </w:t>
      </w:r>
    </w:p>
    <w:p w14:paraId="366FA8D5" w14:textId="77777777" w:rsidR="008C71CD" w:rsidRPr="009F1455" w:rsidRDefault="005E1818" w:rsidP="750C10A0">
      <w:pPr>
        <w:spacing w:after="0" w:line="360" w:lineRule="auto"/>
        <w:jc w:val="both"/>
        <w:rPr>
          <w:rFonts w:ascii="Arabic Transparent" w:hAnsi="Arabic Transparent" w:cs="Arabic Transparent"/>
          <w:sz w:val="28"/>
          <w:szCs w:val="28"/>
          <w:rtl/>
          <w:lang w:bidi="ar-JO"/>
        </w:rPr>
      </w:pPr>
      <w:r w:rsidRPr="750C10A0">
        <w:rPr>
          <w:rFonts w:ascii="Arabic Transparent" w:hAnsi="Arabic Transparent" w:cs="Arabic Transparent"/>
          <w:sz w:val="28"/>
          <w:szCs w:val="28"/>
          <w:lang w:bidi="ar-JO"/>
        </w:rPr>
        <w:t xml:space="preserve">1- </w:t>
      </w:r>
      <w:r w:rsidRPr="750C10A0">
        <w:rPr>
          <w:rFonts w:ascii="Arabic Transparent" w:hAnsi="Arabic Transparent" w:cs="Arabic Transparent"/>
          <w:sz w:val="28"/>
          <w:szCs w:val="28"/>
          <w:rtl/>
          <w:lang w:bidi="ar-JO"/>
        </w:rPr>
        <w:t>التصور لغة</w:t>
      </w:r>
      <w:r w:rsidRPr="750C10A0">
        <w:rPr>
          <w:rFonts w:ascii="Arabic Transparent" w:hAnsi="Arabic Transparent" w:cs="Arabic Transparent"/>
          <w:sz w:val="28"/>
          <w:szCs w:val="28"/>
          <w:lang w:bidi="ar-JO"/>
        </w:rPr>
        <w:t>:</w:t>
      </w:r>
    </w:p>
    <w:p w14:paraId="0B02379F" w14:textId="7633B54A" w:rsidR="005E1818" w:rsidRPr="00B529EB" w:rsidRDefault="005D7B91" w:rsidP="009F1455">
      <w:pPr>
        <w:spacing w:after="0" w:line="312" w:lineRule="auto"/>
        <w:jc w:val="both"/>
        <w:rPr>
          <w:rFonts w:ascii="Arabic Transparent" w:hAnsi="Arabic Transparent" w:cs="Arabic Transparent"/>
          <w:sz w:val="28"/>
          <w:szCs w:val="28"/>
          <w:rtl/>
          <w:lang w:val="en-AE" w:bidi="ar-JO"/>
        </w:rPr>
      </w:pPr>
      <w:r>
        <w:rPr>
          <w:rFonts w:ascii="Arabic Transparent" w:hAnsi="Arabic Transparent" w:cs="Arabic Transparent" w:hint="cs"/>
          <w:sz w:val="28"/>
          <w:szCs w:val="28"/>
          <w:rtl/>
          <w:lang w:val="en-AE" w:bidi="ar-JO"/>
        </w:rPr>
        <w:t xml:space="preserve">     </w:t>
      </w:r>
      <w:r w:rsidR="006A1105">
        <w:rPr>
          <w:rFonts w:ascii="Arabic Transparent" w:hAnsi="Arabic Transparent" w:cs="Arabic Transparent" w:hint="cs"/>
          <w:sz w:val="28"/>
          <w:szCs w:val="28"/>
          <w:rtl/>
          <w:lang w:val="en-AE" w:bidi="ar-JO"/>
        </w:rPr>
        <w:t xml:space="preserve"> </w:t>
      </w:r>
      <w:r w:rsidR="007476DB">
        <w:rPr>
          <w:rFonts w:ascii="Arabic Transparent" w:hAnsi="Arabic Transparent" w:cs="Arabic Transparent" w:hint="cs"/>
          <w:sz w:val="28"/>
          <w:szCs w:val="28"/>
          <w:rtl/>
          <w:lang w:val="en-AE" w:bidi="ar-JO"/>
        </w:rPr>
        <w:t>"</w:t>
      </w:r>
      <w:r w:rsidR="00F0147F" w:rsidRPr="00827CC8">
        <w:rPr>
          <w:rFonts w:ascii="Arabic Transparent" w:hAnsi="Arabic Transparent" w:cs="Arabic Transparent" w:hint="cs"/>
          <w:sz w:val="28"/>
          <w:szCs w:val="28"/>
          <w:rtl/>
          <w:lang w:val="en-AE" w:bidi="ar-JO"/>
        </w:rPr>
        <w:t>التصور مصدر صوّر، والاسم منه صورة، وهي الشكل،</w:t>
      </w:r>
      <w:r w:rsidR="007040EB" w:rsidRPr="00827CC8">
        <w:rPr>
          <w:rFonts w:ascii="Arabic Transparent" w:hAnsi="Arabic Transparent" w:cs="Arabic Transparent" w:hint="cs"/>
          <w:sz w:val="28"/>
          <w:szCs w:val="28"/>
          <w:rtl/>
          <w:lang w:val="en-AE" w:bidi="ar-JO"/>
        </w:rPr>
        <w:t xml:space="preserve"> </w:t>
      </w:r>
      <w:r w:rsidR="00FD0009" w:rsidRPr="00827CC8">
        <w:rPr>
          <w:rFonts w:ascii="Arabic Transparent" w:hAnsi="Arabic Transparent" w:cs="Arabic Transparent" w:hint="cs"/>
          <w:sz w:val="28"/>
          <w:szCs w:val="28"/>
          <w:rtl/>
          <w:lang w:val="en-AE" w:bidi="ar-JO"/>
        </w:rPr>
        <w:t>كما</w:t>
      </w:r>
      <w:r w:rsidR="00F0147F" w:rsidRPr="00827CC8">
        <w:rPr>
          <w:rFonts w:ascii="Arabic Transparent" w:hAnsi="Arabic Transparent" w:cs="Arabic Transparent" w:hint="cs"/>
          <w:sz w:val="28"/>
          <w:szCs w:val="28"/>
          <w:rtl/>
          <w:lang w:val="en-AE" w:bidi="ar-JO"/>
        </w:rPr>
        <w:t xml:space="preserve"> قال تعالى </w:t>
      </w:r>
      <w:r w:rsidR="007040EB" w:rsidRPr="00827CC8">
        <w:rPr>
          <w:rFonts w:ascii="KFGQPC HAFS Uthmanic Script" w:hAnsi="Times New Roman" w:cs="KFGQPC HAFS Uthmanic Script" w:hint="cs"/>
          <w:color w:val="000000"/>
          <w:sz w:val="28"/>
          <w:szCs w:val="28"/>
          <w:rtl/>
        </w:rPr>
        <w:t>ﵟ فِيٓ أَيِّ صُورَةٖ مَّا شَآءَ رَكَّبَكَ ٨ﵞ</w:t>
      </w:r>
      <w:r w:rsidR="007040EB" w:rsidRPr="00827CC8">
        <w:rPr>
          <w:rFonts w:ascii="KFGQPC HAFS Uthmanic Script" w:hAnsi="Times New Roman" w:cs="KFGQPC HAFS Uthmanic Script"/>
          <w:color w:val="000000"/>
          <w:sz w:val="28"/>
          <w:szCs w:val="28"/>
          <w:rtl/>
        </w:rPr>
        <w:t xml:space="preserve"> </w:t>
      </w:r>
      <w:r w:rsidR="007040EB" w:rsidRPr="00827CC8">
        <w:rPr>
          <w:rFonts w:ascii="KFGQPC HAFS Uthmanic Script" w:hAnsi="Times New Roman" w:cs="KFGQPC HAFS Uthmanic Script" w:hint="cs"/>
          <w:color w:val="000000"/>
          <w:sz w:val="28"/>
          <w:szCs w:val="28"/>
          <w:rtl/>
        </w:rPr>
        <w:t>ﵝالانفِطَار:ﵘﵜ</w:t>
      </w:r>
      <w:r w:rsidR="000F026C">
        <w:rPr>
          <w:rFonts w:ascii="Arabic Transparent" w:hAnsi="Arabic Transparent" w:cs="Arabic Transparent" w:hint="cs"/>
          <w:sz w:val="28"/>
          <w:szCs w:val="28"/>
          <w:rtl/>
          <w:lang w:val="en-AE" w:bidi="ar-JO"/>
        </w:rPr>
        <w:t xml:space="preserve">، </w:t>
      </w:r>
      <w:r w:rsidR="00580178" w:rsidRPr="00B529EB">
        <w:rPr>
          <w:rFonts w:ascii="Arabic Transparent" w:hAnsi="Arabic Transparent" w:cs="Arabic Transparent" w:hint="cs"/>
          <w:sz w:val="28"/>
          <w:szCs w:val="28"/>
          <w:rtl/>
          <w:lang w:val="en-AE" w:bidi="ar-JO"/>
        </w:rPr>
        <w:t xml:space="preserve">ويقال: </w:t>
      </w:r>
      <w:r w:rsidR="005E1818" w:rsidRPr="00B529EB">
        <w:rPr>
          <w:rFonts w:ascii="Arabic Transparent" w:hAnsi="Arabic Transparent" w:cs="Arabic Transparent" w:hint="cs"/>
          <w:sz w:val="28"/>
          <w:szCs w:val="28"/>
          <w:rtl/>
          <w:lang w:val="en-AE" w:bidi="ar-JO"/>
        </w:rPr>
        <w:t>تكونت لَهُ صُورَة وشكل وَالشَّيء تخيله واستحضر صورته فِي ذهنه واستحضر الخيال فيه</w:t>
      </w:r>
      <w:r w:rsidR="00A13B75" w:rsidRPr="00A13B75">
        <w:rPr>
          <w:rFonts w:ascii="Arabic Transparent" w:hAnsi="Arabic Transparent" w:cs="Arabic Transparent" w:hint="cs"/>
          <w:sz w:val="28"/>
          <w:szCs w:val="28"/>
          <w:rtl/>
          <w:lang w:val="en-AE" w:bidi="ar-JO"/>
        </w:rPr>
        <w:t>"</w:t>
      </w:r>
      <w:r w:rsidR="005E1818" w:rsidRPr="00B529EB">
        <w:rPr>
          <w:rFonts w:ascii="Arabic Transparent" w:hAnsi="Arabic Transparent" w:cs="Arabic Transparent" w:hint="cs"/>
          <w:sz w:val="28"/>
          <w:szCs w:val="28"/>
          <w:vertAlign w:val="superscript"/>
          <w:rtl/>
          <w:lang w:val="en-AE" w:bidi="ar-JO"/>
        </w:rPr>
        <w:t>(</w:t>
      </w:r>
      <w:r w:rsidR="005E1818" w:rsidRPr="00B529EB">
        <w:rPr>
          <w:rStyle w:val="FootnoteReference"/>
          <w:rFonts w:ascii="Arabic Transparent" w:hAnsi="Arabic Transparent" w:cs="Arabic Transparent" w:hint="cs"/>
          <w:sz w:val="28"/>
          <w:szCs w:val="28"/>
          <w:rtl/>
          <w:lang w:val="en-AE" w:bidi="ar-JO"/>
        </w:rPr>
        <w:footnoteReference w:id="127"/>
      </w:r>
      <w:r w:rsidR="005E1818" w:rsidRPr="00B529EB">
        <w:rPr>
          <w:rFonts w:ascii="Arabic Transparent" w:hAnsi="Arabic Transparent" w:cs="Arabic Transparent" w:hint="cs"/>
          <w:sz w:val="28"/>
          <w:szCs w:val="28"/>
          <w:vertAlign w:val="superscript"/>
          <w:rtl/>
          <w:lang w:val="en-AE" w:bidi="ar-JO"/>
        </w:rPr>
        <w:t>)</w:t>
      </w:r>
      <w:r w:rsidR="000E1385">
        <w:rPr>
          <w:rFonts w:ascii="Arabic Transparent" w:hAnsi="Arabic Transparent" w:cs="Arabic Transparent" w:hint="cs"/>
          <w:sz w:val="28"/>
          <w:szCs w:val="28"/>
          <w:rtl/>
          <w:lang w:val="en-AE" w:bidi="ar-JO"/>
        </w:rPr>
        <w:t>.</w:t>
      </w:r>
    </w:p>
    <w:p w14:paraId="20477D30" w14:textId="77777777" w:rsidR="008C71CD" w:rsidRPr="009F1455" w:rsidRDefault="005E1818" w:rsidP="750C10A0">
      <w:pPr>
        <w:spacing w:after="0" w:line="360" w:lineRule="auto"/>
        <w:jc w:val="both"/>
        <w:rPr>
          <w:rFonts w:ascii="Arabic Transparent" w:hAnsi="Arabic Transparent" w:cs="Arabic Transparent"/>
          <w:sz w:val="28"/>
          <w:szCs w:val="28"/>
          <w:rtl/>
          <w:lang w:bidi="ar-JO"/>
        </w:rPr>
      </w:pPr>
      <w:r w:rsidRPr="750C10A0">
        <w:rPr>
          <w:rFonts w:ascii="Arabic Transparent" w:hAnsi="Arabic Transparent" w:cs="Arabic Transparent"/>
          <w:sz w:val="28"/>
          <w:szCs w:val="28"/>
          <w:lang w:bidi="ar-JO"/>
        </w:rPr>
        <w:t xml:space="preserve">2- </w:t>
      </w:r>
      <w:r w:rsidRPr="750C10A0">
        <w:rPr>
          <w:rFonts w:ascii="Arabic Transparent" w:hAnsi="Arabic Transparent" w:cs="Arabic Transparent"/>
          <w:sz w:val="28"/>
          <w:szCs w:val="28"/>
          <w:rtl/>
          <w:lang w:bidi="ar-JO"/>
        </w:rPr>
        <w:t>التصور اصطلاحاً</w:t>
      </w:r>
      <w:r w:rsidRPr="750C10A0">
        <w:rPr>
          <w:rFonts w:ascii="Arabic Transparent" w:hAnsi="Arabic Transparent" w:cs="Arabic Transparent"/>
          <w:sz w:val="28"/>
          <w:szCs w:val="28"/>
          <w:lang w:bidi="ar-JO"/>
        </w:rPr>
        <w:t xml:space="preserve">: </w:t>
      </w:r>
    </w:p>
    <w:p w14:paraId="526819F7" w14:textId="77777777" w:rsidR="001D6980" w:rsidRDefault="005E1818" w:rsidP="00AA05F5">
      <w:pPr>
        <w:spacing w:after="0" w:line="360" w:lineRule="auto"/>
        <w:ind w:firstLine="332"/>
        <w:jc w:val="both"/>
        <w:rPr>
          <w:rFonts w:ascii="Arabic Transparent" w:hAnsi="Arabic Transparent" w:cs="Arabic Transparent"/>
          <w:sz w:val="28"/>
          <w:szCs w:val="28"/>
          <w:rtl/>
          <w:lang w:val="en-AE" w:bidi="ar-JO"/>
        </w:rPr>
      </w:pPr>
      <w:r w:rsidRPr="009F1455">
        <w:rPr>
          <w:rFonts w:ascii="Arabic Transparent" w:hAnsi="Arabic Transparent" w:cs="Arabic Transparent" w:hint="cs"/>
          <w:sz w:val="28"/>
          <w:szCs w:val="28"/>
          <w:rtl/>
          <w:lang w:val="en-AE" w:bidi="ar-JO"/>
        </w:rPr>
        <w:t>عر</w:t>
      </w:r>
      <w:r w:rsidR="001A596B" w:rsidRPr="009F1455">
        <w:rPr>
          <w:rFonts w:ascii="Arabic Transparent" w:hAnsi="Arabic Transparent" w:cs="Arabic Transparent" w:hint="cs"/>
          <w:sz w:val="28"/>
          <w:szCs w:val="28"/>
          <w:rtl/>
          <w:lang w:val="en-AE" w:bidi="ar-JO"/>
        </w:rPr>
        <w:t>َّ</w:t>
      </w:r>
      <w:r w:rsidRPr="009F1455">
        <w:rPr>
          <w:rFonts w:ascii="Arabic Transparent" w:hAnsi="Arabic Transparent" w:cs="Arabic Transparent" w:hint="cs"/>
          <w:sz w:val="28"/>
          <w:szCs w:val="28"/>
          <w:rtl/>
          <w:lang w:val="en-AE" w:bidi="ar-JO"/>
        </w:rPr>
        <w:t>فه الجرجاني</w:t>
      </w:r>
      <w:r w:rsidR="001A596B" w:rsidRPr="009F1455">
        <w:rPr>
          <w:rFonts w:ascii="Arabic Transparent" w:hAnsi="Arabic Transparent" w:cs="Arabic Transparent" w:hint="cs"/>
          <w:sz w:val="28"/>
          <w:szCs w:val="28"/>
          <w:rtl/>
          <w:lang w:val="en-AE" w:bidi="ar-JO"/>
        </w:rPr>
        <w:t>،</w:t>
      </w:r>
      <w:r w:rsidRPr="009F1455">
        <w:rPr>
          <w:rFonts w:ascii="Arabic Transparent" w:hAnsi="Arabic Transparent" w:cs="Arabic Transparent" w:hint="cs"/>
          <w:sz w:val="28"/>
          <w:szCs w:val="28"/>
          <w:rtl/>
          <w:lang w:val="en-AE" w:bidi="ar-JO"/>
        </w:rPr>
        <w:t xml:space="preserve"> بأنه:</w:t>
      </w:r>
      <w:r w:rsidR="00151AED" w:rsidRPr="009F1455">
        <w:rPr>
          <w:rFonts w:ascii="Arabic Transparent" w:hAnsi="Arabic Transparent" w:cs="Arabic Transparent" w:hint="cs"/>
          <w:sz w:val="28"/>
          <w:szCs w:val="28"/>
          <w:rtl/>
          <w:lang w:val="en-AE" w:bidi="ar-JO"/>
        </w:rPr>
        <w:t xml:space="preserve"> "</w:t>
      </w:r>
      <w:r w:rsidRPr="009F1455">
        <w:rPr>
          <w:rFonts w:ascii="Arabic Transparent" w:hAnsi="Arabic Transparent" w:cs="Arabic Transparent" w:hint="cs"/>
          <w:sz w:val="28"/>
          <w:szCs w:val="28"/>
          <w:rtl/>
          <w:lang w:val="en-AE" w:bidi="ar-JO"/>
        </w:rPr>
        <w:t xml:space="preserve">حصول صورة الشيء في </w:t>
      </w:r>
      <w:r w:rsidR="00F0147F" w:rsidRPr="009F1455">
        <w:rPr>
          <w:rFonts w:ascii="Arabic Transparent" w:hAnsi="Arabic Transparent" w:cs="Arabic Transparent" w:hint="cs"/>
          <w:sz w:val="28"/>
          <w:szCs w:val="28"/>
          <w:rtl/>
          <w:lang w:val="en-AE" w:bidi="ar-JO"/>
        </w:rPr>
        <w:t>العقل،</w:t>
      </w:r>
      <w:r w:rsidRPr="009F1455">
        <w:rPr>
          <w:rFonts w:ascii="Arabic Transparent" w:hAnsi="Arabic Transparent" w:cs="Arabic Transparent" w:hint="cs"/>
          <w:sz w:val="28"/>
          <w:szCs w:val="28"/>
          <w:rtl/>
          <w:lang w:val="en-AE" w:bidi="ar-JO"/>
        </w:rPr>
        <w:t xml:space="preserve"> وإدراك الماهية من غير أن يحكم عليها بنفي أو إثبات"</w:t>
      </w:r>
      <w:r w:rsidRPr="009F1455">
        <w:rPr>
          <w:rFonts w:ascii="Arabic Transparent" w:hAnsi="Arabic Transparent" w:cs="Arabic Transparent" w:hint="cs"/>
          <w:sz w:val="28"/>
          <w:szCs w:val="28"/>
          <w:vertAlign w:val="superscript"/>
          <w:rtl/>
          <w:lang w:val="en-AE" w:bidi="ar-JO"/>
        </w:rPr>
        <w:t>(</w:t>
      </w:r>
      <w:r w:rsidRPr="009F1455">
        <w:rPr>
          <w:rStyle w:val="FootnoteReference"/>
          <w:rFonts w:ascii="Arabic Transparent" w:hAnsi="Arabic Transparent" w:cs="Arabic Transparent" w:hint="cs"/>
          <w:sz w:val="28"/>
          <w:szCs w:val="28"/>
          <w:rtl/>
          <w:lang w:val="en-AE" w:bidi="ar-JO"/>
        </w:rPr>
        <w:footnoteReference w:id="128"/>
      </w:r>
      <w:r w:rsidRPr="009F1455">
        <w:rPr>
          <w:rFonts w:ascii="Arabic Transparent" w:hAnsi="Arabic Transparent" w:cs="Arabic Transparent" w:hint="cs"/>
          <w:sz w:val="28"/>
          <w:szCs w:val="28"/>
          <w:vertAlign w:val="superscript"/>
          <w:rtl/>
          <w:lang w:val="en-AE" w:bidi="ar-JO"/>
        </w:rPr>
        <w:t>)</w:t>
      </w:r>
      <w:r w:rsidR="00E312F1" w:rsidRPr="009F1455">
        <w:rPr>
          <w:rFonts w:ascii="Arabic Transparent" w:hAnsi="Arabic Transparent" w:cs="Arabic Transparent" w:hint="cs"/>
          <w:sz w:val="28"/>
          <w:szCs w:val="28"/>
          <w:rtl/>
          <w:lang w:val="en-AE" w:bidi="ar-JO"/>
        </w:rPr>
        <w:t>،</w:t>
      </w:r>
      <w:r w:rsidR="00AA05F5" w:rsidRPr="009F1455">
        <w:rPr>
          <w:rFonts w:ascii="Arabic Transparent" w:hAnsi="Arabic Transparent" w:cs="Arabic Transparent" w:hint="cs"/>
          <w:sz w:val="28"/>
          <w:szCs w:val="28"/>
          <w:rtl/>
          <w:lang w:val="en-AE" w:bidi="ar-JO"/>
        </w:rPr>
        <w:t xml:space="preserve"> </w:t>
      </w:r>
      <w:r w:rsidR="008E1822" w:rsidRPr="009F1455">
        <w:rPr>
          <w:rFonts w:ascii="Arabic Transparent" w:hAnsi="Arabic Transparent" w:cs="Arabic Transparent" w:hint="cs"/>
          <w:sz w:val="28"/>
          <w:szCs w:val="28"/>
          <w:rtl/>
          <w:lang w:val="en-AE" w:bidi="ar-JO"/>
        </w:rPr>
        <w:t>فيريد المجتهد من التصور أن يدرك جميع التفاصيل المتعلقة في المسألة</w:t>
      </w:r>
      <w:r w:rsidR="001C2DF2" w:rsidRPr="009F1455">
        <w:rPr>
          <w:rFonts w:ascii="Arabic Transparent" w:hAnsi="Arabic Transparent" w:cs="Arabic Transparent" w:hint="cs"/>
          <w:sz w:val="28"/>
          <w:szCs w:val="28"/>
          <w:rtl/>
          <w:lang w:val="en-AE" w:bidi="ar-JO"/>
        </w:rPr>
        <w:t>؛</w:t>
      </w:r>
      <w:r w:rsidR="008E1822" w:rsidRPr="009F1455">
        <w:rPr>
          <w:rFonts w:ascii="Arabic Transparent" w:hAnsi="Arabic Transparent" w:cs="Arabic Transparent" w:hint="cs"/>
          <w:sz w:val="28"/>
          <w:szCs w:val="28"/>
          <w:rtl/>
          <w:lang w:val="en-AE" w:bidi="ar-JO"/>
        </w:rPr>
        <w:t xml:space="preserve"> لأنه يعلم أن </w:t>
      </w:r>
      <w:r w:rsidR="007476DB" w:rsidRPr="009F1455">
        <w:rPr>
          <w:rFonts w:ascii="Arabic Transparent" w:hAnsi="Arabic Transparent" w:cs="Arabic Transparent" w:hint="cs"/>
          <w:sz w:val="28"/>
          <w:szCs w:val="28"/>
          <w:rtl/>
          <w:lang w:val="en-AE" w:bidi="ar-JO"/>
        </w:rPr>
        <w:t>"</w:t>
      </w:r>
      <w:r w:rsidR="008E1822" w:rsidRPr="009F1455">
        <w:rPr>
          <w:rFonts w:ascii="Arabic Transparent" w:hAnsi="Arabic Transparent" w:cs="Arabic Transparent" w:hint="cs"/>
          <w:sz w:val="28"/>
          <w:szCs w:val="28"/>
          <w:rtl/>
          <w:lang w:val="en-AE" w:bidi="ar-JO"/>
        </w:rPr>
        <w:t>الحكم على الشيء فرعٌ عن تصوره</w:t>
      </w:r>
      <w:r w:rsidR="007476DB" w:rsidRPr="009F1455">
        <w:rPr>
          <w:rFonts w:ascii="Arabic Transparent" w:hAnsi="Arabic Transparent" w:cs="Arabic Transparent" w:hint="cs"/>
          <w:sz w:val="28"/>
          <w:szCs w:val="28"/>
          <w:rtl/>
          <w:lang w:val="en-AE" w:bidi="ar-JO"/>
        </w:rPr>
        <w:t>"</w:t>
      </w:r>
      <w:r w:rsidR="008E1822" w:rsidRPr="009F1455">
        <w:rPr>
          <w:rFonts w:ascii="Arabic Transparent" w:hAnsi="Arabic Transparent" w:cs="Arabic Transparent" w:hint="cs"/>
          <w:sz w:val="28"/>
          <w:szCs w:val="28"/>
          <w:vertAlign w:val="superscript"/>
          <w:rtl/>
          <w:lang w:val="en-AE" w:bidi="ar-JO"/>
        </w:rPr>
        <w:t>(</w:t>
      </w:r>
      <w:r w:rsidR="008E1822" w:rsidRPr="009F1455">
        <w:rPr>
          <w:rStyle w:val="FootnoteReference"/>
          <w:rFonts w:ascii="Arabic Transparent" w:hAnsi="Arabic Transparent" w:cs="Arabic Transparent" w:hint="cs"/>
          <w:sz w:val="28"/>
          <w:szCs w:val="28"/>
          <w:rtl/>
          <w:lang w:val="en-AE" w:bidi="ar-JO"/>
        </w:rPr>
        <w:footnoteReference w:id="129"/>
      </w:r>
      <w:r w:rsidR="008E1822" w:rsidRPr="009F1455">
        <w:rPr>
          <w:rFonts w:ascii="Arabic Transparent" w:hAnsi="Arabic Transparent" w:cs="Arabic Transparent" w:hint="cs"/>
          <w:sz w:val="28"/>
          <w:szCs w:val="28"/>
          <w:vertAlign w:val="superscript"/>
          <w:rtl/>
          <w:lang w:val="en-AE" w:bidi="ar-JO"/>
        </w:rPr>
        <w:t>)</w:t>
      </w:r>
      <w:r w:rsidR="008E1822" w:rsidRPr="009F1455">
        <w:rPr>
          <w:rFonts w:ascii="Arabic Transparent" w:hAnsi="Arabic Transparent" w:cs="Arabic Transparent" w:hint="cs"/>
          <w:sz w:val="28"/>
          <w:szCs w:val="28"/>
          <w:rtl/>
          <w:lang w:val="en-AE" w:bidi="ar-JO"/>
        </w:rPr>
        <w:t xml:space="preserve">، </w:t>
      </w:r>
      <w:r w:rsidR="00DB4037" w:rsidRPr="009F1455">
        <w:rPr>
          <w:rFonts w:ascii="Arabic Transparent" w:hAnsi="Arabic Transparent" w:cs="Arabic Transparent" w:hint="cs"/>
          <w:sz w:val="28"/>
          <w:szCs w:val="28"/>
          <w:rtl/>
          <w:lang w:val="en-AE" w:bidi="ar-JO"/>
        </w:rPr>
        <w:t xml:space="preserve">فعلى المجتهد أن يدرك </w:t>
      </w:r>
      <w:r w:rsidR="00415F66" w:rsidRPr="009F1455">
        <w:rPr>
          <w:rFonts w:ascii="Arabic Transparent" w:hAnsi="Arabic Transparent" w:cs="Arabic Transparent" w:hint="cs"/>
          <w:sz w:val="28"/>
          <w:szCs w:val="28"/>
          <w:rtl/>
          <w:lang w:val="en-AE" w:bidi="ar-JO"/>
        </w:rPr>
        <w:t>المصطلحات العلمية،</w:t>
      </w:r>
    </w:p>
    <w:p w14:paraId="18D415FD" w14:textId="77777777" w:rsidR="001D6980" w:rsidRDefault="001D6980">
      <w:pPr>
        <w:bidi w:val="0"/>
        <w:spacing w:after="0" w:line="240" w:lineRule="auto"/>
        <w:rPr>
          <w:rFonts w:ascii="Arabic Transparent" w:hAnsi="Arabic Transparent" w:cs="Arabic Transparent"/>
          <w:sz w:val="28"/>
          <w:szCs w:val="28"/>
          <w:rtl/>
          <w:lang w:val="en-AE" w:bidi="ar-JO"/>
        </w:rPr>
      </w:pPr>
      <w:r>
        <w:rPr>
          <w:rFonts w:ascii="Arabic Transparent" w:hAnsi="Arabic Transparent" w:cs="Arabic Transparent"/>
          <w:sz w:val="28"/>
          <w:szCs w:val="28"/>
          <w:rtl/>
          <w:lang w:val="en-AE" w:bidi="ar-JO"/>
        </w:rPr>
        <w:br w:type="page"/>
      </w:r>
    </w:p>
    <w:p w14:paraId="0E2F4CA0" w14:textId="7EB8F676" w:rsidR="00DB4037" w:rsidRPr="00B529EB" w:rsidRDefault="00415F66" w:rsidP="001D6980">
      <w:pPr>
        <w:spacing w:after="0" w:line="360" w:lineRule="auto"/>
        <w:ind w:hanging="1"/>
        <w:jc w:val="both"/>
        <w:rPr>
          <w:rFonts w:ascii="Arabic Transparent" w:hAnsi="Arabic Transparent" w:cs="Arabic Transparent"/>
          <w:sz w:val="28"/>
          <w:szCs w:val="28"/>
          <w:rtl/>
          <w:lang w:val="en-AE" w:bidi="ar-JO"/>
        </w:rPr>
      </w:pPr>
      <w:r w:rsidRPr="009F1455">
        <w:rPr>
          <w:rFonts w:ascii="Arabic Transparent" w:hAnsi="Arabic Transparent" w:cs="Arabic Transparent" w:hint="cs"/>
          <w:sz w:val="28"/>
          <w:szCs w:val="28"/>
          <w:rtl/>
          <w:lang w:val="en-AE" w:bidi="ar-JO"/>
        </w:rPr>
        <w:t xml:space="preserve"> وأن يسأل أهل الخبرة</w:t>
      </w:r>
      <w:r w:rsidR="001C2DF2" w:rsidRPr="009F1455">
        <w:rPr>
          <w:rFonts w:ascii="Arabic Transparent" w:hAnsi="Arabic Transparent" w:cs="Arabic Transparent" w:hint="cs"/>
          <w:sz w:val="28"/>
          <w:szCs w:val="28"/>
          <w:rtl/>
          <w:lang w:val="en-AE" w:bidi="ar-JO"/>
        </w:rPr>
        <w:t>،</w:t>
      </w:r>
      <w:r w:rsidRPr="009F1455">
        <w:rPr>
          <w:rFonts w:ascii="Arabic Transparent" w:hAnsi="Arabic Transparent" w:cs="Arabic Transparent" w:hint="cs"/>
          <w:sz w:val="28"/>
          <w:szCs w:val="28"/>
          <w:rtl/>
          <w:lang w:val="en-AE" w:bidi="ar-JO"/>
        </w:rPr>
        <w:t xml:space="preserve"> والاختصاص عن </w:t>
      </w:r>
      <w:r w:rsidR="00DB4037" w:rsidRPr="009F1455">
        <w:rPr>
          <w:rFonts w:ascii="Arabic Transparent" w:hAnsi="Arabic Transparent" w:cs="Arabic Transparent" w:hint="cs"/>
          <w:sz w:val="28"/>
          <w:szCs w:val="28"/>
          <w:rtl/>
          <w:lang w:val="en-AE" w:bidi="ar-JO"/>
        </w:rPr>
        <w:t>الأوصاف</w:t>
      </w:r>
      <w:r w:rsidR="001C2DF2" w:rsidRPr="009F1455">
        <w:rPr>
          <w:rFonts w:ascii="Arabic Transparent" w:hAnsi="Arabic Transparent" w:cs="Arabic Transparent" w:hint="cs"/>
          <w:sz w:val="28"/>
          <w:szCs w:val="28"/>
          <w:rtl/>
          <w:lang w:val="en-AE" w:bidi="ar-JO"/>
        </w:rPr>
        <w:t>،</w:t>
      </w:r>
      <w:r w:rsidR="00DB4037" w:rsidRPr="009F1455">
        <w:rPr>
          <w:rFonts w:ascii="Arabic Transparent" w:hAnsi="Arabic Transparent" w:cs="Arabic Transparent" w:hint="cs"/>
          <w:sz w:val="28"/>
          <w:szCs w:val="28"/>
          <w:rtl/>
          <w:lang w:val="en-AE" w:bidi="ar-JO"/>
        </w:rPr>
        <w:t xml:space="preserve"> والصفات</w:t>
      </w:r>
      <w:r w:rsidR="001C2DF2" w:rsidRPr="009F1455">
        <w:rPr>
          <w:rFonts w:ascii="Arabic Transparent" w:hAnsi="Arabic Transparent" w:cs="Arabic Transparent" w:hint="cs"/>
          <w:sz w:val="28"/>
          <w:szCs w:val="28"/>
          <w:rtl/>
          <w:lang w:val="en-AE" w:bidi="ar-JO"/>
        </w:rPr>
        <w:t>،</w:t>
      </w:r>
      <w:r w:rsidR="00DB4037" w:rsidRPr="009F1455">
        <w:rPr>
          <w:rFonts w:ascii="Arabic Transparent" w:hAnsi="Arabic Transparent" w:cs="Arabic Transparent" w:hint="cs"/>
          <w:sz w:val="28"/>
          <w:szCs w:val="28"/>
          <w:rtl/>
          <w:lang w:val="en-AE" w:bidi="ar-JO"/>
        </w:rPr>
        <w:t xml:space="preserve"> والخصائص</w:t>
      </w:r>
      <w:r w:rsidR="001C2DF2" w:rsidRPr="009F1455">
        <w:rPr>
          <w:rFonts w:ascii="Arabic Transparent" w:hAnsi="Arabic Transparent" w:cs="Arabic Transparent" w:hint="cs"/>
          <w:sz w:val="28"/>
          <w:szCs w:val="28"/>
          <w:rtl/>
          <w:lang w:val="en-AE" w:bidi="ar-JO"/>
        </w:rPr>
        <w:t>،</w:t>
      </w:r>
      <w:r w:rsidR="00DE616C" w:rsidRPr="009F1455">
        <w:rPr>
          <w:rFonts w:ascii="Arabic Transparent" w:hAnsi="Arabic Transparent" w:cs="Arabic Transparent" w:hint="cs"/>
          <w:sz w:val="28"/>
          <w:szCs w:val="28"/>
          <w:rtl/>
          <w:lang w:val="en-AE" w:bidi="ar-JO"/>
        </w:rPr>
        <w:t xml:space="preserve"> والملابسات</w:t>
      </w:r>
      <w:r w:rsidR="00DE616C" w:rsidRPr="00B529EB">
        <w:rPr>
          <w:rFonts w:ascii="Arabic Transparent" w:hAnsi="Arabic Transparent" w:cs="Arabic Transparent" w:hint="cs"/>
          <w:sz w:val="28"/>
          <w:szCs w:val="28"/>
          <w:rtl/>
          <w:lang w:val="en-AE" w:bidi="ar-JO"/>
        </w:rPr>
        <w:t xml:space="preserve"> والظروف المحيطة</w:t>
      </w:r>
      <w:r w:rsidR="001C2DF2">
        <w:rPr>
          <w:rFonts w:ascii="Arabic Transparent" w:hAnsi="Arabic Transparent" w:cs="Arabic Transparent" w:hint="cs"/>
          <w:sz w:val="28"/>
          <w:szCs w:val="28"/>
          <w:rtl/>
          <w:lang w:val="en-AE" w:bidi="ar-JO"/>
        </w:rPr>
        <w:t xml:space="preserve">، </w:t>
      </w:r>
      <w:r w:rsidR="00DE616C" w:rsidRPr="00B529EB">
        <w:rPr>
          <w:rFonts w:ascii="Arabic Transparent" w:hAnsi="Arabic Transparent" w:cs="Arabic Transparent" w:hint="cs"/>
          <w:sz w:val="28"/>
          <w:szCs w:val="28"/>
          <w:rtl/>
          <w:lang w:val="en-AE" w:bidi="ar-JO"/>
        </w:rPr>
        <w:t>وأبعادها وحيثي</w:t>
      </w:r>
      <w:r w:rsidR="001C2DF2">
        <w:rPr>
          <w:rFonts w:ascii="Arabic Transparent" w:hAnsi="Arabic Transparent" w:cs="Arabic Transparent" w:hint="cs"/>
          <w:sz w:val="28"/>
          <w:szCs w:val="28"/>
          <w:rtl/>
          <w:lang w:val="en-AE" w:bidi="ar-JO"/>
        </w:rPr>
        <w:t>ِّ</w:t>
      </w:r>
      <w:r w:rsidR="00DE616C" w:rsidRPr="00B529EB">
        <w:rPr>
          <w:rFonts w:ascii="Arabic Transparent" w:hAnsi="Arabic Transparent" w:cs="Arabic Transparent" w:hint="cs"/>
          <w:sz w:val="28"/>
          <w:szCs w:val="28"/>
          <w:rtl/>
          <w:lang w:val="en-AE" w:bidi="ar-JO"/>
        </w:rPr>
        <w:t xml:space="preserve">اتها وما يقترن بها من أمارات وعلامات تؤثر في حكمها، مما يفضي إلى المعرفة التامة </w:t>
      </w:r>
      <w:r w:rsidR="00805167">
        <w:rPr>
          <w:rFonts w:ascii="Arabic Transparent" w:hAnsi="Arabic Transparent" w:cs="Arabic Transparent" w:hint="cs"/>
          <w:sz w:val="28"/>
          <w:szCs w:val="28"/>
          <w:rtl/>
          <w:lang w:val="en-AE" w:bidi="ar-JO"/>
        </w:rPr>
        <w:t>و</w:t>
      </w:r>
      <w:r w:rsidR="00DE616C" w:rsidRPr="00B529EB">
        <w:rPr>
          <w:rFonts w:ascii="Arabic Transparent" w:hAnsi="Arabic Transparent" w:cs="Arabic Transparent" w:hint="cs"/>
          <w:sz w:val="28"/>
          <w:szCs w:val="28"/>
          <w:rtl/>
          <w:lang w:val="en-AE" w:bidi="ar-JO"/>
        </w:rPr>
        <w:t>الإدراك الشامل والفهم الدقيق لحقيقتها</w:t>
      </w:r>
      <w:r w:rsidR="00DB4037" w:rsidRPr="00B529EB">
        <w:rPr>
          <w:rFonts w:ascii="Arabic Transparent" w:hAnsi="Arabic Transparent" w:cs="Arabic Transparent" w:hint="cs"/>
          <w:sz w:val="28"/>
          <w:szCs w:val="28"/>
          <w:rtl/>
          <w:lang w:val="en-AE" w:bidi="ar-JO"/>
        </w:rPr>
        <w:t xml:space="preserve"> قبل أن يطلق الأحكام</w:t>
      </w:r>
      <w:r w:rsidR="001C2DF2">
        <w:rPr>
          <w:rFonts w:ascii="Arabic Transparent" w:hAnsi="Arabic Transparent" w:cs="Arabic Transparent" w:hint="cs"/>
          <w:sz w:val="28"/>
          <w:szCs w:val="28"/>
          <w:rtl/>
          <w:lang w:val="en-AE" w:bidi="ar-JO"/>
        </w:rPr>
        <w:t>،</w:t>
      </w:r>
      <w:r w:rsidR="00DB4037" w:rsidRPr="00B529EB">
        <w:rPr>
          <w:rFonts w:ascii="Arabic Transparent" w:hAnsi="Arabic Transparent" w:cs="Arabic Transparent" w:hint="cs"/>
          <w:sz w:val="28"/>
          <w:szCs w:val="28"/>
          <w:rtl/>
          <w:lang w:val="en-AE" w:bidi="ar-JO"/>
        </w:rPr>
        <w:t xml:space="preserve"> وهذا يكون في المرحلة الأولى</w:t>
      </w:r>
      <w:r w:rsidR="001C2DF2">
        <w:rPr>
          <w:rFonts w:ascii="Arabic Transparent" w:hAnsi="Arabic Transparent" w:cs="Arabic Transparent" w:hint="cs"/>
          <w:sz w:val="28"/>
          <w:szCs w:val="28"/>
          <w:rtl/>
          <w:lang w:val="en-AE" w:bidi="ar-JO"/>
        </w:rPr>
        <w:t>،</w:t>
      </w:r>
      <w:r w:rsidR="00DB4037" w:rsidRPr="00B529EB">
        <w:rPr>
          <w:rFonts w:ascii="Arabic Transparent" w:hAnsi="Arabic Transparent" w:cs="Arabic Transparent" w:hint="cs"/>
          <w:sz w:val="28"/>
          <w:szCs w:val="28"/>
          <w:rtl/>
          <w:lang w:val="en-AE" w:bidi="ar-JO"/>
        </w:rPr>
        <w:t xml:space="preserve"> فإذا أراد أن يُفتي في </w:t>
      </w:r>
      <w:r w:rsidR="00821FC9" w:rsidRPr="00B529EB">
        <w:rPr>
          <w:rFonts w:ascii="Arabic Transparent" w:hAnsi="Arabic Transparent" w:cs="Arabic Transparent" w:hint="cs"/>
          <w:sz w:val="28"/>
          <w:szCs w:val="28"/>
          <w:rtl/>
          <w:lang w:val="en-AE" w:bidi="ar-JO"/>
        </w:rPr>
        <w:t>عقد جديد عليه أن يدرس التفاصيل في العقود وأن يدرك كن</w:t>
      </w:r>
      <w:r w:rsidR="00545BC7">
        <w:rPr>
          <w:rFonts w:ascii="Arabic Transparent" w:hAnsi="Arabic Transparent" w:cs="Arabic Transparent" w:hint="cs"/>
          <w:sz w:val="28"/>
          <w:szCs w:val="28"/>
          <w:rtl/>
          <w:lang w:val="en-AE" w:bidi="ar-JO"/>
        </w:rPr>
        <w:t>ه</w:t>
      </w:r>
      <w:r w:rsidR="00821FC9" w:rsidRPr="00B529EB">
        <w:rPr>
          <w:rFonts w:ascii="Arabic Transparent" w:hAnsi="Arabic Transparent" w:cs="Arabic Transparent" w:hint="cs"/>
          <w:sz w:val="28"/>
          <w:szCs w:val="28"/>
          <w:rtl/>
          <w:lang w:val="en-AE" w:bidi="ar-JO"/>
        </w:rPr>
        <w:t>ه</w:t>
      </w:r>
      <w:r w:rsidR="00805167">
        <w:rPr>
          <w:rFonts w:ascii="Arabic Transparent" w:hAnsi="Arabic Transparent" w:cs="Arabic Transparent" w:hint="cs"/>
          <w:sz w:val="28"/>
          <w:szCs w:val="28"/>
          <w:rtl/>
          <w:lang w:val="en-AE" w:bidi="ar-JO"/>
        </w:rPr>
        <w:t>ا</w:t>
      </w:r>
      <w:r w:rsidR="00821FC9" w:rsidRPr="00B529EB">
        <w:rPr>
          <w:rFonts w:ascii="Arabic Transparent" w:hAnsi="Arabic Transparent" w:cs="Arabic Transparent" w:hint="cs"/>
          <w:sz w:val="28"/>
          <w:szCs w:val="28"/>
          <w:rtl/>
          <w:lang w:val="en-AE" w:bidi="ar-JO"/>
        </w:rPr>
        <w:t>، لأن المسميات اختلفت وتغيّر معها أوصاف الإباحة والتحريم</w:t>
      </w:r>
      <w:r w:rsidR="001C2DF2">
        <w:rPr>
          <w:rFonts w:ascii="Arabic Transparent" w:hAnsi="Arabic Transparent" w:cs="Arabic Transparent" w:hint="cs"/>
          <w:sz w:val="28"/>
          <w:szCs w:val="28"/>
          <w:rtl/>
          <w:lang w:val="en-AE" w:bidi="ar-JO"/>
        </w:rPr>
        <w:t>،</w:t>
      </w:r>
      <w:r w:rsidR="00444B42" w:rsidRPr="00B529EB">
        <w:rPr>
          <w:rFonts w:ascii="Arabic Transparent" w:hAnsi="Arabic Transparent" w:cs="Arabic Transparent" w:hint="cs"/>
          <w:sz w:val="28"/>
          <w:szCs w:val="28"/>
          <w:rtl/>
          <w:lang w:val="en-AE" w:bidi="ar-JO"/>
        </w:rPr>
        <w:t xml:space="preserve"> وهو الذي عبّر عنه ابن القيم</w:t>
      </w:r>
      <w:r w:rsidR="00D9038F">
        <w:rPr>
          <w:rFonts w:ascii="Arabic Transparent" w:hAnsi="Arabic Transparent" w:cs="Arabic Transparent" w:hint="cs"/>
          <w:sz w:val="28"/>
          <w:szCs w:val="28"/>
          <w:rtl/>
          <w:lang w:val="en-AE" w:bidi="ar-JO"/>
        </w:rPr>
        <w:t>:</w:t>
      </w:r>
      <w:r w:rsidR="00444B42" w:rsidRPr="00B529EB">
        <w:rPr>
          <w:rFonts w:ascii="Arabic Transparent" w:hAnsi="Arabic Transparent" w:cs="Arabic Transparent" w:hint="cs"/>
          <w:sz w:val="28"/>
          <w:szCs w:val="28"/>
          <w:rtl/>
          <w:lang w:val="en-AE" w:bidi="ar-JO"/>
        </w:rPr>
        <w:t xml:space="preserve"> بفهم الواقع</w:t>
      </w:r>
      <w:r w:rsidR="00DE616C" w:rsidRPr="00B529EB">
        <w:rPr>
          <w:rFonts w:ascii="Arabic Transparent" w:hAnsi="Arabic Transparent" w:cs="Arabic Transparent" w:hint="cs"/>
          <w:sz w:val="28"/>
          <w:szCs w:val="28"/>
          <w:rtl/>
          <w:lang w:val="en-AE" w:bidi="ar-JO"/>
        </w:rPr>
        <w:t xml:space="preserve"> وهو أول مرحلة من مراحل الاجتهاد</w:t>
      </w:r>
      <w:r w:rsidR="00444B42" w:rsidRPr="00B529EB">
        <w:rPr>
          <w:rFonts w:ascii="Arabic Transparent" w:hAnsi="Arabic Transparent" w:cs="Arabic Transparent" w:hint="cs"/>
          <w:sz w:val="28"/>
          <w:szCs w:val="28"/>
          <w:vertAlign w:val="superscript"/>
          <w:rtl/>
          <w:lang w:val="en-AE" w:bidi="ar-JO"/>
        </w:rPr>
        <w:t>(</w:t>
      </w:r>
      <w:r w:rsidR="00444B42" w:rsidRPr="00B529EB">
        <w:rPr>
          <w:rStyle w:val="FootnoteReference"/>
          <w:rFonts w:ascii="Arabic Transparent" w:hAnsi="Arabic Transparent" w:cs="Arabic Transparent" w:hint="cs"/>
          <w:sz w:val="28"/>
          <w:szCs w:val="28"/>
          <w:rtl/>
          <w:lang w:val="en-AE" w:bidi="ar-JO"/>
        </w:rPr>
        <w:footnoteReference w:id="130"/>
      </w:r>
      <w:r w:rsidR="00444B42" w:rsidRPr="00B529EB">
        <w:rPr>
          <w:rFonts w:ascii="Arabic Transparent" w:hAnsi="Arabic Transparent" w:cs="Arabic Transparent" w:hint="cs"/>
          <w:sz w:val="28"/>
          <w:szCs w:val="28"/>
          <w:vertAlign w:val="superscript"/>
          <w:rtl/>
          <w:lang w:val="en-AE" w:bidi="ar-JO"/>
        </w:rPr>
        <w:t>)</w:t>
      </w:r>
      <w:r w:rsidR="00DE616C" w:rsidRPr="00B529EB">
        <w:rPr>
          <w:rFonts w:ascii="Arabic Transparent" w:hAnsi="Arabic Transparent" w:cs="Arabic Transparent" w:hint="cs"/>
          <w:sz w:val="28"/>
          <w:szCs w:val="28"/>
          <w:rtl/>
          <w:lang w:val="en-AE" w:bidi="ar-JO"/>
        </w:rPr>
        <w:t>.</w:t>
      </w:r>
    </w:p>
    <w:p w14:paraId="63ECDDFB" w14:textId="51E869F2" w:rsidR="00E312F1" w:rsidRPr="00AA05F5" w:rsidRDefault="00DE616C" w:rsidP="00AA05F5">
      <w:pPr>
        <w:spacing w:after="0" w:line="360" w:lineRule="auto"/>
        <w:ind w:firstLine="332"/>
        <w:jc w:val="both"/>
        <w:rPr>
          <w:rFonts w:ascii="Arabic Transparent" w:hAnsi="Arabic Transparent" w:cs="Arabic Transparent"/>
          <w:sz w:val="28"/>
          <w:szCs w:val="28"/>
          <w:lang w:bidi="ar-JO"/>
        </w:rPr>
      </w:pPr>
      <w:r w:rsidRPr="00B529EB">
        <w:rPr>
          <w:rFonts w:ascii="Arabic Transparent" w:hAnsi="Arabic Transparent" w:cs="Arabic Transparent" w:hint="cs"/>
          <w:sz w:val="28"/>
          <w:szCs w:val="28"/>
          <w:rtl/>
          <w:lang w:val="en-AE" w:bidi="ar-JO"/>
        </w:rPr>
        <w:t>وتتجلى العلاقة بين تصور المسألة</w:t>
      </w:r>
      <w:r w:rsidR="001C2DF2">
        <w:rPr>
          <w:rFonts w:ascii="Arabic Transparent" w:hAnsi="Arabic Transparent" w:cs="Arabic Transparent" w:hint="cs"/>
          <w:sz w:val="28"/>
          <w:szCs w:val="28"/>
          <w:rtl/>
          <w:lang w:val="en-AE" w:bidi="ar-JO"/>
        </w:rPr>
        <w:t>،</w:t>
      </w:r>
      <w:r w:rsidRPr="00B529EB">
        <w:rPr>
          <w:rFonts w:ascii="Arabic Transparent" w:hAnsi="Arabic Transparent" w:cs="Arabic Transparent" w:hint="cs"/>
          <w:sz w:val="28"/>
          <w:szCs w:val="28"/>
          <w:rtl/>
          <w:lang w:val="en-AE" w:bidi="ar-JO"/>
        </w:rPr>
        <w:t xml:space="preserve"> وتحقيق المناط الخاص </w:t>
      </w:r>
      <w:r w:rsidR="00805167">
        <w:rPr>
          <w:rFonts w:ascii="Arabic Transparent" w:hAnsi="Arabic Transparent" w:cs="Arabic Transparent" w:hint="cs"/>
          <w:sz w:val="28"/>
          <w:szCs w:val="28"/>
          <w:rtl/>
          <w:lang w:val="en-AE" w:bidi="ar-JO"/>
        </w:rPr>
        <w:t xml:space="preserve">في </w:t>
      </w:r>
      <w:r w:rsidRPr="00B529EB">
        <w:rPr>
          <w:rFonts w:ascii="Arabic Transparent" w:hAnsi="Arabic Transparent" w:cs="Arabic Transparent" w:hint="cs"/>
          <w:sz w:val="28"/>
          <w:szCs w:val="28"/>
          <w:rtl/>
          <w:lang w:val="en-AE" w:bidi="ar-JO"/>
        </w:rPr>
        <w:t>أنه المقدمة الضرورية له</w:t>
      </w:r>
      <w:r w:rsidR="001C2DF2">
        <w:rPr>
          <w:rFonts w:ascii="Arabic Transparent" w:hAnsi="Arabic Transparent" w:cs="Arabic Transparent" w:hint="cs"/>
          <w:sz w:val="28"/>
          <w:szCs w:val="28"/>
          <w:rtl/>
          <w:lang w:val="en-AE" w:bidi="ar-JO"/>
        </w:rPr>
        <w:t>،</w:t>
      </w:r>
      <w:r w:rsidRPr="00B529EB">
        <w:rPr>
          <w:rFonts w:ascii="Arabic Transparent" w:hAnsi="Arabic Transparent" w:cs="Arabic Transparent" w:hint="cs"/>
          <w:sz w:val="28"/>
          <w:szCs w:val="28"/>
          <w:rtl/>
          <w:lang w:val="en-AE" w:bidi="ar-JO"/>
        </w:rPr>
        <w:t xml:space="preserve"> التي </w:t>
      </w:r>
      <w:r w:rsidR="008C71CD">
        <w:rPr>
          <w:rFonts w:ascii="Arabic Transparent" w:hAnsi="Arabic Transparent" w:cs="Arabic Transparent" w:hint="cs"/>
          <w:sz w:val="28"/>
          <w:szCs w:val="28"/>
          <w:rtl/>
          <w:lang w:val="en-AE" w:bidi="ar-JO"/>
        </w:rPr>
        <w:t>يسبب ا</w:t>
      </w:r>
      <w:r w:rsidR="001C2DF2">
        <w:rPr>
          <w:rFonts w:ascii="Arabic Transparent" w:hAnsi="Arabic Transparent" w:cs="Arabic Transparent" w:hint="cs"/>
          <w:sz w:val="28"/>
          <w:szCs w:val="28"/>
          <w:rtl/>
          <w:lang w:val="en-AE" w:bidi="ar-JO"/>
        </w:rPr>
        <w:t>لخلل في</w:t>
      </w:r>
      <w:r w:rsidR="008C71CD">
        <w:rPr>
          <w:rFonts w:ascii="Arabic Transparent" w:hAnsi="Arabic Transparent" w:cs="Arabic Transparent" w:hint="cs"/>
          <w:sz w:val="28"/>
          <w:szCs w:val="28"/>
          <w:rtl/>
          <w:lang w:val="en-AE" w:bidi="ar-JO"/>
        </w:rPr>
        <w:t>ها الخطأ في</w:t>
      </w:r>
      <w:r w:rsidRPr="00B529EB">
        <w:rPr>
          <w:rFonts w:ascii="Arabic Transparent" w:hAnsi="Arabic Transparent" w:cs="Arabic Transparent" w:hint="cs"/>
          <w:sz w:val="28"/>
          <w:szCs w:val="28"/>
          <w:rtl/>
          <w:lang w:val="en-AE" w:bidi="ar-JO"/>
        </w:rPr>
        <w:t xml:space="preserve"> الاجتهاد التنزيلي </w:t>
      </w:r>
      <w:r w:rsidR="00C61F85" w:rsidRPr="00B529EB">
        <w:rPr>
          <w:rFonts w:ascii="Arabic Transparent" w:hAnsi="Arabic Transparent" w:cs="Arabic Transparent" w:hint="cs"/>
          <w:sz w:val="28"/>
          <w:szCs w:val="28"/>
          <w:rtl/>
          <w:lang w:val="en-AE" w:bidi="ar-JO"/>
        </w:rPr>
        <w:t>(تحقيق</w:t>
      </w:r>
      <w:r w:rsidRPr="00B529EB">
        <w:rPr>
          <w:rFonts w:ascii="Arabic Transparent" w:hAnsi="Arabic Transparent" w:cs="Arabic Transparent" w:hint="cs"/>
          <w:sz w:val="28"/>
          <w:szCs w:val="28"/>
          <w:rtl/>
          <w:lang w:val="en-AE" w:bidi="ar-JO"/>
        </w:rPr>
        <w:t xml:space="preserve"> المناط)</w:t>
      </w:r>
      <w:r w:rsidR="001C2DF2">
        <w:rPr>
          <w:rFonts w:ascii="Arabic Transparent" w:hAnsi="Arabic Transparent" w:cs="Arabic Transparent" w:hint="cs"/>
          <w:sz w:val="28"/>
          <w:szCs w:val="28"/>
          <w:rtl/>
          <w:lang w:val="en-AE" w:bidi="ar-JO"/>
        </w:rPr>
        <w:t>،</w:t>
      </w:r>
      <w:r w:rsidRPr="00B529EB">
        <w:rPr>
          <w:rFonts w:ascii="Arabic Transparent" w:hAnsi="Arabic Transparent" w:cs="Arabic Transparent" w:hint="cs"/>
          <w:sz w:val="28"/>
          <w:szCs w:val="28"/>
          <w:rtl/>
          <w:lang w:val="en-AE" w:bidi="ar-JO"/>
        </w:rPr>
        <w:t xml:space="preserve"> كما عبر عن ذلك </w:t>
      </w:r>
      <w:r w:rsidR="005A0DF6" w:rsidRPr="00B529EB">
        <w:rPr>
          <w:rFonts w:ascii="Arabic Transparent" w:hAnsi="Arabic Transparent" w:cs="Arabic Transparent" w:hint="cs"/>
          <w:sz w:val="28"/>
          <w:szCs w:val="28"/>
          <w:rtl/>
          <w:lang w:val="en-AE" w:bidi="ar-JO"/>
        </w:rPr>
        <w:t>ونب</w:t>
      </w:r>
      <w:r w:rsidR="008C71CD">
        <w:rPr>
          <w:rFonts w:ascii="Arabic Transparent" w:hAnsi="Arabic Transparent" w:cs="Arabic Transparent" w:hint="cs"/>
          <w:sz w:val="28"/>
          <w:szCs w:val="28"/>
          <w:rtl/>
          <w:lang w:val="en-AE" w:bidi="ar-JO"/>
        </w:rPr>
        <w:t>ّ</w:t>
      </w:r>
      <w:r w:rsidR="005A0DF6" w:rsidRPr="00B529EB">
        <w:rPr>
          <w:rFonts w:ascii="Arabic Transparent" w:hAnsi="Arabic Transparent" w:cs="Arabic Transparent" w:hint="cs"/>
          <w:sz w:val="28"/>
          <w:szCs w:val="28"/>
          <w:rtl/>
          <w:lang w:val="en-AE" w:bidi="ar-JO"/>
        </w:rPr>
        <w:t>ه له</w:t>
      </w:r>
      <w:r w:rsidR="00805167">
        <w:rPr>
          <w:rFonts w:ascii="Arabic Transparent" w:hAnsi="Arabic Transparent" w:cs="Arabic Transparent" w:hint="cs"/>
          <w:sz w:val="28"/>
          <w:szCs w:val="28"/>
          <w:rtl/>
          <w:lang w:val="en-AE" w:bidi="ar-JO"/>
        </w:rPr>
        <w:t xml:space="preserve"> </w:t>
      </w:r>
      <w:r w:rsidR="005A0DF6" w:rsidRPr="00B529EB">
        <w:rPr>
          <w:rFonts w:ascii="Arabic Transparent" w:hAnsi="Arabic Transparent" w:cs="Arabic Transparent" w:hint="cs"/>
          <w:sz w:val="28"/>
          <w:szCs w:val="28"/>
          <w:rtl/>
          <w:lang w:val="en-AE" w:bidi="ar-JO"/>
        </w:rPr>
        <w:t>الباقلاني بفساد النظر</w:t>
      </w:r>
      <w:r w:rsidR="005A0DF6" w:rsidRPr="00B529EB">
        <w:rPr>
          <w:rFonts w:ascii="Arabic Transparent" w:hAnsi="Arabic Transparent" w:cs="Arabic Transparent" w:hint="cs"/>
          <w:sz w:val="28"/>
          <w:szCs w:val="28"/>
          <w:vertAlign w:val="superscript"/>
          <w:rtl/>
          <w:lang w:val="en-AE" w:bidi="ar-JO"/>
        </w:rPr>
        <w:t>(</w:t>
      </w:r>
      <w:r w:rsidR="005A0DF6" w:rsidRPr="00B529EB">
        <w:rPr>
          <w:rStyle w:val="FootnoteReference"/>
          <w:rFonts w:ascii="Arabic Transparent" w:hAnsi="Arabic Transparent" w:cs="Arabic Transparent" w:hint="cs"/>
          <w:sz w:val="28"/>
          <w:szCs w:val="28"/>
          <w:rtl/>
          <w:lang w:val="en-AE" w:bidi="ar-JO"/>
        </w:rPr>
        <w:footnoteReference w:id="131"/>
      </w:r>
      <w:r w:rsidR="005A0DF6" w:rsidRPr="00B529EB">
        <w:rPr>
          <w:rFonts w:ascii="Arabic Transparent" w:hAnsi="Arabic Transparent" w:cs="Arabic Transparent" w:hint="cs"/>
          <w:sz w:val="28"/>
          <w:szCs w:val="28"/>
          <w:vertAlign w:val="superscript"/>
          <w:rtl/>
          <w:lang w:val="en-AE" w:bidi="ar-JO"/>
        </w:rPr>
        <w:t>)</w:t>
      </w:r>
      <w:r w:rsidR="005A0DF6" w:rsidRPr="00B529EB">
        <w:rPr>
          <w:rFonts w:ascii="Arabic Transparent" w:hAnsi="Arabic Transparent" w:cs="Arabic Transparent" w:hint="cs"/>
          <w:sz w:val="28"/>
          <w:szCs w:val="28"/>
          <w:rtl/>
          <w:lang w:val="en-AE" w:bidi="ar-JO"/>
        </w:rPr>
        <w:t xml:space="preserve"> </w:t>
      </w:r>
      <w:r w:rsidR="00C61F85" w:rsidRPr="00B529EB">
        <w:rPr>
          <w:rFonts w:ascii="Arabic Transparent" w:hAnsi="Arabic Transparent" w:cs="Arabic Transparent" w:hint="cs"/>
          <w:sz w:val="28"/>
          <w:szCs w:val="28"/>
          <w:rtl/>
          <w:lang w:val="en-AE" w:bidi="ar-JO"/>
        </w:rPr>
        <w:t>و</w:t>
      </w:r>
      <w:r w:rsidR="00805167">
        <w:rPr>
          <w:rFonts w:ascii="Arabic Transparent" w:hAnsi="Arabic Transparent" w:cs="Arabic Transparent" w:hint="cs"/>
          <w:sz w:val="28"/>
          <w:szCs w:val="28"/>
          <w:rtl/>
          <w:lang w:val="en-AE" w:bidi="ar-JO"/>
        </w:rPr>
        <w:t xml:space="preserve">وصفه </w:t>
      </w:r>
      <w:r w:rsidR="00C61F85" w:rsidRPr="00B529EB">
        <w:rPr>
          <w:rFonts w:ascii="Arabic Transparent" w:hAnsi="Arabic Transparent" w:cs="Arabic Transparent" w:hint="cs"/>
          <w:sz w:val="28"/>
          <w:szCs w:val="28"/>
          <w:rtl/>
          <w:lang w:val="en-AE" w:bidi="ar-JO"/>
        </w:rPr>
        <w:t>الحجوي</w:t>
      </w:r>
      <w:r w:rsidR="00C61F85" w:rsidRPr="00B529EB">
        <w:rPr>
          <w:rFonts w:ascii="Arabic Transparent" w:hAnsi="Arabic Transparent" w:cs="Arabic Transparent"/>
          <w:sz w:val="28"/>
          <w:szCs w:val="28"/>
          <w:vertAlign w:val="superscript"/>
          <w:rtl/>
          <w:lang w:val="en-AE" w:bidi="ar-JO"/>
        </w:rPr>
        <w:t>(</w:t>
      </w:r>
      <w:r w:rsidR="005A0DF6" w:rsidRPr="00B529EB">
        <w:rPr>
          <w:rStyle w:val="FootnoteReference"/>
          <w:rFonts w:ascii="Arabic Transparent" w:hAnsi="Arabic Transparent" w:cs="Arabic Transparent" w:hint="cs"/>
          <w:sz w:val="28"/>
          <w:szCs w:val="28"/>
          <w:rtl/>
          <w:lang w:val="en-AE" w:bidi="ar-JO"/>
        </w:rPr>
        <w:footnoteReference w:id="132"/>
      </w:r>
      <w:r w:rsidR="005A0DF6" w:rsidRPr="00B529EB">
        <w:rPr>
          <w:rFonts w:ascii="Arabic Transparent" w:hAnsi="Arabic Transparent" w:cs="Arabic Transparent" w:hint="cs"/>
          <w:sz w:val="28"/>
          <w:szCs w:val="28"/>
          <w:vertAlign w:val="superscript"/>
          <w:rtl/>
          <w:lang w:val="en-AE" w:bidi="ar-JO"/>
        </w:rPr>
        <w:t>)</w:t>
      </w:r>
      <w:r w:rsidR="00805167">
        <w:rPr>
          <w:rFonts w:ascii="Arabic Transparent" w:hAnsi="Arabic Transparent" w:cs="Arabic Transparent" w:hint="cs"/>
          <w:sz w:val="28"/>
          <w:szCs w:val="28"/>
          <w:rtl/>
          <w:lang w:val="en-AE" w:bidi="ar-JO"/>
        </w:rPr>
        <w:t>:</w:t>
      </w:r>
      <w:r w:rsidR="005A0DF6" w:rsidRPr="00B529EB">
        <w:rPr>
          <w:rFonts w:ascii="Arabic Transparent" w:hAnsi="Arabic Transparent" w:cs="Arabic Transparent" w:hint="cs"/>
          <w:sz w:val="28"/>
          <w:szCs w:val="28"/>
          <w:rtl/>
          <w:lang w:val="en-AE" w:bidi="ar-JO"/>
        </w:rPr>
        <w:t>بالتهور</w:t>
      </w:r>
      <w:r w:rsidR="001C2DF2">
        <w:rPr>
          <w:rFonts w:ascii="Arabic Transparent" w:hAnsi="Arabic Transparent" w:cs="Arabic Transparent" w:hint="cs"/>
          <w:sz w:val="28"/>
          <w:szCs w:val="28"/>
          <w:rtl/>
          <w:lang w:val="en-AE" w:bidi="ar-JO"/>
        </w:rPr>
        <w:t xml:space="preserve"> </w:t>
      </w:r>
      <w:r w:rsidR="005A0DF6" w:rsidRPr="00B529EB">
        <w:rPr>
          <w:rFonts w:ascii="Arabic Transparent" w:hAnsi="Arabic Transparent" w:cs="Arabic Transparent" w:hint="cs"/>
          <w:sz w:val="28"/>
          <w:szCs w:val="28"/>
          <w:rtl/>
          <w:lang w:val="en-AE" w:bidi="ar-JO"/>
        </w:rPr>
        <w:t>قبل أن يحسن التصور</w:t>
      </w:r>
      <w:r w:rsidR="001C2DF2" w:rsidRPr="00B529EB">
        <w:rPr>
          <w:rFonts w:ascii="Arabic Transparent" w:hAnsi="Arabic Transparent" w:cs="Arabic Transparent" w:hint="cs"/>
          <w:sz w:val="28"/>
          <w:szCs w:val="28"/>
          <w:vertAlign w:val="superscript"/>
          <w:rtl/>
          <w:lang w:val="en-AE" w:bidi="ar-JO"/>
        </w:rPr>
        <w:t>(</w:t>
      </w:r>
      <w:r w:rsidR="001C2DF2" w:rsidRPr="00B529EB">
        <w:rPr>
          <w:rStyle w:val="FootnoteReference"/>
          <w:rFonts w:ascii="Arabic Transparent" w:hAnsi="Arabic Transparent" w:cs="Arabic Transparent" w:hint="cs"/>
          <w:sz w:val="28"/>
          <w:szCs w:val="28"/>
          <w:rtl/>
          <w:lang w:val="en-AE" w:bidi="ar-JO"/>
        </w:rPr>
        <w:footnoteReference w:id="133"/>
      </w:r>
      <w:r w:rsidR="001C2DF2" w:rsidRPr="00B529EB">
        <w:rPr>
          <w:rFonts w:ascii="Arabic Transparent" w:hAnsi="Arabic Transparent" w:cs="Arabic Transparent" w:hint="cs"/>
          <w:sz w:val="28"/>
          <w:szCs w:val="28"/>
          <w:vertAlign w:val="superscript"/>
          <w:rtl/>
          <w:lang w:val="en-AE" w:bidi="ar-JO"/>
        </w:rPr>
        <w:t>)</w:t>
      </w:r>
      <w:r w:rsidR="005A0DF6" w:rsidRPr="00B529EB">
        <w:rPr>
          <w:rFonts w:ascii="Arabic Transparent" w:hAnsi="Arabic Transparent" w:cs="Arabic Transparent" w:hint="cs"/>
          <w:sz w:val="28"/>
          <w:szCs w:val="28"/>
          <w:rtl/>
          <w:lang w:val="en-AE" w:bidi="ar-JO"/>
        </w:rPr>
        <w:t xml:space="preserve">، </w:t>
      </w:r>
      <w:r w:rsidR="001C2DF2">
        <w:rPr>
          <w:rFonts w:ascii="Arabic Transparent" w:hAnsi="Arabic Transparent" w:cs="Arabic Transparent" w:hint="cs"/>
          <w:sz w:val="28"/>
          <w:szCs w:val="28"/>
          <w:rtl/>
          <w:lang w:val="en-AE" w:bidi="ar-JO"/>
        </w:rPr>
        <w:t>و</w:t>
      </w:r>
      <w:r w:rsidR="005A0DF6" w:rsidRPr="00B529EB">
        <w:rPr>
          <w:rFonts w:ascii="Arabic Transparent" w:hAnsi="Arabic Transparent" w:cs="Arabic Transparent" w:hint="cs"/>
          <w:sz w:val="28"/>
          <w:szCs w:val="28"/>
          <w:rtl/>
          <w:lang w:val="en-AE" w:bidi="ar-JO"/>
        </w:rPr>
        <w:t>القرضاوي في كتابته عن الفتوى بين الانضباط والتسيب</w:t>
      </w:r>
      <w:r w:rsidR="008C71CD">
        <w:rPr>
          <w:rFonts w:ascii="Arabic Transparent" w:hAnsi="Arabic Transparent" w:cs="Arabic Transparent" w:hint="cs"/>
          <w:sz w:val="28"/>
          <w:szCs w:val="28"/>
          <w:rtl/>
          <w:lang w:val="en-AE" w:bidi="ar-JO"/>
        </w:rPr>
        <w:t>،</w:t>
      </w:r>
      <w:r w:rsidR="005A0DF6" w:rsidRPr="00B529EB">
        <w:rPr>
          <w:rFonts w:ascii="Arabic Transparent" w:hAnsi="Arabic Transparent" w:cs="Arabic Transparent" w:hint="cs"/>
          <w:sz w:val="28"/>
          <w:szCs w:val="28"/>
          <w:rtl/>
          <w:lang w:val="en-AE" w:bidi="ar-JO"/>
        </w:rPr>
        <w:t xml:space="preserve"> وصفه</w:t>
      </w:r>
      <w:r w:rsidR="00805167">
        <w:rPr>
          <w:rFonts w:ascii="Arabic Transparent" w:hAnsi="Arabic Transparent" w:cs="Arabic Transparent" w:hint="cs"/>
          <w:sz w:val="28"/>
          <w:szCs w:val="28"/>
          <w:rtl/>
          <w:lang w:val="en-AE" w:bidi="ar-JO"/>
        </w:rPr>
        <w:t xml:space="preserve"> بأنه: </w:t>
      </w:r>
      <w:r w:rsidR="005A0DF6" w:rsidRPr="00B529EB">
        <w:rPr>
          <w:rFonts w:ascii="Arabic Transparent" w:hAnsi="Arabic Transparent" w:cs="Arabic Transparent" w:hint="cs"/>
          <w:sz w:val="28"/>
          <w:szCs w:val="28"/>
          <w:rtl/>
          <w:lang w:val="en-AE" w:bidi="ar-JO"/>
        </w:rPr>
        <w:t>أحد أهم أسباب الخطأ بالفتوى</w:t>
      </w:r>
      <w:r w:rsidR="005A0DF6" w:rsidRPr="00B529EB">
        <w:rPr>
          <w:rFonts w:ascii="Arabic Transparent" w:hAnsi="Arabic Transparent" w:cs="Arabic Transparent" w:hint="cs"/>
          <w:sz w:val="28"/>
          <w:szCs w:val="28"/>
          <w:vertAlign w:val="superscript"/>
          <w:rtl/>
          <w:lang w:val="en-AE" w:bidi="ar-JO"/>
        </w:rPr>
        <w:t>(</w:t>
      </w:r>
      <w:r w:rsidR="005A0DF6" w:rsidRPr="00B529EB">
        <w:rPr>
          <w:rStyle w:val="FootnoteReference"/>
          <w:rFonts w:ascii="Arabic Transparent" w:hAnsi="Arabic Transparent" w:cs="Arabic Transparent" w:hint="cs"/>
          <w:sz w:val="28"/>
          <w:szCs w:val="28"/>
          <w:rtl/>
          <w:lang w:val="en-AE" w:bidi="ar-JO"/>
        </w:rPr>
        <w:footnoteReference w:id="134"/>
      </w:r>
      <w:r w:rsidR="005A0DF6" w:rsidRPr="00B529EB">
        <w:rPr>
          <w:rFonts w:ascii="Arabic Transparent" w:hAnsi="Arabic Transparent" w:cs="Arabic Transparent" w:hint="cs"/>
          <w:sz w:val="28"/>
          <w:szCs w:val="28"/>
          <w:vertAlign w:val="superscript"/>
          <w:rtl/>
          <w:lang w:val="en-AE" w:bidi="ar-JO"/>
        </w:rPr>
        <w:t>)</w:t>
      </w:r>
      <w:r w:rsidR="005A0DF6" w:rsidRPr="00B529EB">
        <w:rPr>
          <w:rFonts w:ascii="Arabic Transparent" w:hAnsi="Arabic Transparent" w:cs="Arabic Transparent" w:hint="cs"/>
          <w:sz w:val="28"/>
          <w:szCs w:val="28"/>
          <w:rtl/>
          <w:lang w:val="en-AE" w:bidi="ar-JO"/>
        </w:rPr>
        <w:t>.</w:t>
      </w:r>
    </w:p>
    <w:p w14:paraId="415447FF" w14:textId="44150CBF" w:rsidR="006544A1" w:rsidRDefault="008770F2" w:rsidP="002A1586">
      <w:pPr>
        <w:spacing w:after="0" w:line="360" w:lineRule="auto"/>
        <w:jc w:val="both"/>
        <w:rPr>
          <w:rFonts w:ascii="Arabic Transparent" w:hAnsi="Arabic Transparent" w:cs="Arabic Transparent"/>
          <w:b/>
          <w:bCs/>
          <w:sz w:val="28"/>
          <w:szCs w:val="28"/>
          <w:rtl/>
          <w:lang w:val="en-AE" w:bidi="ar-JO"/>
        </w:rPr>
      </w:pPr>
      <w:r>
        <w:rPr>
          <w:rFonts w:ascii="Arabic Transparent" w:hAnsi="Arabic Transparent" w:cs="Arabic Transparent" w:hint="cs"/>
          <w:b/>
          <w:bCs/>
          <w:sz w:val="28"/>
          <w:szCs w:val="28"/>
          <w:rtl/>
          <w:lang w:val="en-AE" w:bidi="ar-JO"/>
        </w:rPr>
        <w:t>الفرع الثاني</w:t>
      </w:r>
      <w:r w:rsidR="005E5428" w:rsidRPr="008C71CD">
        <w:rPr>
          <w:rFonts w:ascii="Arabic Transparent" w:hAnsi="Arabic Transparent" w:cs="Arabic Transparent" w:hint="cs"/>
          <w:b/>
          <w:bCs/>
          <w:sz w:val="28"/>
          <w:szCs w:val="28"/>
          <w:rtl/>
          <w:lang w:val="en-AE" w:bidi="ar-JO"/>
        </w:rPr>
        <w:t>: التكييف</w:t>
      </w:r>
      <w:r w:rsidR="00514C65">
        <w:rPr>
          <w:rFonts w:ascii="Arabic Transparent" w:hAnsi="Arabic Transparent" w:cs="Arabic Transparent" w:hint="cs"/>
          <w:b/>
          <w:bCs/>
          <w:sz w:val="28"/>
          <w:szCs w:val="28"/>
          <w:rtl/>
          <w:lang w:val="en-AE" w:bidi="ar-JO"/>
        </w:rPr>
        <w:t>.</w:t>
      </w:r>
    </w:p>
    <w:p w14:paraId="59EDEA3D" w14:textId="77777777" w:rsidR="00C95265" w:rsidRDefault="00680490" w:rsidP="750C10A0">
      <w:pPr>
        <w:spacing w:after="0" w:line="360" w:lineRule="auto"/>
        <w:jc w:val="both"/>
        <w:rPr>
          <w:rFonts w:ascii="Arabic Transparent" w:hAnsi="Arabic Transparent" w:cs="Arabic Transparent"/>
          <w:sz w:val="28"/>
          <w:szCs w:val="28"/>
          <w:rtl/>
          <w:lang w:bidi="ar-JO"/>
        </w:rPr>
      </w:pPr>
      <w:r w:rsidRPr="750C10A0">
        <w:rPr>
          <w:rFonts w:ascii="Arabic Transparent" w:hAnsi="Arabic Transparent" w:cs="Arabic Transparent"/>
          <w:sz w:val="28"/>
          <w:szCs w:val="28"/>
          <w:lang w:bidi="ar-JO"/>
        </w:rPr>
        <w:t xml:space="preserve">1- </w:t>
      </w:r>
      <w:r w:rsidRPr="750C10A0">
        <w:rPr>
          <w:rFonts w:ascii="Arabic Transparent" w:hAnsi="Arabic Transparent" w:cs="Arabic Transparent"/>
          <w:sz w:val="28"/>
          <w:szCs w:val="28"/>
          <w:rtl/>
          <w:lang w:bidi="ar-JO"/>
        </w:rPr>
        <w:t>التكييف لغة</w:t>
      </w:r>
      <w:r w:rsidRPr="750C10A0">
        <w:rPr>
          <w:rFonts w:ascii="Arabic Transparent" w:hAnsi="Arabic Transparent" w:cs="Arabic Transparent"/>
          <w:sz w:val="28"/>
          <w:szCs w:val="28"/>
          <w:lang w:bidi="ar-JO"/>
        </w:rPr>
        <w:t>:</w:t>
      </w:r>
    </w:p>
    <w:p w14:paraId="72133FF9" w14:textId="14548B34" w:rsidR="00F647F4" w:rsidRDefault="005D7B91" w:rsidP="00C95265">
      <w:pPr>
        <w:spacing w:after="0" w:line="360" w:lineRule="auto"/>
        <w:jc w:val="both"/>
        <w:rPr>
          <w:rFonts w:ascii="Arabic Transparent" w:hAnsi="Arabic Transparent" w:cs="Arabic Transparent"/>
          <w:sz w:val="28"/>
          <w:szCs w:val="28"/>
          <w:rtl/>
          <w:lang w:val="en-AE" w:bidi="ar-JO"/>
        </w:rPr>
      </w:pPr>
      <w:r>
        <w:rPr>
          <w:rFonts w:ascii="Arabic Transparent" w:hAnsi="Arabic Transparent" w:cs="Arabic Transparent" w:hint="cs"/>
          <w:sz w:val="28"/>
          <w:szCs w:val="28"/>
          <w:rtl/>
          <w:lang w:val="en-AE" w:bidi="ar-JO"/>
        </w:rPr>
        <w:t xml:space="preserve">     </w:t>
      </w:r>
      <w:r w:rsidR="00680490" w:rsidRPr="00B529EB">
        <w:rPr>
          <w:rFonts w:ascii="Arabic Transparent" w:hAnsi="Arabic Transparent" w:cs="Arabic Transparent" w:hint="cs"/>
          <w:sz w:val="28"/>
          <w:szCs w:val="28"/>
          <w:rtl/>
          <w:lang w:val="en-AE" w:bidi="ar-JO"/>
        </w:rPr>
        <w:t>يأتي على عدة معاني: منها الأكل</w:t>
      </w:r>
      <w:r w:rsidR="00444B42" w:rsidRPr="00B529EB">
        <w:rPr>
          <w:rFonts w:ascii="Arabic Transparent" w:hAnsi="Arabic Transparent" w:cs="Arabic Transparent" w:hint="cs"/>
          <w:sz w:val="28"/>
          <w:szCs w:val="28"/>
          <w:rtl/>
          <w:lang w:val="en-AE" w:bidi="ar-JO"/>
        </w:rPr>
        <w:t>، قيل</w:t>
      </w:r>
      <w:r w:rsidR="00680490" w:rsidRPr="00B529EB">
        <w:rPr>
          <w:rFonts w:ascii="Arabic Transparent" w:hAnsi="Arabic Transparent" w:cs="Arabic Transparent" w:hint="cs"/>
          <w:sz w:val="28"/>
          <w:szCs w:val="28"/>
          <w:rtl/>
          <w:lang w:val="en-AE" w:bidi="ar-JO"/>
        </w:rPr>
        <w:t>: كيفت منه أي أكلت من جوانبه</w:t>
      </w:r>
      <w:r w:rsidR="00444B42" w:rsidRPr="00B529EB">
        <w:rPr>
          <w:rFonts w:ascii="Arabic Transparent" w:hAnsi="Arabic Transparent" w:cs="Arabic Transparent" w:hint="cs"/>
          <w:sz w:val="28"/>
          <w:szCs w:val="28"/>
          <w:vertAlign w:val="superscript"/>
          <w:rtl/>
          <w:lang w:val="en-AE" w:bidi="ar-JO"/>
        </w:rPr>
        <w:t>(</w:t>
      </w:r>
      <w:r w:rsidR="00444B42" w:rsidRPr="00B529EB">
        <w:rPr>
          <w:rStyle w:val="FootnoteReference"/>
          <w:rFonts w:ascii="Arabic Transparent" w:hAnsi="Arabic Transparent" w:cs="Arabic Transparent" w:hint="cs"/>
          <w:sz w:val="28"/>
          <w:szCs w:val="28"/>
          <w:rtl/>
          <w:lang w:val="en-AE" w:bidi="ar-JO"/>
        </w:rPr>
        <w:footnoteReference w:id="135"/>
      </w:r>
      <w:r w:rsidR="00444B42" w:rsidRPr="00B529EB">
        <w:rPr>
          <w:rFonts w:ascii="Arabic Transparent" w:hAnsi="Arabic Transparent" w:cs="Arabic Transparent" w:hint="cs"/>
          <w:sz w:val="28"/>
          <w:szCs w:val="28"/>
          <w:vertAlign w:val="superscript"/>
          <w:rtl/>
          <w:lang w:val="en-AE" w:bidi="ar-JO"/>
        </w:rPr>
        <w:t>)</w:t>
      </w:r>
      <w:r w:rsidR="00444B42" w:rsidRPr="00B529EB">
        <w:rPr>
          <w:rFonts w:ascii="Arabic Transparent" w:hAnsi="Arabic Transparent" w:cs="Arabic Transparent" w:hint="cs"/>
          <w:sz w:val="28"/>
          <w:szCs w:val="28"/>
          <w:rtl/>
          <w:lang w:val="en-AE" w:bidi="ar-JO"/>
        </w:rPr>
        <w:t>، وقيل التكيف هو القطع،</w:t>
      </w:r>
      <w:r w:rsidR="00444B42" w:rsidRPr="00B529EB">
        <w:rPr>
          <w:rFonts w:ascii="Arabic Transparent" w:hAnsi="Arabic Transparent" w:cs="Arabic Transparent" w:hint="cs"/>
          <w:sz w:val="28"/>
          <w:szCs w:val="28"/>
          <w:vertAlign w:val="superscript"/>
          <w:rtl/>
          <w:lang w:val="en-AE" w:bidi="ar-JO"/>
        </w:rPr>
        <w:t>(</w:t>
      </w:r>
      <w:r w:rsidR="00444B42" w:rsidRPr="00B529EB">
        <w:rPr>
          <w:rStyle w:val="FootnoteReference"/>
          <w:rFonts w:ascii="Arabic Transparent" w:hAnsi="Arabic Transparent" w:cs="Arabic Transparent" w:hint="cs"/>
          <w:sz w:val="28"/>
          <w:szCs w:val="28"/>
          <w:rtl/>
          <w:lang w:val="en-AE" w:bidi="ar-JO"/>
        </w:rPr>
        <w:footnoteReference w:id="136"/>
      </w:r>
      <w:r w:rsidR="00444B42" w:rsidRPr="00B529EB">
        <w:rPr>
          <w:rFonts w:ascii="Arabic Transparent" w:hAnsi="Arabic Transparent" w:cs="Arabic Transparent" w:hint="cs"/>
          <w:sz w:val="28"/>
          <w:szCs w:val="28"/>
          <w:vertAlign w:val="superscript"/>
          <w:rtl/>
          <w:lang w:val="en-AE" w:bidi="ar-JO"/>
        </w:rPr>
        <w:t>)</w:t>
      </w:r>
      <w:r w:rsidR="00444B42" w:rsidRPr="00B529EB">
        <w:rPr>
          <w:rFonts w:ascii="Arabic Transparent" w:hAnsi="Arabic Transparent" w:cs="Arabic Transparent" w:hint="cs"/>
          <w:sz w:val="28"/>
          <w:szCs w:val="28"/>
          <w:rtl/>
          <w:lang w:val="en-AE" w:bidi="ar-JO"/>
        </w:rPr>
        <w:t xml:space="preserve"> ويأتي على معنى</w:t>
      </w:r>
      <w:r w:rsidR="00F74288" w:rsidRPr="00B529EB">
        <w:rPr>
          <w:rFonts w:ascii="Arabic Transparent" w:hAnsi="Arabic Transparent" w:cs="Arabic Transparent" w:hint="cs"/>
          <w:sz w:val="28"/>
          <w:szCs w:val="28"/>
          <w:rtl/>
          <w:lang w:val="en-AE" w:bidi="ar-JO"/>
        </w:rPr>
        <w:t>:</w:t>
      </w:r>
      <w:r w:rsidR="00444B42" w:rsidRPr="00B529EB">
        <w:rPr>
          <w:rFonts w:ascii="Arabic Transparent" w:hAnsi="Arabic Transparent" w:cs="Arabic Transparent" w:hint="cs"/>
          <w:sz w:val="28"/>
          <w:szCs w:val="28"/>
          <w:rtl/>
          <w:lang w:val="en-AE" w:bidi="ar-JO"/>
        </w:rPr>
        <w:t xml:space="preserve"> أحدث تغييرا فيه يؤدي إلى انسجامه مع شيء أخر لا يتبدل</w:t>
      </w:r>
      <w:r w:rsidR="00444B42" w:rsidRPr="00B529EB">
        <w:rPr>
          <w:rFonts w:ascii="Arabic Transparent" w:hAnsi="Arabic Transparent" w:cs="Arabic Transparent" w:hint="cs"/>
          <w:sz w:val="28"/>
          <w:szCs w:val="28"/>
          <w:vertAlign w:val="superscript"/>
          <w:rtl/>
          <w:lang w:val="en-AE" w:bidi="ar-JO"/>
        </w:rPr>
        <w:t>(</w:t>
      </w:r>
      <w:r w:rsidR="00444B42" w:rsidRPr="00B529EB">
        <w:rPr>
          <w:rStyle w:val="FootnoteReference"/>
          <w:rFonts w:ascii="Arabic Transparent" w:hAnsi="Arabic Transparent" w:cs="Arabic Transparent" w:hint="cs"/>
          <w:sz w:val="28"/>
          <w:szCs w:val="28"/>
          <w:rtl/>
          <w:lang w:val="en-AE" w:bidi="ar-JO"/>
        </w:rPr>
        <w:footnoteReference w:id="137"/>
      </w:r>
      <w:r w:rsidR="00444B42" w:rsidRPr="00B529EB">
        <w:rPr>
          <w:rFonts w:ascii="Arabic Transparent" w:hAnsi="Arabic Transparent" w:cs="Arabic Transparent" w:hint="cs"/>
          <w:sz w:val="28"/>
          <w:szCs w:val="28"/>
          <w:vertAlign w:val="superscript"/>
          <w:rtl/>
          <w:lang w:val="en-AE" w:bidi="ar-JO"/>
        </w:rPr>
        <w:t>)</w:t>
      </w:r>
      <w:r w:rsidR="00F647F4">
        <w:rPr>
          <w:rFonts w:ascii="Arabic Transparent" w:hAnsi="Arabic Transparent" w:cs="Arabic Transparent" w:hint="cs"/>
          <w:sz w:val="28"/>
          <w:szCs w:val="28"/>
          <w:rtl/>
          <w:lang w:val="en-AE" w:bidi="ar-JO"/>
        </w:rPr>
        <w:t>،</w:t>
      </w:r>
    </w:p>
    <w:p w14:paraId="0A6D0CE1" w14:textId="77777777" w:rsidR="00F647F4" w:rsidRDefault="00F647F4">
      <w:pPr>
        <w:bidi w:val="0"/>
        <w:spacing w:after="0" w:line="240" w:lineRule="auto"/>
        <w:rPr>
          <w:rFonts w:ascii="Arabic Transparent" w:hAnsi="Arabic Transparent" w:cs="Arabic Transparent"/>
          <w:sz w:val="28"/>
          <w:szCs w:val="28"/>
          <w:rtl/>
          <w:lang w:val="en-AE" w:bidi="ar-JO"/>
        </w:rPr>
      </w:pPr>
      <w:r>
        <w:rPr>
          <w:rFonts w:ascii="Arabic Transparent" w:hAnsi="Arabic Transparent" w:cs="Arabic Transparent"/>
          <w:sz w:val="28"/>
          <w:szCs w:val="28"/>
          <w:rtl/>
          <w:lang w:val="en-AE" w:bidi="ar-JO"/>
        </w:rPr>
        <w:br w:type="page"/>
      </w:r>
    </w:p>
    <w:p w14:paraId="0F42DC27" w14:textId="02362417" w:rsidR="00444B42" w:rsidRPr="00B529EB" w:rsidRDefault="007B339D" w:rsidP="00C95265">
      <w:pPr>
        <w:spacing w:after="0" w:line="360" w:lineRule="auto"/>
        <w:jc w:val="both"/>
        <w:rPr>
          <w:rFonts w:ascii="Arabic Transparent" w:hAnsi="Arabic Transparent" w:cs="Arabic Transparent"/>
          <w:sz w:val="28"/>
          <w:szCs w:val="28"/>
          <w:rtl/>
          <w:lang w:val="en-AE" w:bidi="ar-JO"/>
        </w:rPr>
      </w:pPr>
      <w:r w:rsidRPr="00B529EB">
        <w:rPr>
          <w:rFonts w:ascii="Arabic Transparent" w:hAnsi="Arabic Transparent" w:cs="Arabic Transparent" w:hint="cs"/>
          <w:sz w:val="28"/>
          <w:szCs w:val="28"/>
          <w:rtl/>
          <w:lang w:val="en-AE" w:bidi="ar-JO"/>
        </w:rPr>
        <w:t>والأظهر أن التكييف وفق المعنى الأصولي هو المناسبة والانسجام كما يقال لمن كيّف ثوبه.</w:t>
      </w:r>
    </w:p>
    <w:p w14:paraId="0648BD37" w14:textId="3AB1F5BE" w:rsidR="00680490" w:rsidRPr="00B529EB" w:rsidRDefault="00680490" w:rsidP="750C10A0">
      <w:pPr>
        <w:spacing w:after="0" w:line="360" w:lineRule="auto"/>
        <w:jc w:val="both"/>
        <w:rPr>
          <w:rFonts w:ascii="Arabic Transparent" w:hAnsi="Arabic Transparent" w:cs="Arabic Transparent"/>
          <w:sz w:val="28"/>
          <w:szCs w:val="28"/>
          <w:rtl/>
          <w:lang w:bidi="ar-JO"/>
        </w:rPr>
      </w:pPr>
      <w:r w:rsidRPr="750C10A0">
        <w:rPr>
          <w:rFonts w:ascii="Arabic Transparent" w:hAnsi="Arabic Transparent" w:cs="Arabic Transparent"/>
          <w:sz w:val="28"/>
          <w:szCs w:val="28"/>
          <w:lang w:bidi="ar-JO"/>
        </w:rPr>
        <w:t xml:space="preserve">2- </w:t>
      </w:r>
      <w:r w:rsidRPr="750C10A0">
        <w:rPr>
          <w:rFonts w:ascii="Arabic Transparent" w:hAnsi="Arabic Transparent" w:cs="Arabic Transparent"/>
          <w:sz w:val="28"/>
          <w:szCs w:val="28"/>
          <w:rtl/>
          <w:lang w:bidi="ar-JO"/>
        </w:rPr>
        <w:t>التكييف اصطلاحاً</w:t>
      </w:r>
      <w:r w:rsidR="00444B42" w:rsidRPr="750C10A0">
        <w:rPr>
          <w:rFonts w:ascii="Arabic Transparent" w:hAnsi="Arabic Transparent" w:cs="Arabic Transparent"/>
          <w:sz w:val="28"/>
          <w:szCs w:val="28"/>
          <w:lang w:bidi="ar-JO"/>
        </w:rPr>
        <w:t xml:space="preserve">: </w:t>
      </w:r>
    </w:p>
    <w:p w14:paraId="7FFD9A0E" w14:textId="55ECE973" w:rsidR="00EC7C5A" w:rsidRPr="00B529EB" w:rsidRDefault="00EC7C5A" w:rsidP="006A1105">
      <w:pPr>
        <w:spacing w:after="0" w:line="360" w:lineRule="auto"/>
        <w:ind w:firstLine="332"/>
        <w:jc w:val="both"/>
        <w:rPr>
          <w:rFonts w:ascii="Arabic Transparent" w:hAnsi="Arabic Transparent" w:cs="Arabic Transparent"/>
          <w:sz w:val="28"/>
          <w:szCs w:val="28"/>
          <w:rtl/>
          <w:lang w:val="en-AE" w:bidi="ar-JO"/>
        </w:rPr>
      </w:pPr>
      <w:r w:rsidRPr="00B529EB">
        <w:rPr>
          <w:rFonts w:ascii="Arabic Transparent" w:hAnsi="Arabic Transparent" w:cs="Arabic Transparent" w:hint="cs"/>
          <w:sz w:val="28"/>
          <w:szCs w:val="28"/>
          <w:rtl/>
          <w:lang w:val="en-AE" w:bidi="ar-JO"/>
        </w:rPr>
        <w:t>عر</w:t>
      </w:r>
      <w:r w:rsidR="00805167">
        <w:rPr>
          <w:rFonts w:ascii="Arabic Transparent" w:hAnsi="Arabic Transparent" w:cs="Arabic Transparent" w:hint="cs"/>
          <w:sz w:val="28"/>
          <w:szCs w:val="28"/>
          <w:rtl/>
          <w:lang w:val="en-AE" w:bidi="ar-JO"/>
        </w:rPr>
        <w:t>َّ</w:t>
      </w:r>
      <w:r w:rsidRPr="00B529EB">
        <w:rPr>
          <w:rFonts w:ascii="Arabic Transparent" w:hAnsi="Arabic Transparent" w:cs="Arabic Transparent" w:hint="cs"/>
          <w:sz w:val="28"/>
          <w:szCs w:val="28"/>
          <w:rtl/>
          <w:lang w:val="en-AE" w:bidi="ar-JO"/>
        </w:rPr>
        <w:t>فه ابن القيم</w:t>
      </w:r>
      <w:r w:rsidR="008C71CD">
        <w:rPr>
          <w:rFonts w:ascii="Arabic Transparent" w:hAnsi="Arabic Transparent" w:cs="Arabic Transparent" w:hint="cs"/>
          <w:sz w:val="28"/>
          <w:szCs w:val="28"/>
          <w:rtl/>
          <w:lang w:val="en-AE" w:bidi="ar-JO"/>
        </w:rPr>
        <w:t>،</w:t>
      </w:r>
      <w:r w:rsidRPr="00B529EB">
        <w:rPr>
          <w:rFonts w:ascii="Arabic Transparent" w:hAnsi="Arabic Transparent" w:cs="Arabic Transparent" w:hint="cs"/>
          <w:sz w:val="28"/>
          <w:szCs w:val="28"/>
          <w:rtl/>
          <w:lang w:val="en-AE" w:bidi="ar-JO"/>
        </w:rPr>
        <w:t xml:space="preserve"> بأن</w:t>
      </w:r>
      <w:r w:rsidR="008C71CD">
        <w:rPr>
          <w:rFonts w:ascii="Arabic Transparent" w:hAnsi="Arabic Transparent" w:cs="Arabic Transparent" w:hint="cs"/>
          <w:sz w:val="28"/>
          <w:szCs w:val="28"/>
          <w:rtl/>
          <w:lang w:val="en-AE" w:bidi="ar-JO"/>
        </w:rPr>
        <w:t>َّ</w:t>
      </w:r>
      <w:r w:rsidRPr="00B529EB">
        <w:rPr>
          <w:rFonts w:ascii="Arabic Transparent" w:hAnsi="Arabic Transparent" w:cs="Arabic Transparent" w:hint="cs"/>
          <w:sz w:val="28"/>
          <w:szCs w:val="28"/>
          <w:rtl/>
          <w:lang w:val="en-AE" w:bidi="ar-JO"/>
        </w:rPr>
        <w:t>ه: "</w:t>
      </w:r>
      <w:r w:rsidR="00A13B75" w:rsidRPr="00A13B75">
        <w:rPr>
          <w:rFonts w:ascii="Arabic Transparent" w:hAnsi="Arabic Transparent" w:cs="Arabic Transparent"/>
          <w:sz w:val="28"/>
          <w:szCs w:val="28"/>
          <w:rtl/>
          <w:lang w:val="en-AE" w:bidi="ar-JO"/>
        </w:rPr>
        <w:t>فهم حكم الله ‌الذي ‌حكم ‌به ‌في ‌كتابه ‌أو ‌على ‌لسان ‌قوله ‌في هذا الواقع</w:t>
      </w:r>
      <w:r w:rsidRPr="00B529EB">
        <w:rPr>
          <w:rFonts w:ascii="Arabic Transparent" w:hAnsi="Arabic Transparent" w:cs="Arabic Transparent" w:hint="cs"/>
          <w:sz w:val="28"/>
          <w:szCs w:val="28"/>
          <w:rtl/>
          <w:lang w:val="en-AE" w:bidi="ar-JO"/>
        </w:rPr>
        <w:t>"</w:t>
      </w:r>
      <w:r w:rsidRPr="00B529EB">
        <w:rPr>
          <w:rFonts w:ascii="Arabic Transparent" w:hAnsi="Arabic Transparent" w:cs="Arabic Transparent" w:hint="cs"/>
          <w:sz w:val="28"/>
          <w:szCs w:val="28"/>
          <w:vertAlign w:val="superscript"/>
          <w:rtl/>
          <w:lang w:val="en-AE" w:bidi="ar-JO"/>
        </w:rPr>
        <w:t>(</w:t>
      </w:r>
      <w:r w:rsidRPr="00B529EB">
        <w:rPr>
          <w:rStyle w:val="FootnoteReference"/>
          <w:rFonts w:ascii="Arabic Transparent" w:hAnsi="Arabic Transparent" w:cs="Arabic Transparent" w:hint="cs"/>
          <w:sz w:val="28"/>
          <w:szCs w:val="28"/>
          <w:rtl/>
          <w:lang w:val="en-AE" w:bidi="ar-JO"/>
        </w:rPr>
        <w:footnoteReference w:id="138"/>
      </w:r>
      <w:r w:rsidRPr="00B529EB">
        <w:rPr>
          <w:rFonts w:ascii="Arabic Transparent" w:hAnsi="Arabic Transparent" w:cs="Arabic Transparent" w:hint="cs"/>
          <w:sz w:val="28"/>
          <w:szCs w:val="28"/>
          <w:vertAlign w:val="superscript"/>
          <w:rtl/>
          <w:lang w:val="en-AE" w:bidi="ar-JO"/>
        </w:rPr>
        <w:t>)</w:t>
      </w:r>
      <w:r w:rsidR="006A1105">
        <w:rPr>
          <w:rFonts w:ascii="Arabic Transparent" w:hAnsi="Arabic Transparent" w:cs="Arabic Transparent" w:hint="cs"/>
          <w:sz w:val="28"/>
          <w:szCs w:val="28"/>
          <w:rtl/>
          <w:lang w:val="en-AE" w:bidi="ar-JO"/>
        </w:rPr>
        <w:t>.</w:t>
      </w:r>
    </w:p>
    <w:p w14:paraId="2900351D" w14:textId="7E1BD2FC" w:rsidR="00280166" w:rsidRPr="00B529EB" w:rsidRDefault="00415F66" w:rsidP="006A1105">
      <w:pPr>
        <w:spacing w:after="0" w:line="360" w:lineRule="auto"/>
        <w:ind w:firstLine="332"/>
        <w:jc w:val="both"/>
        <w:rPr>
          <w:rFonts w:ascii="Arabic Transparent" w:hAnsi="Arabic Transparent" w:cs="Arabic Transparent"/>
          <w:sz w:val="28"/>
          <w:szCs w:val="28"/>
          <w:rtl/>
          <w:lang w:val="en-AE" w:bidi="ar-JO"/>
        </w:rPr>
      </w:pPr>
      <w:r w:rsidRPr="00B529EB">
        <w:rPr>
          <w:rFonts w:ascii="Arabic Transparent" w:hAnsi="Arabic Transparent" w:cs="Arabic Transparent" w:hint="cs"/>
          <w:sz w:val="28"/>
          <w:szCs w:val="28"/>
          <w:rtl/>
          <w:lang w:val="en-AE" w:bidi="ar-JO"/>
        </w:rPr>
        <w:t>وعر</w:t>
      </w:r>
      <w:r w:rsidR="00805167">
        <w:rPr>
          <w:rFonts w:ascii="Arabic Transparent" w:hAnsi="Arabic Transparent" w:cs="Arabic Transparent" w:hint="cs"/>
          <w:sz w:val="28"/>
          <w:szCs w:val="28"/>
          <w:rtl/>
          <w:lang w:val="en-AE" w:bidi="ar-JO"/>
        </w:rPr>
        <w:t>َّ</w:t>
      </w:r>
      <w:r w:rsidRPr="00B529EB">
        <w:rPr>
          <w:rFonts w:ascii="Arabic Transparent" w:hAnsi="Arabic Transparent" w:cs="Arabic Transparent" w:hint="cs"/>
          <w:sz w:val="28"/>
          <w:szCs w:val="28"/>
          <w:rtl/>
          <w:lang w:val="en-AE" w:bidi="ar-JO"/>
        </w:rPr>
        <w:t>فه ابن عبد البر</w:t>
      </w:r>
      <w:r w:rsidR="000F026C">
        <w:rPr>
          <w:rFonts w:ascii="Arabic Transparent" w:hAnsi="Arabic Transparent" w:cs="Arabic Transparent" w:hint="cs"/>
          <w:sz w:val="28"/>
          <w:szCs w:val="28"/>
          <w:rtl/>
          <w:lang w:val="en-AE" w:bidi="ar-JO"/>
        </w:rPr>
        <w:t xml:space="preserve">، </w:t>
      </w:r>
      <w:r w:rsidRPr="00B529EB">
        <w:rPr>
          <w:rFonts w:ascii="Arabic Transparent" w:hAnsi="Arabic Transparent" w:cs="Arabic Transparent" w:hint="cs"/>
          <w:sz w:val="28"/>
          <w:szCs w:val="28"/>
          <w:rtl/>
          <w:lang w:val="en-AE" w:bidi="ar-JO"/>
        </w:rPr>
        <w:t xml:space="preserve">بأنه: "ردّ المسألة إلى أصل من أصول الشريعة </w:t>
      </w:r>
      <w:r w:rsidR="009F1413" w:rsidRPr="00B529EB">
        <w:rPr>
          <w:rFonts w:ascii="Arabic Transparent" w:hAnsi="Arabic Transparent" w:cs="Arabic Transparent" w:hint="cs"/>
          <w:sz w:val="28"/>
          <w:szCs w:val="28"/>
          <w:rtl/>
          <w:lang w:val="en-AE" w:bidi="ar-JO"/>
        </w:rPr>
        <w:t>وتحريره"</w:t>
      </w:r>
      <w:r w:rsidR="009F1413" w:rsidRPr="00B529EB">
        <w:rPr>
          <w:rFonts w:ascii="Arabic Transparent" w:hAnsi="Arabic Transparent" w:cs="Arabic Transparent" w:hint="cs"/>
          <w:sz w:val="28"/>
          <w:szCs w:val="28"/>
          <w:vertAlign w:val="superscript"/>
          <w:rtl/>
          <w:lang w:val="en-AE" w:bidi="ar-JO"/>
        </w:rPr>
        <w:t>(</w:t>
      </w:r>
      <w:r w:rsidR="009F1413" w:rsidRPr="00B529EB">
        <w:rPr>
          <w:rStyle w:val="FootnoteReference"/>
          <w:rFonts w:ascii="Arabic Transparent" w:hAnsi="Arabic Transparent" w:cs="Arabic Transparent" w:hint="cs"/>
          <w:sz w:val="28"/>
          <w:szCs w:val="28"/>
          <w:rtl/>
          <w:lang w:val="en-AE" w:bidi="ar-JO"/>
        </w:rPr>
        <w:footnoteReference w:id="139"/>
      </w:r>
      <w:r w:rsidR="009F1413" w:rsidRPr="00B529EB">
        <w:rPr>
          <w:rFonts w:ascii="Arabic Transparent" w:hAnsi="Arabic Transparent" w:cs="Arabic Transparent" w:hint="cs"/>
          <w:sz w:val="28"/>
          <w:szCs w:val="28"/>
          <w:vertAlign w:val="superscript"/>
          <w:rtl/>
          <w:lang w:val="en-AE" w:bidi="ar-JO"/>
        </w:rPr>
        <w:t>)</w:t>
      </w:r>
      <w:r w:rsidR="006A1105">
        <w:rPr>
          <w:rFonts w:ascii="Arabic Transparent" w:hAnsi="Arabic Transparent" w:cs="Arabic Transparent" w:hint="cs"/>
          <w:sz w:val="28"/>
          <w:szCs w:val="28"/>
          <w:rtl/>
          <w:lang w:val="en-AE" w:bidi="ar-JO"/>
        </w:rPr>
        <w:t>.</w:t>
      </w:r>
      <w:r w:rsidR="00280166" w:rsidRPr="00B529EB">
        <w:rPr>
          <w:rFonts w:ascii="Arabic Transparent" w:hAnsi="Arabic Transparent" w:cs="Arabic Transparent" w:hint="cs"/>
          <w:sz w:val="28"/>
          <w:szCs w:val="28"/>
          <w:rtl/>
          <w:lang w:val="en-AE" w:bidi="ar-JO"/>
        </w:rPr>
        <w:t xml:space="preserve"> </w:t>
      </w:r>
    </w:p>
    <w:p w14:paraId="48AC623B" w14:textId="7EB80C9C" w:rsidR="00F74288" w:rsidRPr="00B529EB" w:rsidRDefault="00280166" w:rsidP="00F647F4">
      <w:pPr>
        <w:spacing w:after="0" w:line="360" w:lineRule="auto"/>
        <w:ind w:firstLine="332"/>
        <w:jc w:val="both"/>
        <w:rPr>
          <w:rFonts w:ascii="Arabic Transparent" w:hAnsi="Arabic Transparent" w:cs="Arabic Transparent"/>
          <w:sz w:val="28"/>
          <w:szCs w:val="28"/>
          <w:rtl/>
          <w:lang w:val="en-AE" w:bidi="ar-JO"/>
        </w:rPr>
      </w:pPr>
      <w:r w:rsidRPr="00B529EB">
        <w:rPr>
          <w:rFonts w:ascii="Arabic Transparent" w:hAnsi="Arabic Transparent" w:cs="Arabic Transparent" w:hint="cs"/>
          <w:sz w:val="28"/>
          <w:szCs w:val="28"/>
          <w:rtl/>
          <w:lang w:val="en-AE" w:bidi="ar-JO"/>
        </w:rPr>
        <w:t>وعر</w:t>
      </w:r>
      <w:r w:rsidR="00805167">
        <w:rPr>
          <w:rFonts w:ascii="Arabic Transparent" w:hAnsi="Arabic Transparent" w:cs="Arabic Transparent" w:hint="cs"/>
          <w:sz w:val="28"/>
          <w:szCs w:val="28"/>
          <w:rtl/>
          <w:lang w:val="en-AE" w:bidi="ar-JO"/>
        </w:rPr>
        <w:t>َّ</w:t>
      </w:r>
      <w:r w:rsidRPr="00B529EB">
        <w:rPr>
          <w:rFonts w:ascii="Arabic Transparent" w:hAnsi="Arabic Transparent" w:cs="Arabic Transparent" w:hint="cs"/>
          <w:sz w:val="28"/>
          <w:szCs w:val="28"/>
          <w:rtl/>
          <w:lang w:val="en-AE" w:bidi="ar-JO"/>
        </w:rPr>
        <w:t>فه القرضاوي</w:t>
      </w:r>
      <w:r w:rsidR="008C71CD">
        <w:rPr>
          <w:rFonts w:ascii="Arabic Transparent" w:hAnsi="Arabic Transparent" w:cs="Arabic Transparent" w:hint="cs"/>
          <w:sz w:val="28"/>
          <w:szCs w:val="28"/>
          <w:rtl/>
          <w:lang w:val="en-AE" w:bidi="ar-JO"/>
        </w:rPr>
        <w:t>،</w:t>
      </w:r>
      <w:r w:rsidRPr="00B529EB">
        <w:rPr>
          <w:rFonts w:ascii="Arabic Transparent" w:hAnsi="Arabic Transparent" w:cs="Arabic Transparent" w:hint="cs"/>
          <w:sz w:val="28"/>
          <w:szCs w:val="28"/>
          <w:rtl/>
          <w:lang w:val="en-AE" w:bidi="ar-JO"/>
        </w:rPr>
        <w:t xml:space="preserve"> </w:t>
      </w:r>
      <w:r w:rsidR="00805167">
        <w:rPr>
          <w:rFonts w:ascii="Arabic Transparent" w:hAnsi="Arabic Transparent" w:cs="Arabic Transparent" w:hint="cs"/>
          <w:sz w:val="28"/>
          <w:szCs w:val="28"/>
          <w:rtl/>
          <w:lang w:val="en-AE" w:bidi="ar-JO"/>
        </w:rPr>
        <w:t>ب</w:t>
      </w:r>
      <w:r w:rsidRPr="00B529EB">
        <w:rPr>
          <w:rFonts w:ascii="Arabic Transparent" w:hAnsi="Arabic Transparent" w:cs="Arabic Transparent" w:hint="cs"/>
          <w:sz w:val="28"/>
          <w:szCs w:val="28"/>
          <w:rtl/>
          <w:lang w:val="en-AE" w:bidi="ar-JO"/>
        </w:rPr>
        <w:t>أن</w:t>
      </w:r>
      <w:r w:rsidR="008C71CD">
        <w:rPr>
          <w:rFonts w:ascii="Arabic Transparent" w:hAnsi="Arabic Transparent" w:cs="Arabic Transparent" w:hint="cs"/>
          <w:sz w:val="28"/>
          <w:szCs w:val="28"/>
          <w:rtl/>
          <w:lang w:val="en-AE" w:bidi="ar-JO"/>
        </w:rPr>
        <w:t>َّ</w:t>
      </w:r>
      <w:r w:rsidRPr="00B529EB">
        <w:rPr>
          <w:rFonts w:ascii="Arabic Transparent" w:hAnsi="Arabic Transparent" w:cs="Arabic Transparent" w:hint="cs"/>
          <w:sz w:val="28"/>
          <w:szCs w:val="28"/>
          <w:rtl/>
          <w:lang w:val="en-AE" w:bidi="ar-JO"/>
        </w:rPr>
        <w:t>ه: "تطبيق النص الشرعي على الواقعة العلمية"</w:t>
      </w:r>
      <w:r w:rsidRPr="00B529EB">
        <w:rPr>
          <w:rFonts w:ascii="Arabic Transparent" w:hAnsi="Arabic Transparent" w:cs="Arabic Transparent" w:hint="cs"/>
          <w:sz w:val="28"/>
          <w:szCs w:val="28"/>
          <w:vertAlign w:val="superscript"/>
          <w:rtl/>
          <w:lang w:val="en-AE" w:bidi="ar-JO"/>
        </w:rPr>
        <w:t>(</w:t>
      </w:r>
      <w:r w:rsidRPr="00B529EB">
        <w:rPr>
          <w:rStyle w:val="FootnoteReference"/>
          <w:rFonts w:ascii="Arabic Transparent" w:hAnsi="Arabic Transparent" w:cs="Arabic Transparent" w:hint="cs"/>
          <w:sz w:val="28"/>
          <w:szCs w:val="28"/>
          <w:rtl/>
          <w:lang w:val="en-AE" w:bidi="ar-JO"/>
        </w:rPr>
        <w:footnoteReference w:id="140"/>
      </w:r>
      <w:r w:rsidRPr="00B529EB">
        <w:rPr>
          <w:rFonts w:ascii="Arabic Transparent" w:hAnsi="Arabic Transparent" w:cs="Arabic Transparent" w:hint="cs"/>
          <w:sz w:val="28"/>
          <w:szCs w:val="28"/>
          <w:vertAlign w:val="superscript"/>
          <w:rtl/>
          <w:lang w:val="en-AE" w:bidi="ar-JO"/>
        </w:rPr>
        <w:t>)</w:t>
      </w:r>
      <w:r w:rsidRPr="00B529EB">
        <w:rPr>
          <w:rFonts w:ascii="Arabic Transparent" w:hAnsi="Arabic Transparent" w:cs="Arabic Transparent" w:hint="cs"/>
          <w:sz w:val="28"/>
          <w:szCs w:val="28"/>
          <w:rtl/>
          <w:lang w:val="en-AE" w:bidi="ar-JO"/>
        </w:rPr>
        <w:t xml:space="preserve"> ومما يؤخذ على هذا التعريف أنه غير جامع، حيث جعل معنى التكييف مرادفاً لمعنى التطبيق مع أنهما متغايران كلياً، فالتكييف الفقهي مرحلة سابقة للتطبيق</w:t>
      </w:r>
      <w:r w:rsidR="008C71CD">
        <w:rPr>
          <w:rFonts w:ascii="Arabic Transparent" w:hAnsi="Arabic Transparent" w:cs="Arabic Transparent" w:hint="cs"/>
          <w:sz w:val="28"/>
          <w:szCs w:val="28"/>
          <w:rtl/>
          <w:lang w:val="en-AE" w:bidi="ar-JO"/>
        </w:rPr>
        <w:t>،</w:t>
      </w:r>
      <w:r w:rsidRPr="00B529EB">
        <w:rPr>
          <w:rFonts w:ascii="Arabic Transparent" w:hAnsi="Arabic Transparent" w:cs="Arabic Transparent" w:hint="cs"/>
          <w:sz w:val="28"/>
          <w:szCs w:val="28"/>
          <w:rtl/>
          <w:lang w:val="en-AE" w:bidi="ar-JO"/>
        </w:rPr>
        <w:t xml:space="preserve"> والتطبيق آخر مرحلة من مراحل الاجتهاد التنزيلي، </w:t>
      </w:r>
      <w:r w:rsidR="00F647F4">
        <w:rPr>
          <w:rFonts w:ascii="Arabic Transparent" w:hAnsi="Arabic Transparent" w:cs="Arabic Transparent" w:hint="cs"/>
          <w:sz w:val="28"/>
          <w:szCs w:val="28"/>
          <w:rtl/>
          <w:lang w:val="en-AE" w:bidi="ar-JO"/>
        </w:rPr>
        <w:t>"</w:t>
      </w:r>
      <w:r w:rsidRPr="00B529EB">
        <w:rPr>
          <w:rFonts w:ascii="Arabic Transparent" w:hAnsi="Arabic Transparent" w:cs="Arabic Transparent" w:hint="cs"/>
          <w:sz w:val="28"/>
          <w:szCs w:val="28"/>
          <w:rtl/>
          <w:lang w:val="en-AE" w:bidi="ar-JO"/>
        </w:rPr>
        <w:t>ويمكن أن يفسر هذا التعريف أنه من حيث النتيجة والأثر في عملية المقاربة والانسجام بين الفرع والأصل</w:t>
      </w:r>
      <w:r w:rsidR="00F647F4" w:rsidRPr="00F647F4">
        <w:rPr>
          <w:rFonts w:ascii="Arabic Transparent" w:hAnsi="Arabic Transparent" w:cs="Arabic Transparent" w:hint="cs"/>
          <w:b/>
          <w:bCs/>
          <w:sz w:val="28"/>
          <w:szCs w:val="28"/>
          <w:vertAlign w:val="superscript"/>
          <w:rtl/>
          <w:lang w:val="en-AE" w:bidi="ar-JO"/>
        </w:rPr>
        <w:t>"</w:t>
      </w:r>
      <w:r w:rsidRPr="00B529EB">
        <w:rPr>
          <w:rFonts w:ascii="Arabic Transparent" w:hAnsi="Arabic Transparent" w:cs="Arabic Transparent" w:hint="cs"/>
          <w:sz w:val="28"/>
          <w:szCs w:val="28"/>
          <w:vertAlign w:val="superscript"/>
          <w:rtl/>
          <w:lang w:val="en-AE" w:bidi="ar-JO"/>
        </w:rPr>
        <w:t>(</w:t>
      </w:r>
      <w:r w:rsidRPr="00B529EB">
        <w:rPr>
          <w:rStyle w:val="FootnoteReference"/>
          <w:rFonts w:ascii="Arabic Transparent" w:hAnsi="Arabic Transparent" w:cs="Arabic Transparent" w:hint="cs"/>
          <w:sz w:val="28"/>
          <w:szCs w:val="28"/>
          <w:rtl/>
          <w:lang w:val="en-AE" w:bidi="ar-JO"/>
        </w:rPr>
        <w:footnoteReference w:id="141"/>
      </w:r>
      <w:r w:rsidRPr="00B529EB">
        <w:rPr>
          <w:rFonts w:ascii="Arabic Transparent" w:hAnsi="Arabic Transparent" w:cs="Arabic Transparent" w:hint="cs"/>
          <w:sz w:val="28"/>
          <w:szCs w:val="28"/>
          <w:vertAlign w:val="superscript"/>
          <w:rtl/>
          <w:lang w:val="en-AE" w:bidi="ar-JO"/>
        </w:rPr>
        <w:t>)</w:t>
      </w:r>
      <w:r w:rsidR="00F647F4">
        <w:rPr>
          <w:rFonts w:ascii="Arabic Transparent" w:hAnsi="Arabic Transparent" w:cs="Arabic Transparent" w:hint="cs"/>
          <w:sz w:val="28"/>
          <w:szCs w:val="28"/>
          <w:rtl/>
          <w:lang w:val="en-AE" w:bidi="ar-JO"/>
        </w:rPr>
        <w:t>،</w:t>
      </w:r>
      <w:r w:rsidR="009150C6" w:rsidRPr="00B529EB">
        <w:rPr>
          <w:rFonts w:ascii="Arabic Transparent" w:hAnsi="Arabic Transparent" w:cs="Arabic Transparent" w:hint="cs"/>
          <w:sz w:val="28"/>
          <w:szCs w:val="28"/>
          <w:rtl/>
          <w:lang w:val="en-AE" w:bidi="ar-JO"/>
        </w:rPr>
        <w:t xml:space="preserve">وهو ما يقوم به المجتهد من مقاربة بين الواقعة المعاصرة التي لم ينص عليها </w:t>
      </w:r>
      <w:r w:rsidR="00D457EE" w:rsidRPr="00B529EB">
        <w:rPr>
          <w:rFonts w:ascii="Arabic Transparent" w:hAnsi="Arabic Transparent" w:cs="Arabic Transparent" w:hint="cs"/>
          <w:sz w:val="28"/>
          <w:szCs w:val="28"/>
          <w:rtl/>
          <w:lang w:val="en-AE" w:bidi="ar-JO"/>
        </w:rPr>
        <w:t xml:space="preserve">مع التي وردت في </w:t>
      </w:r>
      <w:r w:rsidR="00024360" w:rsidRPr="00B529EB">
        <w:rPr>
          <w:rFonts w:ascii="Arabic Transparent" w:hAnsi="Arabic Transparent" w:cs="Arabic Transparent" w:hint="cs"/>
          <w:sz w:val="28"/>
          <w:szCs w:val="28"/>
          <w:rtl/>
          <w:lang w:val="en-AE" w:bidi="ar-JO"/>
        </w:rPr>
        <w:t>كتب الفقهاء المتقدمين.</w:t>
      </w:r>
    </w:p>
    <w:p w14:paraId="1E9DAF53" w14:textId="36175483" w:rsidR="00F74288" w:rsidRPr="00B529EB" w:rsidRDefault="000F4DC2" w:rsidP="00C16E33">
      <w:pPr>
        <w:spacing w:after="0" w:line="360" w:lineRule="auto"/>
        <w:jc w:val="both"/>
        <w:rPr>
          <w:rFonts w:ascii="Arabic Transparent" w:hAnsi="Arabic Transparent" w:cs="Arabic Transparent"/>
          <w:sz w:val="28"/>
          <w:szCs w:val="28"/>
          <w:rtl/>
          <w:lang w:val="en-AE" w:bidi="ar-JO"/>
        </w:rPr>
      </w:pPr>
      <w:r>
        <w:rPr>
          <w:rFonts w:ascii="Arabic Transparent" w:hAnsi="Arabic Transparent" w:cs="Arabic Transparent" w:hint="cs"/>
          <w:sz w:val="28"/>
          <w:szCs w:val="28"/>
          <w:rtl/>
          <w:lang w:val="en-AE" w:bidi="ar-JO"/>
        </w:rPr>
        <w:t xml:space="preserve">     </w:t>
      </w:r>
      <w:r w:rsidR="00C16E33" w:rsidRPr="00B529EB">
        <w:rPr>
          <w:rFonts w:ascii="Arabic Transparent" w:hAnsi="Arabic Transparent" w:cs="Arabic Transparent" w:hint="cs"/>
          <w:sz w:val="28"/>
          <w:szCs w:val="28"/>
          <w:rtl/>
          <w:lang w:val="en-AE" w:bidi="ar-JO"/>
        </w:rPr>
        <w:t>وعرفه علي الخفيف</w:t>
      </w:r>
      <w:r w:rsidR="008C71CD">
        <w:rPr>
          <w:rFonts w:ascii="Arabic Transparent" w:hAnsi="Arabic Transparent" w:cs="Arabic Transparent" w:hint="cs"/>
          <w:sz w:val="28"/>
          <w:szCs w:val="28"/>
          <w:rtl/>
          <w:lang w:val="en-AE" w:bidi="ar-JO"/>
        </w:rPr>
        <w:t>،</w:t>
      </w:r>
      <w:r w:rsidR="00C16E33" w:rsidRPr="00B529EB">
        <w:rPr>
          <w:rFonts w:ascii="Arabic Transparent" w:hAnsi="Arabic Transparent" w:cs="Arabic Transparent" w:hint="cs"/>
          <w:sz w:val="28"/>
          <w:szCs w:val="28"/>
          <w:rtl/>
          <w:lang w:val="en-AE" w:bidi="ar-JO"/>
        </w:rPr>
        <w:t xml:space="preserve"> بأن</w:t>
      </w:r>
      <w:r w:rsidR="008C71CD">
        <w:rPr>
          <w:rFonts w:ascii="Arabic Transparent" w:hAnsi="Arabic Transparent" w:cs="Arabic Transparent" w:hint="cs"/>
          <w:sz w:val="28"/>
          <w:szCs w:val="28"/>
          <w:rtl/>
          <w:lang w:val="en-AE" w:bidi="ar-JO"/>
        </w:rPr>
        <w:t>َّ</w:t>
      </w:r>
      <w:r w:rsidR="00C16E33" w:rsidRPr="00B529EB">
        <w:rPr>
          <w:rFonts w:ascii="Arabic Transparent" w:hAnsi="Arabic Transparent" w:cs="Arabic Transparent" w:hint="cs"/>
          <w:sz w:val="28"/>
          <w:szCs w:val="28"/>
          <w:rtl/>
          <w:lang w:val="en-AE" w:bidi="ar-JO"/>
        </w:rPr>
        <w:t>ه:</w:t>
      </w:r>
      <w:r w:rsidR="00151AED">
        <w:rPr>
          <w:rFonts w:ascii="Arabic Transparent" w:hAnsi="Arabic Transparent" w:cs="Arabic Transparent" w:hint="cs"/>
          <w:sz w:val="28"/>
          <w:szCs w:val="28"/>
          <w:rtl/>
          <w:lang w:val="en-AE" w:bidi="ar-JO"/>
        </w:rPr>
        <w:t xml:space="preserve"> </w:t>
      </w:r>
      <w:r w:rsidR="00C16E33" w:rsidRPr="00B529EB">
        <w:rPr>
          <w:rFonts w:ascii="Arabic Transparent" w:hAnsi="Arabic Transparent" w:cs="Arabic Transparent" w:hint="cs"/>
          <w:sz w:val="28"/>
          <w:szCs w:val="28"/>
          <w:rtl/>
          <w:lang w:val="en-AE" w:bidi="ar-JO"/>
        </w:rPr>
        <w:t>"إلحاق عقد بعقد معين شبيه به من العقود التي عرفها الشارع، وعندئذ يعطى العقد الملحق الحكم الذي رتبه الفقهاء على العقد الملحق به: من صحة أو بطلان أو فساد، وذلك بالنظر في الأركان والشروط"</w:t>
      </w:r>
      <w:r w:rsidR="00C16E33" w:rsidRPr="00B529EB">
        <w:rPr>
          <w:rFonts w:ascii="Arabic Transparent" w:hAnsi="Arabic Transparent" w:cs="Arabic Transparent" w:hint="cs"/>
          <w:sz w:val="28"/>
          <w:szCs w:val="28"/>
          <w:vertAlign w:val="superscript"/>
          <w:rtl/>
          <w:lang w:val="en-AE" w:bidi="ar-JO"/>
        </w:rPr>
        <w:t>(</w:t>
      </w:r>
      <w:r w:rsidR="00C16E33" w:rsidRPr="00B529EB">
        <w:rPr>
          <w:rStyle w:val="FootnoteReference"/>
          <w:rFonts w:ascii="Arabic Transparent" w:hAnsi="Arabic Transparent" w:cs="Arabic Transparent" w:hint="cs"/>
          <w:sz w:val="28"/>
          <w:szCs w:val="28"/>
          <w:rtl/>
          <w:lang w:val="en-AE" w:bidi="ar-JO"/>
        </w:rPr>
        <w:footnoteReference w:id="142"/>
      </w:r>
      <w:r w:rsidR="00C16E33" w:rsidRPr="00B529EB">
        <w:rPr>
          <w:rFonts w:ascii="Arabic Transparent" w:hAnsi="Arabic Transparent" w:cs="Arabic Transparent" w:hint="cs"/>
          <w:sz w:val="28"/>
          <w:szCs w:val="28"/>
          <w:vertAlign w:val="superscript"/>
          <w:rtl/>
          <w:lang w:val="en-AE" w:bidi="ar-JO"/>
        </w:rPr>
        <w:t>)</w:t>
      </w:r>
      <w:r w:rsidR="006D4091">
        <w:rPr>
          <w:rFonts w:ascii="Arabic Transparent" w:hAnsi="Arabic Transparent" w:cs="Arabic Transparent" w:hint="cs"/>
          <w:sz w:val="28"/>
          <w:szCs w:val="28"/>
          <w:rtl/>
          <w:lang w:val="en-AE" w:bidi="ar-JO"/>
        </w:rPr>
        <w:t>.</w:t>
      </w:r>
    </w:p>
    <w:p w14:paraId="35E6F43A" w14:textId="655F29F9" w:rsidR="00F647F4" w:rsidRDefault="00482A3F" w:rsidP="006A1105">
      <w:pPr>
        <w:spacing w:after="0" w:line="360" w:lineRule="auto"/>
        <w:ind w:firstLine="332"/>
        <w:jc w:val="both"/>
        <w:rPr>
          <w:rFonts w:ascii="Arabic Transparent" w:hAnsi="Arabic Transparent" w:cs="Arabic Transparent"/>
          <w:sz w:val="28"/>
          <w:szCs w:val="28"/>
          <w:rtl/>
          <w:lang w:val="en-AE" w:bidi="ar-JO"/>
        </w:rPr>
      </w:pPr>
      <w:r w:rsidRPr="00B529EB">
        <w:rPr>
          <w:rFonts w:ascii="Arabic Transparent" w:hAnsi="Arabic Transparent" w:cs="Arabic Transparent" w:hint="cs"/>
          <w:sz w:val="28"/>
          <w:szCs w:val="28"/>
          <w:rtl/>
          <w:lang w:val="en-AE" w:bidi="ar-JO"/>
        </w:rPr>
        <w:t>ويؤخذ على هذا التعريف أنه قصر التكييف الفقهي في المعاملات</w:t>
      </w:r>
      <w:r w:rsidR="008C71CD">
        <w:rPr>
          <w:rFonts w:ascii="Arabic Transparent" w:hAnsi="Arabic Transparent" w:cs="Arabic Transparent" w:hint="cs"/>
          <w:sz w:val="28"/>
          <w:szCs w:val="28"/>
          <w:rtl/>
          <w:lang w:val="en-AE" w:bidi="ar-JO"/>
        </w:rPr>
        <w:t>،</w:t>
      </w:r>
      <w:r w:rsidRPr="00B529EB">
        <w:rPr>
          <w:rFonts w:ascii="Arabic Transparent" w:hAnsi="Arabic Transparent" w:cs="Arabic Transparent" w:hint="cs"/>
          <w:sz w:val="28"/>
          <w:szCs w:val="28"/>
          <w:rtl/>
          <w:lang w:val="en-AE" w:bidi="ar-JO"/>
        </w:rPr>
        <w:t xml:space="preserve"> وهو معمول فيه في جميع النوازل المعاصرة، لذلك يرى الباحث أن أفضل هذه التعريفات بعبارات جزلة ومحدودة ما عرفه قلعجي بأنه: "تحرير المسألة وبيان انتمائها إلى أصل معين معتبر"</w:t>
      </w:r>
      <w:r w:rsidRPr="00B529EB">
        <w:rPr>
          <w:rFonts w:ascii="Arabic Transparent" w:hAnsi="Arabic Transparent" w:cs="Arabic Transparent" w:hint="cs"/>
          <w:sz w:val="28"/>
          <w:szCs w:val="28"/>
          <w:vertAlign w:val="superscript"/>
          <w:rtl/>
          <w:lang w:val="en-AE" w:bidi="ar-JO"/>
        </w:rPr>
        <w:t>(</w:t>
      </w:r>
      <w:r w:rsidRPr="00B529EB">
        <w:rPr>
          <w:rStyle w:val="FootnoteReference"/>
          <w:rFonts w:ascii="Arabic Transparent" w:hAnsi="Arabic Transparent" w:cs="Arabic Transparent" w:hint="cs"/>
          <w:sz w:val="28"/>
          <w:szCs w:val="28"/>
          <w:rtl/>
          <w:lang w:val="en-AE" w:bidi="ar-JO"/>
        </w:rPr>
        <w:footnoteReference w:id="143"/>
      </w:r>
      <w:r w:rsidRPr="00B529EB">
        <w:rPr>
          <w:rFonts w:ascii="Arabic Transparent" w:hAnsi="Arabic Transparent" w:cs="Arabic Transparent" w:hint="cs"/>
          <w:sz w:val="28"/>
          <w:szCs w:val="28"/>
          <w:vertAlign w:val="superscript"/>
          <w:rtl/>
          <w:lang w:val="en-AE" w:bidi="ar-JO"/>
        </w:rPr>
        <w:t>)</w:t>
      </w:r>
      <w:r w:rsidR="00024360" w:rsidRPr="00B529EB">
        <w:rPr>
          <w:rFonts w:ascii="Arabic Transparent" w:hAnsi="Arabic Transparent" w:cs="Arabic Transparent" w:hint="cs"/>
          <w:sz w:val="28"/>
          <w:szCs w:val="28"/>
          <w:rtl/>
          <w:lang w:val="en-AE" w:bidi="ar-JO"/>
        </w:rPr>
        <w:t xml:space="preserve"> ويقصد بذلك تحديد موقع المسألة من الأبواب الفقهية التي تنتمي لها ويكون ذلك بعد المرحلة الأولى وهي تصور المسألة بشكل كامل.</w:t>
      </w:r>
    </w:p>
    <w:p w14:paraId="0EDA1585" w14:textId="77777777" w:rsidR="00F647F4" w:rsidRDefault="00F647F4">
      <w:pPr>
        <w:bidi w:val="0"/>
        <w:spacing w:after="0" w:line="240" w:lineRule="auto"/>
        <w:rPr>
          <w:rFonts w:ascii="Arabic Transparent" w:hAnsi="Arabic Transparent" w:cs="Arabic Transparent"/>
          <w:sz w:val="28"/>
          <w:szCs w:val="28"/>
          <w:rtl/>
          <w:lang w:val="en-AE" w:bidi="ar-JO"/>
        </w:rPr>
      </w:pPr>
      <w:r>
        <w:rPr>
          <w:rFonts w:ascii="Arabic Transparent" w:hAnsi="Arabic Transparent" w:cs="Arabic Transparent"/>
          <w:sz w:val="28"/>
          <w:szCs w:val="28"/>
          <w:rtl/>
          <w:lang w:val="en-AE" w:bidi="ar-JO"/>
        </w:rPr>
        <w:lastRenderedPageBreak/>
        <w:br w:type="page"/>
      </w:r>
    </w:p>
    <w:p w14:paraId="3ABCE67A" w14:textId="72B3BC87" w:rsidR="00024360" w:rsidRPr="00B529EB" w:rsidRDefault="00024360" w:rsidP="006A1105">
      <w:pPr>
        <w:spacing w:after="0" w:line="360" w:lineRule="auto"/>
        <w:ind w:firstLine="332"/>
        <w:jc w:val="both"/>
        <w:rPr>
          <w:rFonts w:ascii="Arabic Transparent" w:hAnsi="Arabic Transparent" w:cs="Arabic Transparent"/>
          <w:sz w:val="28"/>
          <w:szCs w:val="28"/>
          <w:rtl/>
          <w:lang w:val="en-AE" w:bidi="ar-JO"/>
        </w:rPr>
      </w:pPr>
      <w:r w:rsidRPr="00B529EB">
        <w:rPr>
          <w:rFonts w:ascii="Arabic Transparent" w:hAnsi="Arabic Transparent" w:cs="Arabic Transparent" w:hint="cs"/>
          <w:sz w:val="28"/>
          <w:szCs w:val="28"/>
          <w:rtl/>
          <w:lang w:val="en-AE" w:bidi="ar-JO"/>
        </w:rPr>
        <w:t>أما بالنسبة للعلاقة بتحقيق المناط فهي علاقة التابع بالمتبوع</w:t>
      </w:r>
      <w:r w:rsidR="00C95265">
        <w:rPr>
          <w:rFonts w:ascii="Arabic Transparent" w:hAnsi="Arabic Transparent" w:cs="Arabic Transparent" w:hint="cs"/>
          <w:sz w:val="28"/>
          <w:szCs w:val="28"/>
          <w:rtl/>
          <w:lang w:val="en-AE" w:bidi="ar-JO"/>
        </w:rPr>
        <w:t>،</w:t>
      </w:r>
      <w:r w:rsidRPr="00B529EB">
        <w:rPr>
          <w:rFonts w:ascii="Arabic Transparent" w:hAnsi="Arabic Transparent" w:cs="Arabic Transparent" w:hint="cs"/>
          <w:sz w:val="28"/>
          <w:szCs w:val="28"/>
          <w:rtl/>
          <w:lang w:val="en-AE" w:bidi="ar-JO"/>
        </w:rPr>
        <w:t xml:space="preserve"> وعلاقة المقدمات والمتممات</w:t>
      </w:r>
      <w:r w:rsidR="008C71CD">
        <w:rPr>
          <w:rFonts w:ascii="Arabic Transparent" w:hAnsi="Arabic Transparent" w:cs="Arabic Transparent" w:hint="cs"/>
          <w:sz w:val="28"/>
          <w:szCs w:val="28"/>
          <w:rtl/>
          <w:lang w:val="en-AE" w:bidi="ar-JO"/>
        </w:rPr>
        <w:t>،</w:t>
      </w:r>
      <w:r w:rsidRPr="00B529EB">
        <w:rPr>
          <w:rFonts w:ascii="Arabic Transparent" w:hAnsi="Arabic Transparent" w:cs="Arabic Transparent" w:hint="cs"/>
          <w:sz w:val="28"/>
          <w:szCs w:val="28"/>
          <w:rtl/>
          <w:lang w:val="en-AE" w:bidi="ar-JO"/>
        </w:rPr>
        <w:t xml:space="preserve"> فيأتي دور تحقيق المناط للتأكد من دقة التكييف الفقهي الذي أجراه المجتهد عند إدراجه للمسألة تحت باب من الأبواب الفقهية.</w:t>
      </w:r>
    </w:p>
    <w:p w14:paraId="0AC29CE0" w14:textId="15CF091B" w:rsidR="002A1586" w:rsidRPr="008C71CD" w:rsidRDefault="008770F2" w:rsidP="002A1586">
      <w:pPr>
        <w:spacing w:after="0" w:line="360" w:lineRule="auto"/>
        <w:jc w:val="both"/>
        <w:rPr>
          <w:rFonts w:ascii="Arabic Transparent" w:hAnsi="Arabic Transparent" w:cs="Arabic Transparent"/>
          <w:b/>
          <w:bCs/>
          <w:sz w:val="28"/>
          <w:szCs w:val="28"/>
          <w:rtl/>
          <w:lang w:val="en-AE" w:bidi="ar-JO"/>
        </w:rPr>
      </w:pPr>
      <w:r>
        <w:rPr>
          <w:rFonts w:ascii="Arabic Transparent" w:hAnsi="Arabic Transparent" w:cs="Arabic Transparent" w:hint="cs"/>
          <w:b/>
          <w:bCs/>
          <w:sz w:val="28"/>
          <w:szCs w:val="28"/>
          <w:rtl/>
          <w:lang w:val="en-AE" w:bidi="ar-JO"/>
        </w:rPr>
        <w:t>الفرع الثالث</w:t>
      </w:r>
      <w:r w:rsidR="005E5428" w:rsidRPr="008C71CD">
        <w:rPr>
          <w:rFonts w:ascii="Arabic Transparent" w:hAnsi="Arabic Transparent" w:cs="Arabic Transparent" w:hint="cs"/>
          <w:b/>
          <w:bCs/>
          <w:sz w:val="28"/>
          <w:szCs w:val="28"/>
          <w:rtl/>
          <w:lang w:val="en-AE" w:bidi="ar-JO"/>
        </w:rPr>
        <w:t>:</w:t>
      </w:r>
      <w:r w:rsidR="002A1586" w:rsidRPr="008C71CD">
        <w:rPr>
          <w:rFonts w:ascii="Arabic Transparent" w:hAnsi="Arabic Transparent" w:cs="Arabic Transparent" w:hint="cs"/>
          <w:b/>
          <w:bCs/>
          <w:sz w:val="28"/>
          <w:szCs w:val="28"/>
          <w:rtl/>
          <w:lang w:val="en-AE" w:bidi="ar-JO"/>
        </w:rPr>
        <w:t xml:space="preserve"> </w:t>
      </w:r>
      <w:r w:rsidR="00024360" w:rsidRPr="008C71CD">
        <w:rPr>
          <w:rFonts w:ascii="Arabic Transparent" w:hAnsi="Arabic Transparent" w:cs="Arabic Transparent" w:hint="cs"/>
          <w:b/>
          <w:bCs/>
          <w:sz w:val="28"/>
          <w:szCs w:val="28"/>
          <w:rtl/>
          <w:lang w:val="en-AE" w:bidi="ar-JO"/>
        </w:rPr>
        <w:t>التطبيق</w:t>
      </w:r>
      <w:r w:rsidR="00514C65">
        <w:rPr>
          <w:rFonts w:ascii="Arabic Transparent" w:hAnsi="Arabic Transparent" w:cs="Arabic Transparent" w:hint="cs"/>
          <w:b/>
          <w:bCs/>
          <w:sz w:val="28"/>
          <w:szCs w:val="28"/>
          <w:rtl/>
          <w:lang w:val="en-AE" w:bidi="ar-JO"/>
        </w:rPr>
        <w:t>.</w:t>
      </w:r>
      <w:r w:rsidR="00024360" w:rsidRPr="008C71CD">
        <w:rPr>
          <w:rFonts w:ascii="Arabic Transparent" w:hAnsi="Arabic Transparent" w:cs="Arabic Transparent" w:hint="cs"/>
          <w:b/>
          <w:bCs/>
          <w:sz w:val="28"/>
          <w:szCs w:val="28"/>
          <w:rtl/>
          <w:lang w:val="en-AE" w:bidi="ar-JO"/>
        </w:rPr>
        <w:tab/>
      </w:r>
    </w:p>
    <w:p w14:paraId="0BAD3D92" w14:textId="53951A21" w:rsidR="00270A9D" w:rsidRPr="00827CC8" w:rsidRDefault="00270A9D" w:rsidP="002A1586">
      <w:pPr>
        <w:spacing w:after="0" w:line="360" w:lineRule="auto"/>
        <w:jc w:val="both"/>
        <w:rPr>
          <w:rFonts w:ascii="Arabic Transparent" w:hAnsi="Arabic Transparent" w:cs="Arabic Transparent"/>
          <w:sz w:val="28"/>
          <w:szCs w:val="28"/>
          <w:rtl/>
          <w:lang w:val="en-AE" w:bidi="ar-JO"/>
        </w:rPr>
      </w:pPr>
      <w:r w:rsidRPr="00827CC8">
        <w:rPr>
          <w:rFonts w:ascii="Arabic Transparent" w:hAnsi="Arabic Transparent" w:cs="Arabic Transparent" w:hint="cs"/>
          <w:sz w:val="28"/>
          <w:szCs w:val="28"/>
          <w:rtl/>
          <w:lang w:val="en-AE" w:bidi="ar-JO"/>
        </w:rPr>
        <w:t xml:space="preserve">1- التطبيق لغة: </w:t>
      </w:r>
      <w:r w:rsidR="00F647F4" w:rsidRPr="00F647F4">
        <w:rPr>
          <w:rFonts w:ascii="Arabic Transparent" w:hAnsi="Arabic Transparent" w:cs="Arabic Transparent"/>
          <w:sz w:val="28"/>
          <w:szCs w:val="28"/>
          <w:rtl/>
          <w:lang w:val="en-AE" w:bidi="ar-JO"/>
        </w:rPr>
        <w:t>"</w:t>
      </w:r>
      <w:r w:rsidRPr="00827CC8">
        <w:rPr>
          <w:rFonts w:ascii="Arabic Transparent" w:hAnsi="Arabic Transparent" w:cs="Arabic Transparent" w:hint="cs"/>
          <w:sz w:val="28"/>
          <w:szCs w:val="28"/>
          <w:rtl/>
          <w:lang w:val="en-AE" w:bidi="ar-JO"/>
        </w:rPr>
        <w:t>أصلها طبّق يطبق تطبيقاً،</w:t>
      </w:r>
      <w:r w:rsidR="00F0789F" w:rsidRPr="00827CC8">
        <w:rPr>
          <w:rFonts w:ascii="Arabic Transparent" w:hAnsi="Arabic Transparent" w:cs="Arabic Transparent" w:hint="cs"/>
          <w:sz w:val="28"/>
          <w:szCs w:val="28"/>
          <w:rtl/>
          <w:lang w:val="en-AE" w:bidi="ar-JO"/>
        </w:rPr>
        <w:t xml:space="preserve"> ومنها طَبَقَ: وهو يدلُّ على وضع </w:t>
      </w:r>
      <w:r w:rsidR="00536363" w:rsidRPr="00827CC8">
        <w:rPr>
          <w:rFonts w:ascii="Arabic Transparent" w:hAnsi="Arabic Transparent" w:cs="Arabic Transparent" w:hint="cs"/>
          <w:sz w:val="28"/>
          <w:szCs w:val="28"/>
          <w:rtl/>
          <w:lang w:val="en-AE" w:bidi="ar-JO"/>
        </w:rPr>
        <w:t>شي</w:t>
      </w:r>
      <w:r w:rsidR="00536363" w:rsidRPr="00827CC8">
        <w:rPr>
          <w:rFonts w:ascii="Arabic Transparent" w:hAnsi="Arabic Transparent" w:cs="Arabic Transparent" w:hint="eastAsia"/>
          <w:sz w:val="28"/>
          <w:szCs w:val="28"/>
          <w:rtl/>
          <w:lang w:val="en-AE" w:bidi="ar-JO"/>
        </w:rPr>
        <w:t>ء</w:t>
      </w:r>
      <w:r w:rsidR="00F0789F" w:rsidRPr="00827CC8">
        <w:rPr>
          <w:rFonts w:ascii="Arabic Transparent" w:hAnsi="Arabic Transparent" w:cs="Arabic Transparent" w:hint="cs"/>
          <w:sz w:val="28"/>
          <w:szCs w:val="28"/>
          <w:rtl/>
          <w:lang w:val="en-AE" w:bidi="ar-JO"/>
        </w:rPr>
        <w:t xml:space="preserve"> مبسوط على مِثله حتى يُغطِّيَه،</w:t>
      </w:r>
      <w:r w:rsidRPr="00827CC8">
        <w:rPr>
          <w:rFonts w:ascii="Arabic Transparent" w:hAnsi="Arabic Transparent" w:cs="Arabic Transparent" w:hint="cs"/>
          <w:sz w:val="28"/>
          <w:szCs w:val="28"/>
          <w:rtl/>
          <w:lang w:val="en-AE" w:bidi="ar-JO"/>
        </w:rPr>
        <w:t xml:space="preserve"> </w:t>
      </w:r>
      <w:r w:rsidR="00F0789F" w:rsidRPr="00827CC8">
        <w:rPr>
          <w:rFonts w:ascii="Arabic Transparent" w:hAnsi="Arabic Transparent" w:cs="Arabic Transparent" w:hint="cs"/>
          <w:sz w:val="28"/>
          <w:szCs w:val="28"/>
          <w:rtl/>
          <w:lang w:val="en-AE" w:bidi="ar-JO"/>
        </w:rPr>
        <w:t xml:space="preserve">وتطبيق </w:t>
      </w:r>
      <w:r w:rsidRPr="00827CC8">
        <w:rPr>
          <w:rFonts w:ascii="Arabic Transparent" w:hAnsi="Arabic Transparent" w:cs="Arabic Transparent" w:hint="cs"/>
          <w:sz w:val="28"/>
          <w:szCs w:val="28"/>
          <w:rtl/>
          <w:lang w:val="en-AE" w:bidi="ar-JO"/>
        </w:rPr>
        <w:t>وهي تعبر عن الجانب العملي بمعنى أنه نفذ وجهّز العمل الذي خطط له</w:t>
      </w:r>
      <w:r w:rsidR="00F647F4">
        <w:rPr>
          <w:rFonts w:ascii="Arabic Transparent" w:hAnsi="Arabic Transparent" w:cs="Arabic Transparent" w:hint="cs"/>
          <w:sz w:val="28"/>
          <w:szCs w:val="28"/>
          <w:rtl/>
          <w:lang w:val="en-AE" w:bidi="ar-JO"/>
        </w:rPr>
        <w:t>"</w:t>
      </w:r>
      <w:r w:rsidRPr="00827CC8">
        <w:rPr>
          <w:rFonts w:ascii="Arabic Transparent" w:hAnsi="Arabic Transparent" w:cs="Arabic Transparent" w:hint="cs"/>
          <w:sz w:val="28"/>
          <w:szCs w:val="28"/>
          <w:vertAlign w:val="superscript"/>
          <w:rtl/>
          <w:lang w:val="en-AE" w:bidi="ar-JO"/>
        </w:rPr>
        <w:t>(</w:t>
      </w:r>
      <w:r w:rsidRPr="00827CC8">
        <w:rPr>
          <w:rStyle w:val="FootnoteReference"/>
          <w:rFonts w:ascii="Arabic Transparent" w:hAnsi="Arabic Transparent" w:cs="Arabic Transparent" w:hint="cs"/>
          <w:sz w:val="28"/>
          <w:szCs w:val="28"/>
          <w:rtl/>
          <w:lang w:val="en-AE" w:bidi="ar-JO"/>
        </w:rPr>
        <w:footnoteReference w:id="144"/>
      </w:r>
      <w:r w:rsidRPr="00827CC8">
        <w:rPr>
          <w:rFonts w:ascii="Arabic Transparent" w:hAnsi="Arabic Transparent" w:cs="Arabic Transparent" w:hint="cs"/>
          <w:sz w:val="28"/>
          <w:szCs w:val="28"/>
          <w:vertAlign w:val="superscript"/>
          <w:rtl/>
          <w:lang w:val="en-AE" w:bidi="ar-JO"/>
        </w:rPr>
        <w:t>)</w:t>
      </w:r>
      <w:r w:rsidR="00514C65">
        <w:rPr>
          <w:rFonts w:ascii="Arabic Transparent" w:hAnsi="Arabic Transparent" w:cs="Arabic Transparent" w:hint="cs"/>
          <w:sz w:val="28"/>
          <w:szCs w:val="28"/>
          <w:rtl/>
          <w:lang w:val="en-AE" w:bidi="ar-JO"/>
        </w:rPr>
        <w:t>.</w:t>
      </w:r>
    </w:p>
    <w:p w14:paraId="62947F83" w14:textId="32EB52F1" w:rsidR="00270A9D" w:rsidRPr="00827CC8" w:rsidRDefault="00270A9D" w:rsidP="00514C65">
      <w:pPr>
        <w:spacing w:after="0" w:line="360" w:lineRule="auto"/>
        <w:jc w:val="both"/>
        <w:rPr>
          <w:rFonts w:ascii="Arabic Transparent" w:hAnsi="Arabic Transparent" w:cs="Arabic Transparent"/>
          <w:sz w:val="28"/>
          <w:szCs w:val="28"/>
          <w:rtl/>
          <w:lang w:val="en-AE" w:bidi="ar-JO"/>
        </w:rPr>
      </w:pPr>
      <w:r w:rsidRPr="00827CC8">
        <w:rPr>
          <w:rFonts w:ascii="Arabic Transparent" w:hAnsi="Arabic Transparent" w:cs="Arabic Transparent" w:hint="cs"/>
          <w:sz w:val="28"/>
          <w:szCs w:val="28"/>
          <w:rtl/>
          <w:lang w:val="en-AE" w:bidi="ar-JO"/>
        </w:rPr>
        <w:t>2- التطبيق اصطلاحاً: "تنزيل الحكم الشرعي على النازلة للوصول إلى حكمها بعد اكتمال كل ما يلزم لذلك"</w:t>
      </w:r>
      <w:r w:rsidRPr="00827CC8">
        <w:rPr>
          <w:rFonts w:ascii="Arabic Transparent" w:hAnsi="Arabic Transparent" w:cs="Arabic Transparent" w:hint="cs"/>
          <w:sz w:val="28"/>
          <w:szCs w:val="28"/>
          <w:vertAlign w:val="superscript"/>
          <w:rtl/>
          <w:lang w:val="en-AE" w:bidi="ar-JO"/>
        </w:rPr>
        <w:t>(</w:t>
      </w:r>
      <w:r w:rsidRPr="00827CC8">
        <w:rPr>
          <w:rStyle w:val="FootnoteReference"/>
          <w:rFonts w:ascii="Arabic Transparent" w:hAnsi="Arabic Transparent" w:cs="Arabic Transparent" w:hint="cs"/>
          <w:sz w:val="28"/>
          <w:szCs w:val="28"/>
          <w:rtl/>
          <w:lang w:val="en-AE" w:bidi="ar-JO"/>
        </w:rPr>
        <w:footnoteReference w:id="145"/>
      </w:r>
      <w:r w:rsidRPr="00827CC8">
        <w:rPr>
          <w:rFonts w:ascii="Arabic Transparent" w:hAnsi="Arabic Transparent" w:cs="Arabic Transparent" w:hint="cs"/>
          <w:sz w:val="28"/>
          <w:szCs w:val="28"/>
          <w:vertAlign w:val="superscript"/>
          <w:rtl/>
          <w:lang w:val="en-AE" w:bidi="ar-JO"/>
        </w:rPr>
        <w:t>)</w:t>
      </w:r>
      <w:r w:rsidR="00514C65">
        <w:rPr>
          <w:rFonts w:ascii="Arabic Transparent" w:hAnsi="Arabic Transparent" w:cs="Arabic Transparent" w:hint="cs"/>
          <w:sz w:val="28"/>
          <w:szCs w:val="28"/>
          <w:rtl/>
          <w:lang w:val="en-AE" w:bidi="ar-JO"/>
        </w:rPr>
        <w:t xml:space="preserve">، </w:t>
      </w:r>
      <w:r w:rsidR="00C12981" w:rsidRPr="00827CC8">
        <w:rPr>
          <w:rFonts w:ascii="Arabic Transparent" w:hAnsi="Arabic Transparent" w:cs="Arabic Transparent" w:hint="cs"/>
          <w:sz w:val="28"/>
          <w:szCs w:val="28"/>
          <w:rtl/>
          <w:lang w:val="en-AE" w:bidi="ar-JO"/>
        </w:rPr>
        <w:t>وهذ</w:t>
      </w:r>
      <w:r w:rsidR="00C95265">
        <w:rPr>
          <w:rFonts w:ascii="Arabic Transparent" w:hAnsi="Arabic Transparent" w:cs="Arabic Transparent" w:hint="cs"/>
          <w:sz w:val="28"/>
          <w:szCs w:val="28"/>
          <w:rtl/>
          <w:lang w:val="en-AE" w:bidi="ar-JO"/>
        </w:rPr>
        <w:t>ه</w:t>
      </w:r>
      <w:r w:rsidR="00C12981" w:rsidRPr="00827CC8">
        <w:rPr>
          <w:rFonts w:ascii="Arabic Transparent" w:hAnsi="Arabic Transparent" w:cs="Arabic Transparent" w:hint="cs"/>
          <w:sz w:val="28"/>
          <w:szCs w:val="28"/>
          <w:rtl/>
          <w:lang w:val="en-AE" w:bidi="ar-JO"/>
        </w:rPr>
        <w:t xml:space="preserve"> المرحلة هي ثمر</w:t>
      </w:r>
      <w:r w:rsidR="00C95265">
        <w:rPr>
          <w:rFonts w:ascii="Arabic Transparent" w:hAnsi="Arabic Transparent" w:cs="Arabic Transparent" w:hint="cs"/>
          <w:sz w:val="28"/>
          <w:szCs w:val="28"/>
          <w:rtl/>
          <w:lang w:val="en-AE" w:bidi="ar-JO"/>
        </w:rPr>
        <w:t>ة</w:t>
      </w:r>
      <w:r w:rsidR="00C12981" w:rsidRPr="00827CC8">
        <w:rPr>
          <w:rFonts w:ascii="Arabic Transparent" w:hAnsi="Arabic Transparent" w:cs="Arabic Transparent" w:hint="cs"/>
          <w:sz w:val="28"/>
          <w:szCs w:val="28"/>
          <w:rtl/>
          <w:lang w:val="en-AE" w:bidi="ar-JO"/>
        </w:rPr>
        <w:t xml:space="preserve"> مرحلتي التصور والتكييف، ولها أسماء عديدة عند الأصوليين</w:t>
      </w:r>
      <w:r w:rsidR="00C95265">
        <w:rPr>
          <w:rFonts w:ascii="Arabic Transparent" w:hAnsi="Arabic Transparent" w:cs="Arabic Transparent" w:hint="cs"/>
          <w:sz w:val="28"/>
          <w:szCs w:val="28"/>
          <w:rtl/>
          <w:lang w:val="en-AE" w:bidi="ar-JO"/>
        </w:rPr>
        <w:t>،</w:t>
      </w:r>
      <w:r w:rsidR="00514C65">
        <w:rPr>
          <w:rFonts w:ascii="Arabic Transparent" w:hAnsi="Arabic Transparent" w:cs="Arabic Transparent" w:hint="cs"/>
          <w:sz w:val="28"/>
          <w:szCs w:val="28"/>
          <w:rtl/>
          <w:lang w:val="en-AE" w:bidi="ar-JO"/>
        </w:rPr>
        <w:t xml:space="preserve"> </w:t>
      </w:r>
      <w:r w:rsidR="00C12981" w:rsidRPr="00827CC8">
        <w:rPr>
          <w:rFonts w:ascii="Arabic Transparent" w:hAnsi="Arabic Transparent" w:cs="Arabic Transparent" w:hint="cs"/>
          <w:sz w:val="28"/>
          <w:szCs w:val="28"/>
          <w:rtl/>
          <w:lang w:val="en-AE" w:bidi="ar-JO"/>
        </w:rPr>
        <w:t xml:space="preserve">فبعضهم من وصفها </w:t>
      </w:r>
      <w:r w:rsidR="00F647F4">
        <w:rPr>
          <w:rFonts w:ascii="Arabic Transparent" w:hAnsi="Arabic Transparent" w:cs="Arabic Transparent" w:hint="cs"/>
          <w:sz w:val="28"/>
          <w:szCs w:val="28"/>
          <w:rtl/>
          <w:lang w:val="en-AE" w:bidi="ar-JO"/>
        </w:rPr>
        <w:t>"</w:t>
      </w:r>
      <w:r w:rsidR="00C12981" w:rsidRPr="00827CC8">
        <w:rPr>
          <w:rFonts w:ascii="Arabic Transparent" w:hAnsi="Arabic Transparent" w:cs="Arabic Transparent" w:hint="cs"/>
          <w:sz w:val="28"/>
          <w:szCs w:val="28"/>
          <w:rtl/>
          <w:lang w:val="en-AE" w:bidi="ar-JO"/>
        </w:rPr>
        <w:t>بالاجتهاد التنزيلي</w:t>
      </w:r>
      <w:r w:rsidR="00C95265">
        <w:rPr>
          <w:rFonts w:ascii="Arabic Transparent" w:hAnsi="Arabic Transparent" w:cs="Arabic Transparent" w:hint="cs"/>
          <w:sz w:val="28"/>
          <w:szCs w:val="28"/>
          <w:rtl/>
          <w:lang w:val="en-AE" w:bidi="ar-JO"/>
        </w:rPr>
        <w:t>،</w:t>
      </w:r>
      <w:r w:rsidR="00C12981" w:rsidRPr="00827CC8">
        <w:rPr>
          <w:rFonts w:ascii="Arabic Transparent" w:hAnsi="Arabic Transparent" w:cs="Arabic Transparent" w:hint="cs"/>
          <w:sz w:val="28"/>
          <w:szCs w:val="28"/>
          <w:rtl/>
          <w:lang w:val="en-AE" w:bidi="ar-JO"/>
        </w:rPr>
        <w:t xml:space="preserve"> أو التطبيقي</w:t>
      </w:r>
      <w:r w:rsidR="00C95265">
        <w:rPr>
          <w:rFonts w:ascii="Arabic Transparent" w:hAnsi="Arabic Transparent" w:cs="Arabic Transparent" w:hint="cs"/>
          <w:sz w:val="28"/>
          <w:szCs w:val="28"/>
          <w:rtl/>
          <w:lang w:val="en-AE" w:bidi="ar-JO"/>
        </w:rPr>
        <w:t>،</w:t>
      </w:r>
      <w:r w:rsidR="00C12981" w:rsidRPr="00827CC8">
        <w:rPr>
          <w:rFonts w:ascii="Arabic Transparent" w:hAnsi="Arabic Transparent" w:cs="Arabic Transparent" w:hint="cs"/>
          <w:sz w:val="28"/>
          <w:szCs w:val="28"/>
          <w:rtl/>
          <w:lang w:val="en-AE" w:bidi="ar-JO"/>
        </w:rPr>
        <w:t xml:space="preserve"> أو التحقيقي نسبة إلى تحقيق المناط</w:t>
      </w:r>
      <w:r w:rsidR="00C95265">
        <w:rPr>
          <w:rFonts w:ascii="Arabic Transparent" w:hAnsi="Arabic Transparent" w:cs="Arabic Transparent" w:hint="cs"/>
          <w:sz w:val="28"/>
          <w:szCs w:val="28"/>
          <w:rtl/>
          <w:lang w:val="en-AE" w:bidi="ar-JO"/>
        </w:rPr>
        <w:t>،</w:t>
      </w:r>
      <w:r w:rsidR="00C12981" w:rsidRPr="00827CC8">
        <w:rPr>
          <w:rFonts w:ascii="Arabic Transparent" w:hAnsi="Arabic Transparent" w:cs="Arabic Transparent" w:hint="cs"/>
          <w:sz w:val="28"/>
          <w:szCs w:val="28"/>
          <w:rtl/>
          <w:lang w:val="en-AE" w:bidi="ar-JO"/>
        </w:rPr>
        <w:t xml:space="preserve"> ومنه تحقيق المناط الخاص</w:t>
      </w:r>
      <w:r w:rsidR="00F647F4">
        <w:rPr>
          <w:rFonts w:ascii="Arabic Transparent" w:hAnsi="Arabic Transparent" w:cs="Arabic Transparent" w:hint="cs"/>
          <w:sz w:val="28"/>
          <w:szCs w:val="28"/>
          <w:rtl/>
          <w:lang w:val="en-AE" w:bidi="ar-JO"/>
        </w:rPr>
        <w:t>"</w:t>
      </w:r>
      <w:r w:rsidR="00C12981" w:rsidRPr="00827CC8">
        <w:rPr>
          <w:rFonts w:ascii="Arabic Transparent" w:hAnsi="Arabic Transparent" w:cs="Arabic Transparent" w:hint="cs"/>
          <w:sz w:val="28"/>
          <w:szCs w:val="28"/>
          <w:vertAlign w:val="superscript"/>
          <w:rtl/>
          <w:lang w:val="en-AE" w:bidi="ar-JO"/>
        </w:rPr>
        <w:t>(</w:t>
      </w:r>
      <w:r w:rsidR="00C12981" w:rsidRPr="00827CC8">
        <w:rPr>
          <w:rStyle w:val="FootnoteReference"/>
          <w:rFonts w:ascii="Arabic Transparent" w:hAnsi="Arabic Transparent" w:cs="Arabic Transparent" w:hint="cs"/>
          <w:sz w:val="28"/>
          <w:szCs w:val="28"/>
          <w:rtl/>
          <w:lang w:val="en-AE" w:bidi="ar-JO"/>
        </w:rPr>
        <w:footnoteReference w:id="146"/>
      </w:r>
      <w:r w:rsidR="00C12981" w:rsidRPr="00827CC8">
        <w:rPr>
          <w:rFonts w:ascii="Arabic Transparent" w:hAnsi="Arabic Transparent" w:cs="Arabic Transparent" w:hint="cs"/>
          <w:sz w:val="28"/>
          <w:szCs w:val="28"/>
          <w:vertAlign w:val="superscript"/>
          <w:rtl/>
          <w:lang w:val="en-AE" w:bidi="ar-JO"/>
        </w:rPr>
        <w:t>)</w:t>
      </w:r>
      <w:r w:rsidR="00C12981" w:rsidRPr="00827CC8">
        <w:rPr>
          <w:rFonts w:ascii="Arabic Transparent" w:hAnsi="Arabic Transparent" w:cs="Arabic Transparent" w:hint="cs"/>
          <w:sz w:val="28"/>
          <w:szCs w:val="28"/>
          <w:rtl/>
          <w:lang w:val="en-AE" w:bidi="ar-JO"/>
        </w:rPr>
        <w:t>.</w:t>
      </w:r>
    </w:p>
    <w:p w14:paraId="3930B292" w14:textId="44589342" w:rsidR="00C12981" w:rsidRPr="00827CC8" w:rsidRDefault="00C12981" w:rsidP="006A1105">
      <w:pPr>
        <w:spacing w:after="0" w:line="360" w:lineRule="auto"/>
        <w:ind w:firstLine="332"/>
        <w:jc w:val="both"/>
        <w:rPr>
          <w:rFonts w:ascii="Arabic Transparent" w:hAnsi="Arabic Transparent" w:cs="Arabic Transparent"/>
          <w:sz w:val="28"/>
          <w:szCs w:val="28"/>
          <w:rtl/>
          <w:lang w:val="en-AE" w:bidi="ar-JO"/>
        </w:rPr>
      </w:pPr>
      <w:r w:rsidRPr="00827CC8">
        <w:rPr>
          <w:rFonts w:ascii="Arabic Transparent" w:hAnsi="Arabic Transparent" w:cs="Arabic Transparent" w:hint="cs"/>
          <w:sz w:val="28"/>
          <w:szCs w:val="28"/>
          <w:rtl/>
          <w:lang w:val="en-AE" w:bidi="ar-JO"/>
        </w:rPr>
        <w:t>فكما هو معلوم، فإن الأحكام الشرعية نظرية مجردة، والوقائع مشخصة على الأفراد والأعيان، والواجب على المجتهد: تنزيل هذه الأحكام على الوقائع وتطبيقها عليها، وذلك بعد البحث في توفر مناط الحكم في النازلة، والذي قد يكون عل</w:t>
      </w:r>
      <w:r w:rsidR="00F647F4">
        <w:rPr>
          <w:rFonts w:ascii="Arabic Transparent" w:hAnsi="Arabic Transparent" w:cs="Arabic Transparent" w:hint="cs"/>
          <w:sz w:val="28"/>
          <w:szCs w:val="28"/>
          <w:rtl/>
          <w:lang w:val="en-AE" w:bidi="ar-JO"/>
        </w:rPr>
        <w:t>ّ</w:t>
      </w:r>
      <w:r w:rsidRPr="00827CC8">
        <w:rPr>
          <w:rFonts w:ascii="Arabic Transparent" w:hAnsi="Arabic Transparent" w:cs="Arabic Transparent" w:hint="cs"/>
          <w:sz w:val="28"/>
          <w:szCs w:val="28"/>
          <w:rtl/>
          <w:lang w:val="en-AE" w:bidi="ar-JO"/>
        </w:rPr>
        <w:t>ة</w:t>
      </w:r>
      <w:r w:rsidR="00F647F4">
        <w:rPr>
          <w:rFonts w:ascii="Arabic Transparent" w:hAnsi="Arabic Transparent" w:cs="Arabic Transparent" w:hint="cs"/>
          <w:sz w:val="28"/>
          <w:szCs w:val="28"/>
          <w:rtl/>
          <w:lang w:val="en-AE" w:bidi="ar-JO"/>
        </w:rPr>
        <w:t>ً</w:t>
      </w:r>
      <w:r w:rsidRPr="00827CC8">
        <w:rPr>
          <w:rFonts w:ascii="Arabic Transparent" w:hAnsi="Arabic Transparent" w:cs="Arabic Transparent" w:hint="cs"/>
          <w:sz w:val="28"/>
          <w:szCs w:val="28"/>
          <w:rtl/>
          <w:lang w:val="en-AE" w:bidi="ar-JO"/>
        </w:rPr>
        <w:t xml:space="preserve">، أو سبباً، أو </w:t>
      </w:r>
      <w:r w:rsidR="00F647F4">
        <w:rPr>
          <w:rFonts w:ascii="Arabic Transparent" w:hAnsi="Arabic Transparent" w:cs="Arabic Transparent" w:hint="cs"/>
          <w:sz w:val="28"/>
          <w:szCs w:val="28"/>
          <w:rtl/>
          <w:lang w:val="en-AE" w:bidi="ar-JO"/>
        </w:rPr>
        <w:t>باعثاً</w:t>
      </w:r>
      <w:r w:rsidRPr="00827CC8">
        <w:rPr>
          <w:rFonts w:ascii="Arabic Transparent" w:hAnsi="Arabic Transparent" w:cs="Arabic Transparent" w:hint="cs"/>
          <w:sz w:val="28"/>
          <w:szCs w:val="28"/>
          <w:rtl/>
          <w:lang w:val="en-AE" w:bidi="ar-JO"/>
        </w:rPr>
        <w:t>، أو مانعاً، أو حكمة، أو نحوها، فإن توفر فإنه يقوم بتنزيل الحكم على الواقعة</w:t>
      </w:r>
      <w:r w:rsidRPr="00827CC8">
        <w:rPr>
          <w:rFonts w:ascii="Arabic Transparent" w:hAnsi="Arabic Transparent" w:cs="Arabic Transparent" w:hint="cs"/>
          <w:sz w:val="28"/>
          <w:szCs w:val="28"/>
          <w:vertAlign w:val="superscript"/>
          <w:rtl/>
          <w:lang w:val="en-AE" w:bidi="ar-JO"/>
        </w:rPr>
        <w:t>(</w:t>
      </w:r>
      <w:r w:rsidRPr="00827CC8">
        <w:rPr>
          <w:rStyle w:val="FootnoteReference"/>
          <w:rFonts w:ascii="Arabic Transparent" w:hAnsi="Arabic Transparent" w:cs="Arabic Transparent" w:hint="cs"/>
          <w:sz w:val="28"/>
          <w:szCs w:val="28"/>
          <w:rtl/>
          <w:lang w:val="en-AE" w:bidi="ar-JO"/>
        </w:rPr>
        <w:footnoteReference w:id="147"/>
      </w:r>
      <w:r w:rsidRPr="00827CC8">
        <w:rPr>
          <w:rFonts w:ascii="Arabic Transparent" w:hAnsi="Arabic Transparent" w:cs="Arabic Transparent" w:hint="cs"/>
          <w:sz w:val="28"/>
          <w:szCs w:val="28"/>
          <w:vertAlign w:val="superscript"/>
          <w:rtl/>
          <w:lang w:val="en-AE" w:bidi="ar-JO"/>
        </w:rPr>
        <w:t>)</w:t>
      </w:r>
      <w:r w:rsidR="00514C65">
        <w:rPr>
          <w:rFonts w:ascii="Arabic Transparent" w:hAnsi="Arabic Transparent" w:cs="Arabic Transparent" w:hint="cs"/>
          <w:sz w:val="28"/>
          <w:szCs w:val="28"/>
          <w:rtl/>
          <w:lang w:val="en-AE" w:bidi="ar-JO"/>
        </w:rPr>
        <w:t>.</w:t>
      </w:r>
    </w:p>
    <w:p w14:paraId="05A5C31B" w14:textId="5F78548C" w:rsidR="00AA05F5" w:rsidRDefault="00C12981" w:rsidP="00F647F4">
      <w:pPr>
        <w:spacing w:after="0" w:line="360" w:lineRule="auto"/>
        <w:ind w:firstLine="332"/>
        <w:jc w:val="both"/>
        <w:rPr>
          <w:rFonts w:ascii="Arabic Transparent" w:hAnsi="Arabic Transparent" w:cs="Arabic Transparent"/>
          <w:sz w:val="28"/>
          <w:szCs w:val="28"/>
          <w:rtl/>
          <w:lang w:val="en-AE" w:bidi="ar-JO"/>
        </w:rPr>
      </w:pPr>
      <w:r w:rsidRPr="00827CC8">
        <w:rPr>
          <w:rFonts w:ascii="Arabic Transparent" w:hAnsi="Arabic Transparent" w:cs="Arabic Transparent" w:hint="cs"/>
          <w:sz w:val="28"/>
          <w:szCs w:val="28"/>
          <w:rtl/>
          <w:lang w:val="en-AE" w:bidi="ar-JO"/>
        </w:rPr>
        <w:t>و</w:t>
      </w:r>
      <w:r w:rsidR="00D05D56" w:rsidRPr="00827CC8">
        <w:rPr>
          <w:rFonts w:ascii="Arabic Transparent" w:hAnsi="Arabic Transparent" w:cs="Arabic Transparent" w:hint="cs"/>
          <w:sz w:val="28"/>
          <w:szCs w:val="28"/>
          <w:rtl/>
          <w:lang w:val="en-AE" w:bidi="ar-JO"/>
        </w:rPr>
        <w:t>بعد عرض</w:t>
      </w:r>
      <w:r w:rsidRPr="00827CC8">
        <w:rPr>
          <w:rFonts w:ascii="Arabic Transparent" w:hAnsi="Arabic Transparent" w:cs="Arabic Transparent" w:hint="cs"/>
          <w:sz w:val="28"/>
          <w:szCs w:val="28"/>
          <w:rtl/>
          <w:lang w:val="en-AE" w:bidi="ar-JO"/>
        </w:rPr>
        <w:t xml:space="preserve"> هذه المراحل يتجلى موقع تحقيق المناط الخاص من مراحل الاجتهاد بالنازلة المعاصرة، وهي المرحلة الأخيرة التي يطبق فيها المجتهد خلاصة ما توصل له في المرحلة الأولى والثانية</w:t>
      </w:r>
      <w:r w:rsidR="00C95265">
        <w:rPr>
          <w:rFonts w:ascii="Arabic Transparent" w:hAnsi="Arabic Transparent" w:cs="Arabic Transparent" w:hint="cs"/>
          <w:sz w:val="28"/>
          <w:szCs w:val="28"/>
          <w:rtl/>
          <w:lang w:val="en-AE" w:bidi="ar-JO"/>
        </w:rPr>
        <w:t>؛</w:t>
      </w:r>
      <w:r w:rsidRPr="00827CC8">
        <w:rPr>
          <w:rFonts w:ascii="Arabic Transparent" w:hAnsi="Arabic Transparent" w:cs="Arabic Transparent" w:hint="cs"/>
          <w:sz w:val="28"/>
          <w:szCs w:val="28"/>
          <w:rtl/>
          <w:lang w:val="en-AE" w:bidi="ar-JO"/>
        </w:rPr>
        <w:t xml:space="preserve"> ليتأكد من صحة اجتهاده من خلال تنزيل المناط على الواقعة</w:t>
      </w:r>
      <w:r w:rsidR="00C95265">
        <w:rPr>
          <w:rFonts w:ascii="Arabic Transparent" w:hAnsi="Arabic Transparent" w:cs="Arabic Transparent" w:hint="cs"/>
          <w:sz w:val="28"/>
          <w:szCs w:val="28"/>
          <w:rtl/>
          <w:lang w:val="en-AE" w:bidi="ar-JO"/>
        </w:rPr>
        <w:t>،</w:t>
      </w:r>
      <w:r w:rsidRPr="00827CC8">
        <w:rPr>
          <w:rFonts w:ascii="Arabic Transparent" w:hAnsi="Arabic Transparent" w:cs="Arabic Transparent" w:hint="cs"/>
          <w:sz w:val="28"/>
          <w:szCs w:val="28"/>
          <w:rtl/>
          <w:lang w:val="en-AE" w:bidi="ar-JO"/>
        </w:rPr>
        <w:t xml:space="preserve"> والتأكد من صلاحيته مع الظروف والوقائع المتغيرة.</w:t>
      </w:r>
      <w:r w:rsidR="00AA05F5">
        <w:rPr>
          <w:rFonts w:ascii="Arabic Transparent" w:hAnsi="Arabic Transparent" w:cs="Arabic Transparent"/>
          <w:sz w:val="28"/>
          <w:szCs w:val="28"/>
          <w:rtl/>
          <w:lang w:val="en-AE" w:bidi="ar-JO"/>
        </w:rPr>
        <w:br w:type="page"/>
      </w:r>
    </w:p>
    <w:p w14:paraId="5C9895EF" w14:textId="12B90D85" w:rsidR="00E15818" w:rsidRPr="002C707F" w:rsidRDefault="009C1941" w:rsidP="001F4F69">
      <w:pPr>
        <w:spacing w:after="0" w:line="360" w:lineRule="auto"/>
        <w:jc w:val="both"/>
        <w:rPr>
          <w:rFonts w:ascii="Arabic Transparent" w:hAnsi="Arabic Transparent" w:cs="Arabic Transparent"/>
          <w:b/>
          <w:bCs/>
          <w:sz w:val="32"/>
          <w:szCs w:val="32"/>
          <w:rtl/>
          <w:lang w:bidi="ar-JO"/>
        </w:rPr>
      </w:pPr>
      <w:r w:rsidRPr="002C707F">
        <w:rPr>
          <w:rFonts w:ascii="Arabic Transparent" w:hAnsi="Arabic Transparent" w:cs="Arabic Transparent" w:hint="cs"/>
          <w:b/>
          <w:bCs/>
          <w:sz w:val="32"/>
          <w:szCs w:val="32"/>
          <w:rtl/>
          <w:lang w:bidi="ar-JO"/>
        </w:rPr>
        <w:t xml:space="preserve">المطلب الثاني: </w:t>
      </w:r>
      <w:r w:rsidR="00D05D56" w:rsidRPr="002C707F">
        <w:rPr>
          <w:rFonts w:ascii="Arabic Transparent" w:hAnsi="Arabic Transparent" w:cs="Arabic Transparent" w:hint="cs"/>
          <w:b/>
          <w:bCs/>
          <w:sz w:val="32"/>
          <w:szCs w:val="32"/>
          <w:rtl/>
          <w:lang w:bidi="ar-JO"/>
        </w:rPr>
        <w:t>مجال تحقيق المناط الخاص</w:t>
      </w:r>
    </w:p>
    <w:p w14:paraId="297D1518" w14:textId="0429A83A" w:rsidR="00827CC8" w:rsidRPr="001F4F69" w:rsidRDefault="00BD6106" w:rsidP="006A1105">
      <w:pPr>
        <w:spacing w:after="0" w:line="360" w:lineRule="auto"/>
        <w:ind w:firstLine="332"/>
        <w:jc w:val="both"/>
        <w:rPr>
          <w:rFonts w:ascii="Arabic Transparent" w:hAnsi="Arabic Transparent" w:cs="Arabic Transparent"/>
          <w:sz w:val="28"/>
          <w:szCs w:val="28"/>
          <w:rtl/>
          <w:lang w:bidi="ar-JO"/>
        </w:rPr>
      </w:pPr>
      <w:r w:rsidRPr="001F4F69">
        <w:rPr>
          <w:rFonts w:ascii="Arabic Transparent" w:hAnsi="Arabic Transparent" w:cs="Arabic Transparent" w:hint="cs"/>
          <w:sz w:val="28"/>
          <w:szCs w:val="28"/>
          <w:rtl/>
          <w:lang w:bidi="ar-JO"/>
        </w:rPr>
        <w:t>بعد التعرف على موقع تحقيق المناط الخاص في الاجتهاد بالنوازل المعاصرة ينبغي أن نتعرف على مجال استعمال تحقيق المناط الخاص فهل يستعمل في جميع الأحكام الفقهية</w:t>
      </w:r>
      <w:r w:rsidR="008F18C1">
        <w:rPr>
          <w:rFonts w:ascii="Arabic Transparent" w:hAnsi="Arabic Transparent" w:cs="Arabic Transparent" w:hint="cs"/>
          <w:sz w:val="28"/>
          <w:szCs w:val="28"/>
          <w:rtl/>
          <w:lang w:bidi="ar-JO"/>
        </w:rPr>
        <w:t>،</w:t>
      </w:r>
      <w:r w:rsidRPr="001F4F69">
        <w:rPr>
          <w:rFonts w:ascii="Arabic Transparent" w:hAnsi="Arabic Transparent" w:cs="Arabic Transparent" w:hint="cs"/>
          <w:sz w:val="28"/>
          <w:szCs w:val="28"/>
          <w:rtl/>
          <w:lang w:bidi="ar-JO"/>
        </w:rPr>
        <w:t xml:space="preserve"> أما </w:t>
      </w:r>
      <w:r w:rsidR="008F18C1">
        <w:rPr>
          <w:rFonts w:ascii="Arabic Transparent" w:hAnsi="Arabic Transparent" w:cs="Arabic Transparent" w:hint="cs"/>
          <w:sz w:val="28"/>
          <w:szCs w:val="28"/>
          <w:rtl/>
          <w:lang w:bidi="ar-JO"/>
        </w:rPr>
        <w:t xml:space="preserve">أنَّ </w:t>
      </w:r>
      <w:r w:rsidRPr="001F4F69">
        <w:rPr>
          <w:rFonts w:ascii="Arabic Transparent" w:hAnsi="Arabic Transparent" w:cs="Arabic Transparent" w:hint="cs"/>
          <w:sz w:val="28"/>
          <w:szCs w:val="28"/>
          <w:rtl/>
          <w:lang w:bidi="ar-JO"/>
        </w:rPr>
        <w:t>هناك أحكام محددة يمكن أن يستعمل فيها تحقيق المناط</w:t>
      </w:r>
      <w:r w:rsidR="008F18C1">
        <w:rPr>
          <w:rFonts w:ascii="Arabic Transparent" w:hAnsi="Arabic Transparent" w:cs="Arabic Transparent" w:hint="cs"/>
          <w:sz w:val="28"/>
          <w:szCs w:val="28"/>
          <w:rtl/>
          <w:lang w:bidi="ar-JO"/>
        </w:rPr>
        <w:t xml:space="preserve"> الخاص، ولبيان ذلك </w:t>
      </w:r>
      <w:r w:rsidRPr="001F4F69">
        <w:rPr>
          <w:rFonts w:ascii="Arabic Transparent" w:hAnsi="Arabic Transparent" w:cs="Arabic Transparent" w:hint="cs"/>
          <w:sz w:val="28"/>
          <w:szCs w:val="28"/>
          <w:rtl/>
          <w:lang w:bidi="ar-JO"/>
        </w:rPr>
        <w:t>فإن</w:t>
      </w:r>
      <w:r w:rsidR="008F18C1">
        <w:rPr>
          <w:rFonts w:ascii="Arabic Transparent" w:hAnsi="Arabic Transparent" w:cs="Arabic Transparent" w:hint="cs"/>
          <w:sz w:val="28"/>
          <w:szCs w:val="28"/>
          <w:rtl/>
          <w:lang w:bidi="ar-JO"/>
        </w:rPr>
        <w:t>َّ</w:t>
      </w:r>
      <w:r w:rsidRPr="001F4F69">
        <w:rPr>
          <w:rFonts w:ascii="Arabic Transparent" w:hAnsi="Arabic Transparent" w:cs="Arabic Transparent" w:hint="cs"/>
          <w:sz w:val="28"/>
          <w:szCs w:val="28"/>
          <w:rtl/>
          <w:lang w:bidi="ar-JO"/>
        </w:rPr>
        <w:t xml:space="preserve"> الأحكام ت</w:t>
      </w:r>
      <w:r w:rsidR="008F18C1">
        <w:rPr>
          <w:rFonts w:ascii="Arabic Transparent" w:hAnsi="Arabic Transparent" w:cs="Arabic Transparent" w:hint="cs"/>
          <w:sz w:val="28"/>
          <w:szCs w:val="28"/>
          <w:rtl/>
          <w:lang w:bidi="ar-JO"/>
        </w:rPr>
        <w:t>ن</w:t>
      </w:r>
      <w:r w:rsidRPr="001F4F69">
        <w:rPr>
          <w:rFonts w:ascii="Arabic Transparent" w:hAnsi="Arabic Transparent" w:cs="Arabic Transparent" w:hint="cs"/>
          <w:sz w:val="28"/>
          <w:szCs w:val="28"/>
          <w:rtl/>
          <w:lang w:bidi="ar-JO"/>
        </w:rPr>
        <w:t>قسم إلى قسمين</w:t>
      </w:r>
      <w:r w:rsidR="008F18C1" w:rsidRPr="008F18C1">
        <w:rPr>
          <w:rFonts w:ascii="Arabic Transparent" w:hAnsi="Arabic Transparent" w:cs="Arabic Transparent" w:hint="cs"/>
          <w:sz w:val="28"/>
          <w:szCs w:val="28"/>
          <w:vertAlign w:val="superscript"/>
          <w:rtl/>
          <w:lang w:bidi="ar-JO"/>
        </w:rPr>
        <w:t>(</w:t>
      </w:r>
      <w:r w:rsidR="008F18C1" w:rsidRPr="008F18C1">
        <w:rPr>
          <w:rStyle w:val="FootnoteReference"/>
          <w:rFonts w:ascii="Arabic Transparent" w:hAnsi="Arabic Transparent" w:cs="Arabic Transparent" w:hint="cs"/>
          <w:sz w:val="28"/>
          <w:szCs w:val="28"/>
          <w:rtl/>
          <w:lang w:bidi="ar-JO"/>
        </w:rPr>
        <w:footnoteReference w:id="148"/>
      </w:r>
      <w:r w:rsidR="008F18C1" w:rsidRPr="008F18C1">
        <w:rPr>
          <w:rFonts w:ascii="Arabic Transparent" w:hAnsi="Arabic Transparent" w:cs="Arabic Transparent" w:hint="cs"/>
          <w:sz w:val="28"/>
          <w:szCs w:val="28"/>
          <w:vertAlign w:val="superscript"/>
          <w:rtl/>
          <w:lang w:bidi="ar-JO"/>
        </w:rPr>
        <w:t>)</w:t>
      </w:r>
      <w:r w:rsidRPr="001F4F69">
        <w:rPr>
          <w:rFonts w:ascii="Arabic Transparent" w:hAnsi="Arabic Transparent" w:cs="Arabic Transparent" w:hint="cs"/>
          <w:sz w:val="28"/>
          <w:szCs w:val="28"/>
          <w:rtl/>
          <w:lang w:bidi="ar-JO"/>
        </w:rPr>
        <w:t xml:space="preserve">: </w:t>
      </w:r>
    </w:p>
    <w:p w14:paraId="4C5A0CB9" w14:textId="48E83DC8" w:rsidR="00BD6106" w:rsidRPr="001F4F69" w:rsidRDefault="00BD6106" w:rsidP="001F4F69">
      <w:pPr>
        <w:spacing w:after="0" w:line="360" w:lineRule="auto"/>
        <w:jc w:val="both"/>
        <w:rPr>
          <w:rFonts w:ascii="Arabic Transparent" w:hAnsi="Arabic Transparent" w:cs="Arabic Transparent"/>
          <w:b/>
          <w:bCs/>
          <w:sz w:val="28"/>
          <w:szCs w:val="28"/>
          <w:rtl/>
          <w:lang w:bidi="ar-JO"/>
        </w:rPr>
      </w:pPr>
      <w:r w:rsidRPr="001F4F69">
        <w:rPr>
          <w:rFonts w:ascii="Arabic Transparent" w:hAnsi="Arabic Transparent" w:cs="Arabic Transparent" w:hint="cs"/>
          <w:b/>
          <w:bCs/>
          <w:sz w:val="28"/>
          <w:szCs w:val="28"/>
          <w:rtl/>
          <w:lang w:bidi="ar-JO"/>
        </w:rPr>
        <w:t xml:space="preserve">القسم الأول: الأحكام </w:t>
      </w:r>
      <w:r w:rsidR="00C61F85" w:rsidRPr="001F4F69">
        <w:rPr>
          <w:rFonts w:ascii="Arabic Transparent" w:hAnsi="Arabic Transparent" w:cs="Arabic Transparent" w:hint="cs"/>
          <w:b/>
          <w:bCs/>
          <w:sz w:val="28"/>
          <w:szCs w:val="28"/>
          <w:rtl/>
          <w:lang w:bidi="ar-JO"/>
        </w:rPr>
        <w:t>الثابتة:</w:t>
      </w:r>
      <w:r w:rsidRPr="001F4F69">
        <w:rPr>
          <w:rFonts w:ascii="Arabic Transparent" w:hAnsi="Arabic Transparent" w:cs="Arabic Transparent" w:hint="cs"/>
          <w:b/>
          <w:bCs/>
          <w:sz w:val="28"/>
          <w:szCs w:val="28"/>
          <w:rtl/>
          <w:lang w:bidi="ar-JO"/>
        </w:rPr>
        <w:t xml:space="preserve"> </w:t>
      </w:r>
    </w:p>
    <w:p w14:paraId="6EDB3692" w14:textId="7F712F81" w:rsidR="00BD6106" w:rsidRPr="001F4F69" w:rsidRDefault="00BD6106" w:rsidP="00514C65">
      <w:pPr>
        <w:spacing w:after="0" w:line="360" w:lineRule="auto"/>
        <w:ind w:firstLine="332"/>
        <w:jc w:val="both"/>
        <w:rPr>
          <w:rFonts w:ascii="Arabic Transparent" w:hAnsi="Arabic Transparent" w:cs="Arabic Transparent"/>
          <w:sz w:val="28"/>
          <w:szCs w:val="28"/>
          <w:rtl/>
          <w:lang w:bidi="ar-JO"/>
        </w:rPr>
      </w:pPr>
      <w:r w:rsidRPr="001F4F69">
        <w:rPr>
          <w:rFonts w:ascii="Arabic Transparent" w:hAnsi="Arabic Transparent" w:cs="Arabic Transparent" w:hint="cs"/>
          <w:sz w:val="28"/>
          <w:szCs w:val="28"/>
          <w:rtl/>
          <w:lang w:bidi="ar-JO"/>
        </w:rPr>
        <w:t>وهي الأحكام التي لا تتغير</w:t>
      </w:r>
      <w:r w:rsidR="008F18C1">
        <w:rPr>
          <w:rFonts w:ascii="Arabic Transparent" w:hAnsi="Arabic Transparent" w:cs="Arabic Transparent" w:hint="cs"/>
          <w:sz w:val="28"/>
          <w:szCs w:val="28"/>
          <w:rtl/>
          <w:lang w:bidi="ar-JO"/>
        </w:rPr>
        <w:t>،</w:t>
      </w:r>
      <w:r w:rsidRPr="001F4F69">
        <w:rPr>
          <w:rFonts w:ascii="Arabic Transparent" w:hAnsi="Arabic Transparent" w:cs="Arabic Transparent" w:hint="cs"/>
          <w:sz w:val="28"/>
          <w:szCs w:val="28"/>
          <w:rtl/>
          <w:lang w:bidi="ar-JO"/>
        </w:rPr>
        <w:t xml:space="preserve"> ولا مجال لتحقيق المناط الخاص بها</w:t>
      </w:r>
      <w:r w:rsidR="008F18C1">
        <w:rPr>
          <w:rFonts w:ascii="Arabic Transparent" w:hAnsi="Arabic Transparent" w:cs="Arabic Transparent" w:hint="cs"/>
          <w:sz w:val="28"/>
          <w:szCs w:val="28"/>
          <w:rtl/>
          <w:lang w:bidi="ar-JO"/>
        </w:rPr>
        <w:t>،</w:t>
      </w:r>
      <w:r w:rsidRPr="001F4F69">
        <w:rPr>
          <w:rFonts w:ascii="Arabic Transparent" w:hAnsi="Arabic Transparent" w:cs="Arabic Transparent" w:hint="cs"/>
          <w:sz w:val="28"/>
          <w:szCs w:val="28"/>
          <w:rtl/>
          <w:lang w:bidi="ar-JO"/>
        </w:rPr>
        <w:t xml:space="preserve"> ومنها النصوص التي تتعلق بكليات الشريعة </w:t>
      </w:r>
      <w:r w:rsidR="00ED149A" w:rsidRPr="001F4F69">
        <w:rPr>
          <w:rFonts w:ascii="Arabic Transparent" w:hAnsi="Arabic Transparent" w:cs="Arabic Transparent" w:hint="cs"/>
          <w:sz w:val="28"/>
          <w:szCs w:val="28"/>
          <w:rtl/>
          <w:lang w:bidi="ar-JO"/>
        </w:rPr>
        <w:t>الثابتة</w:t>
      </w:r>
      <w:r w:rsidR="008F18C1">
        <w:rPr>
          <w:rFonts w:ascii="Arabic Transparent" w:hAnsi="Arabic Transparent" w:cs="Arabic Transparent" w:hint="cs"/>
          <w:sz w:val="28"/>
          <w:szCs w:val="28"/>
          <w:rtl/>
          <w:lang w:bidi="ar-JO"/>
        </w:rPr>
        <w:t>،</w:t>
      </w:r>
      <w:r w:rsidRPr="001F4F69">
        <w:rPr>
          <w:rFonts w:ascii="Arabic Transparent" w:hAnsi="Arabic Transparent" w:cs="Arabic Transparent" w:hint="cs"/>
          <w:sz w:val="28"/>
          <w:szCs w:val="28"/>
          <w:rtl/>
          <w:lang w:bidi="ar-JO"/>
        </w:rPr>
        <w:t xml:space="preserve"> إذ جاءت على وجه معين</w:t>
      </w:r>
      <w:r w:rsidR="008F18C1">
        <w:rPr>
          <w:rFonts w:ascii="Arabic Transparent" w:hAnsi="Arabic Transparent" w:cs="Arabic Transparent" w:hint="cs"/>
          <w:sz w:val="28"/>
          <w:szCs w:val="28"/>
          <w:rtl/>
          <w:lang w:bidi="ar-JO"/>
        </w:rPr>
        <w:t>،</w:t>
      </w:r>
      <w:r w:rsidRPr="001F4F69">
        <w:rPr>
          <w:rFonts w:ascii="Arabic Transparent" w:hAnsi="Arabic Transparent" w:cs="Arabic Transparent" w:hint="cs"/>
          <w:sz w:val="28"/>
          <w:szCs w:val="28"/>
          <w:rtl/>
          <w:lang w:bidi="ar-JO"/>
        </w:rPr>
        <w:t xml:space="preserve"> وكان مراد الشارع منها جلياً، كالنصوص الجزئية القطعية</w:t>
      </w:r>
      <w:r w:rsidR="008F18C1">
        <w:rPr>
          <w:rFonts w:ascii="Arabic Transparent" w:hAnsi="Arabic Transparent" w:cs="Arabic Transparent" w:hint="cs"/>
          <w:sz w:val="28"/>
          <w:szCs w:val="28"/>
          <w:rtl/>
          <w:lang w:bidi="ar-JO"/>
        </w:rPr>
        <w:t>،</w:t>
      </w:r>
      <w:r w:rsidRPr="001F4F69">
        <w:rPr>
          <w:rFonts w:ascii="Arabic Transparent" w:hAnsi="Arabic Transparent" w:cs="Arabic Transparent" w:hint="cs"/>
          <w:sz w:val="28"/>
          <w:szCs w:val="28"/>
          <w:rtl/>
          <w:lang w:bidi="ar-JO"/>
        </w:rPr>
        <w:t xml:space="preserve"> والنصوص المتعلقة بمصالح ثابته لا تتغير، فكلها ث</w:t>
      </w:r>
      <w:r w:rsidR="0054258A">
        <w:rPr>
          <w:rFonts w:ascii="Arabic Transparent" w:hAnsi="Arabic Transparent" w:cs="Arabic Transparent" w:hint="cs"/>
          <w:sz w:val="28"/>
          <w:szCs w:val="28"/>
          <w:rtl/>
          <w:lang w:bidi="ar-JO"/>
        </w:rPr>
        <w:t>ا</w:t>
      </w:r>
      <w:r w:rsidRPr="001F4F69">
        <w:rPr>
          <w:rFonts w:ascii="Arabic Transparent" w:hAnsi="Arabic Transparent" w:cs="Arabic Transparent" w:hint="cs"/>
          <w:sz w:val="28"/>
          <w:szCs w:val="28"/>
          <w:rtl/>
          <w:lang w:bidi="ar-JO"/>
        </w:rPr>
        <w:t>بتة بأدلة قطعي</w:t>
      </w:r>
      <w:r w:rsidR="0054258A">
        <w:rPr>
          <w:rFonts w:ascii="Arabic Transparent" w:hAnsi="Arabic Transparent" w:cs="Arabic Transparent" w:hint="cs"/>
          <w:sz w:val="28"/>
          <w:szCs w:val="28"/>
          <w:rtl/>
          <w:lang w:bidi="ar-JO"/>
        </w:rPr>
        <w:t xml:space="preserve">ة </w:t>
      </w:r>
      <w:r w:rsidRPr="001F4F69">
        <w:rPr>
          <w:rFonts w:ascii="Arabic Transparent" w:hAnsi="Arabic Transparent" w:cs="Arabic Transparent" w:hint="cs"/>
          <w:sz w:val="28"/>
          <w:szCs w:val="28"/>
          <w:rtl/>
          <w:lang w:bidi="ar-JO"/>
        </w:rPr>
        <w:t xml:space="preserve">الثبوت والدلالة ولا تحتمل خلافاً، ولا مجال فيها للتأويل، لوضوح مقصد الشارع منها؛ حيث أراد أن تكون شريعة </w:t>
      </w:r>
      <w:r w:rsidR="00C55BAB">
        <w:rPr>
          <w:rFonts w:ascii="Arabic Transparent" w:hAnsi="Arabic Transparent" w:cs="Arabic Transparent" w:hint="cs"/>
          <w:sz w:val="28"/>
          <w:szCs w:val="28"/>
          <w:rtl/>
          <w:lang w:bidi="ar-JO"/>
        </w:rPr>
        <w:t>مستمرة</w:t>
      </w:r>
      <w:r w:rsidR="008F18C1">
        <w:rPr>
          <w:rFonts w:ascii="Arabic Transparent" w:hAnsi="Arabic Transparent" w:cs="Arabic Transparent" w:hint="cs"/>
          <w:sz w:val="28"/>
          <w:szCs w:val="28"/>
          <w:rtl/>
          <w:lang w:bidi="ar-JO"/>
        </w:rPr>
        <w:t>،</w:t>
      </w:r>
      <w:r w:rsidR="00C55BAB">
        <w:rPr>
          <w:rFonts w:ascii="Arabic Transparent" w:hAnsi="Arabic Transparent" w:cs="Arabic Transparent" w:hint="cs"/>
          <w:sz w:val="28"/>
          <w:szCs w:val="28"/>
          <w:rtl/>
          <w:lang w:bidi="ar-JO"/>
        </w:rPr>
        <w:t xml:space="preserve"> </w:t>
      </w:r>
      <w:r w:rsidRPr="001F4F69">
        <w:rPr>
          <w:rFonts w:ascii="Arabic Transparent" w:hAnsi="Arabic Transparent" w:cs="Arabic Transparent" w:hint="cs"/>
          <w:sz w:val="28"/>
          <w:szCs w:val="28"/>
          <w:rtl/>
          <w:lang w:bidi="ar-JO"/>
        </w:rPr>
        <w:t>لا تتغير مثل</w:t>
      </w:r>
      <w:r w:rsidR="008F18C1">
        <w:rPr>
          <w:rFonts w:ascii="Arabic Transparent" w:hAnsi="Arabic Transparent" w:cs="Arabic Transparent" w:hint="cs"/>
          <w:sz w:val="28"/>
          <w:szCs w:val="28"/>
          <w:rtl/>
          <w:lang w:bidi="ar-JO"/>
        </w:rPr>
        <w:t>:</w:t>
      </w:r>
      <w:r w:rsidRPr="001F4F69">
        <w:rPr>
          <w:rFonts w:ascii="Arabic Transparent" w:hAnsi="Arabic Transparent" w:cs="Arabic Transparent" w:hint="cs"/>
          <w:sz w:val="28"/>
          <w:szCs w:val="28"/>
          <w:rtl/>
          <w:lang w:bidi="ar-JO"/>
        </w:rPr>
        <w:t xml:space="preserve"> </w:t>
      </w:r>
      <w:r w:rsidR="007C4B62" w:rsidRPr="001F4F69">
        <w:rPr>
          <w:rFonts w:ascii="Arabic Transparent" w:hAnsi="Arabic Transparent" w:cs="Arabic Transparent" w:hint="cs"/>
          <w:sz w:val="28"/>
          <w:szCs w:val="28"/>
          <w:rtl/>
          <w:lang w:bidi="ar-JO"/>
        </w:rPr>
        <w:t>الحدود</w:t>
      </w:r>
      <w:r w:rsidR="0054258A">
        <w:rPr>
          <w:rFonts w:ascii="Arabic Transparent" w:hAnsi="Arabic Transparent" w:cs="Arabic Transparent" w:hint="cs"/>
          <w:sz w:val="28"/>
          <w:szCs w:val="28"/>
          <w:rtl/>
          <w:lang w:bidi="ar-JO"/>
        </w:rPr>
        <w:t>،</w:t>
      </w:r>
      <w:r w:rsidR="007C4B62" w:rsidRPr="001F4F69">
        <w:rPr>
          <w:rFonts w:ascii="Arabic Transparent" w:hAnsi="Arabic Transparent" w:cs="Arabic Transparent" w:hint="cs"/>
          <w:sz w:val="28"/>
          <w:szCs w:val="28"/>
          <w:rtl/>
          <w:lang w:bidi="ar-JO"/>
        </w:rPr>
        <w:t xml:space="preserve"> </w:t>
      </w:r>
      <w:r w:rsidR="007A3542">
        <w:rPr>
          <w:rFonts w:ascii="Arabic Transparent" w:hAnsi="Arabic Transparent" w:cs="Arabic Transparent" w:hint="cs"/>
          <w:sz w:val="28"/>
          <w:szCs w:val="28"/>
          <w:rtl/>
          <w:lang w:bidi="ar-JO"/>
        </w:rPr>
        <w:t>و</w:t>
      </w:r>
      <w:r w:rsidR="007C4B62" w:rsidRPr="001F4F69">
        <w:rPr>
          <w:rFonts w:ascii="Arabic Transparent" w:hAnsi="Arabic Transparent" w:cs="Arabic Transparent" w:hint="cs"/>
          <w:sz w:val="28"/>
          <w:szCs w:val="28"/>
          <w:rtl/>
          <w:lang w:bidi="ar-JO"/>
        </w:rPr>
        <w:t>الميراث</w:t>
      </w:r>
      <w:r w:rsidR="0054258A">
        <w:rPr>
          <w:rFonts w:ascii="Arabic Transparent" w:hAnsi="Arabic Transparent" w:cs="Arabic Transparent" w:hint="cs"/>
          <w:sz w:val="28"/>
          <w:szCs w:val="28"/>
          <w:rtl/>
          <w:lang w:bidi="ar-JO"/>
        </w:rPr>
        <w:t>،</w:t>
      </w:r>
      <w:r w:rsidR="007C4B62" w:rsidRPr="001F4F69">
        <w:rPr>
          <w:rFonts w:ascii="Arabic Transparent" w:hAnsi="Arabic Transparent" w:cs="Arabic Transparent" w:hint="cs"/>
          <w:sz w:val="28"/>
          <w:szCs w:val="28"/>
          <w:rtl/>
          <w:lang w:bidi="ar-JO"/>
        </w:rPr>
        <w:t xml:space="preserve"> وأحكام الزواج</w:t>
      </w:r>
      <w:r w:rsidR="0054258A">
        <w:rPr>
          <w:rFonts w:ascii="Arabic Transparent" w:hAnsi="Arabic Transparent" w:cs="Arabic Transparent" w:hint="cs"/>
          <w:sz w:val="28"/>
          <w:szCs w:val="28"/>
          <w:rtl/>
          <w:lang w:bidi="ar-JO"/>
        </w:rPr>
        <w:t>،</w:t>
      </w:r>
      <w:r w:rsidR="007C4B62" w:rsidRPr="001F4F69">
        <w:rPr>
          <w:rFonts w:ascii="Arabic Transparent" w:hAnsi="Arabic Transparent" w:cs="Arabic Transparent" w:hint="cs"/>
          <w:sz w:val="28"/>
          <w:szCs w:val="28"/>
          <w:rtl/>
          <w:lang w:bidi="ar-JO"/>
        </w:rPr>
        <w:t xml:space="preserve"> والعقيدة</w:t>
      </w:r>
      <w:r w:rsidR="0054258A">
        <w:rPr>
          <w:rFonts w:ascii="Arabic Transparent" w:hAnsi="Arabic Transparent" w:cs="Arabic Transparent" w:hint="cs"/>
          <w:sz w:val="28"/>
          <w:szCs w:val="28"/>
          <w:rtl/>
          <w:lang w:bidi="ar-JO"/>
        </w:rPr>
        <w:t>،</w:t>
      </w:r>
      <w:r w:rsidR="007C4B62" w:rsidRPr="001F4F69">
        <w:rPr>
          <w:rFonts w:ascii="Arabic Transparent" w:hAnsi="Arabic Transparent" w:cs="Arabic Transparent" w:hint="cs"/>
          <w:sz w:val="28"/>
          <w:szCs w:val="28"/>
          <w:rtl/>
          <w:lang w:bidi="ar-JO"/>
        </w:rPr>
        <w:t xml:space="preserve"> </w:t>
      </w:r>
      <w:r w:rsidR="005F2B6E">
        <w:rPr>
          <w:rFonts w:ascii="Arabic Transparent" w:hAnsi="Arabic Transparent" w:cs="Arabic Transparent" w:hint="cs"/>
          <w:sz w:val="28"/>
          <w:szCs w:val="28"/>
          <w:rtl/>
          <w:lang w:bidi="ar-JO"/>
        </w:rPr>
        <w:t>والأخلاق</w:t>
      </w:r>
      <w:r w:rsidR="0054258A">
        <w:rPr>
          <w:rFonts w:ascii="Arabic Transparent" w:hAnsi="Arabic Transparent" w:cs="Arabic Transparent" w:hint="cs"/>
          <w:sz w:val="28"/>
          <w:szCs w:val="28"/>
          <w:rtl/>
          <w:lang w:bidi="ar-JO"/>
        </w:rPr>
        <w:t>،</w:t>
      </w:r>
      <w:r w:rsidR="005F2B6E">
        <w:rPr>
          <w:rFonts w:ascii="Arabic Transparent" w:hAnsi="Arabic Transparent" w:cs="Arabic Transparent" w:hint="cs"/>
          <w:sz w:val="28"/>
          <w:szCs w:val="28"/>
          <w:rtl/>
          <w:lang w:bidi="ar-JO"/>
        </w:rPr>
        <w:t xml:space="preserve"> </w:t>
      </w:r>
      <w:r w:rsidR="007C4B62" w:rsidRPr="001F4F69">
        <w:rPr>
          <w:rFonts w:ascii="Arabic Transparent" w:hAnsi="Arabic Transparent" w:cs="Arabic Transparent" w:hint="cs"/>
          <w:sz w:val="28"/>
          <w:szCs w:val="28"/>
          <w:rtl/>
          <w:lang w:bidi="ar-JO"/>
        </w:rPr>
        <w:t>والمسلمات العقلية وغيرها</w:t>
      </w:r>
      <w:r w:rsidR="0054258A">
        <w:rPr>
          <w:rFonts w:ascii="Arabic Transparent" w:hAnsi="Arabic Transparent" w:cs="Arabic Transparent" w:hint="cs"/>
          <w:sz w:val="28"/>
          <w:szCs w:val="28"/>
          <w:rtl/>
          <w:lang w:bidi="ar-JO"/>
        </w:rPr>
        <w:t>،</w:t>
      </w:r>
      <w:r w:rsidR="007C4B62" w:rsidRPr="001F4F69">
        <w:rPr>
          <w:rFonts w:ascii="Arabic Transparent" w:hAnsi="Arabic Transparent" w:cs="Arabic Transparent" w:hint="cs"/>
          <w:sz w:val="28"/>
          <w:szCs w:val="28"/>
          <w:rtl/>
          <w:lang w:bidi="ar-JO"/>
        </w:rPr>
        <w:t xml:space="preserve"> حيث وجدت لتبقى الشريعة ثابته على </w:t>
      </w:r>
      <w:r w:rsidR="00C55BAB">
        <w:rPr>
          <w:rFonts w:ascii="Arabic Transparent" w:hAnsi="Arabic Transparent" w:cs="Arabic Transparent" w:hint="cs"/>
          <w:sz w:val="28"/>
          <w:szCs w:val="28"/>
          <w:rtl/>
          <w:lang w:bidi="ar-JO"/>
        </w:rPr>
        <w:t>طوال</w:t>
      </w:r>
      <w:r w:rsidR="007C4B62" w:rsidRPr="001F4F69">
        <w:rPr>
          <w:rFonts w:ascii="Arabic Transparent" w:hAnsi="Arabic Transparent" w:cs="Arabic Transparent" w:hint="cs"/>
          <w:sz w:val="28"/>
          <w:szCs w:val="28"/>
          <w:rtl/>
          <w:lang w:bidi="ar-JO"/>
        </w:rPr>
        <w:t xml:space="preserve"> الأيام</w:t>
      </w:r>
      <w:r w:rsidR="003D7D66" w:rsidRPr="001F4F69">
        <w:rPr>
          <w:rFonts w:ascii="Arabic Transparent" w:hAnsi="Arabic Transparent" w:cs="Arabic Transparent" w:hint="cs"/>
          <w:sz w:val="28"/>
          <w:szCs w:val="28"/>
          <w:vertAlign w:val="superscript"/>
          <w:rtl/>
          <w:lang w:bidi="ar-JO"/>
        </w:rPr>
        <w:t>(</w:t>
      </w:r>
      <w:r w:rsidR="003D7D66" w:rsidRPr="001F4F69">
        <w:rPr>
          <w:rStyle w:val="FootnoteReference"/>
          <w:rFonts w:ascii="Arabic Transparent" w:hAnsi="Arabic Transparent" w:cs="Arabic Transparent" w:hint="cs"/>
          <w:sz w:val="28"/>
          <w:szCs w:val="28"/>
          <w:rtl/>
          <w:lang w:bidi="ar-JO"/>
        </w:rPr>
        <w:footnoteReference w:id="149"/>
      </w:r>
      <w:r w:rsidR="003D7D66" w:rsidRPr="001F4F69">
        <w:rPr>
          <w:rFonts w:ascii="Arabic Transparent" w:hAnsi="Arabic Transparent" w:cs="Arabic Transparent" w:hint="cs"/>
          <w:sz w:val="28"/>
          <w:szCs w:val="28"/>
          <w:vertAlign w:val="superscript"/>
          <w:rtl/>
          <w:lang w:bidi="ar-JO"/>
        </w:rPr>
        <w:t>)</w:t>
      </w:r>
      <w:r w:rsidR="0054258A">
        <w:rPr>
          <w:rFonts w:ascii="Arabic Transparent" w:hAnsi="Arabic Transparent" w:cs="Arabic Transparent" w:hint="cs"/>
          <w:sz w:val="28"/>
          <w:szCs w:val="28"/>
          <w:rtl/>
          <w:lang w:bidi="ar-JO"/>
        </w:rPr>
        <w:t>.</w:t>
      </w:r>
    </w:p>
    <w:p w14:paraId="562A5289" w14:textId="30AD32A7" w:rsidR="00B72075" w:rsidRDefault="00ED149A" w:rsidP="00B72075">
      <w:pPr>
        <w:spacing w:after="0" w:line="360" w:lineRule="auto"/>
        <w:ind w:firstLine="332"/>
        <w:jc w:val="both"/>
        <w:rPr>
          <w:rFonts w:ascii="Arabic Transparent" w:hAnsi="Arabic Transparent" w:cs="Arabic Transparent"/>
          <w:sz w:val="28"/>
          <w:szCs w:val="28"/>
          <w:rtl/>
          <w:lang w:bidi="ar-JO"/>
        </w:rPr>
      </w:pPr>
      <w:r w:rsidRPr="00527E20">
        <w:rPr>
          <w:rFonts w:ascii="Arabic Transparent" w:hAnsi="Arabic Transparent" w:cs="Arabic Transparent" w:hint="cs"/>
          <w:sz w:val="28"/>
          <w:szCs w:val="28"/>
          <w:rtl/>
          <w:lang w:bidi="ar-JO"/>
        </w:rPr>
        <w:t>وعلى الرغم من أن هذه القواعد والأحكام ثابته لا تتغير إلا أنها تستعمل في تحقيق المناط العام</w:t>
      </w:r>
      <w:r w:rsidR="0054258A">
        <w:rPr>
          <w:rFonts w:ascii="Arabic Transparent" w:hAnsi="Arabic Transparent" w:cs="Arabic Transparent" w:hint="cs"/>
          <w:sz w:val="28"/>
          <w:szCs w:val="28"/>
          <w:rtl/>
          <w:lang w:bidi="ar-JO"/>
        </w:rPr>
        <w:t>،</w:t>
      </w:r>
      <w:r w:rsidRPr="00527E20">
        <w:rPr>
          <w:rFonts w:ascii="Arabic Transparent" w:hAnsi="Arabic Transparent" w:cs="Arabic Transparent" w:hint="cs"/>
          <w:sz w:val="28"/>
          <w:szCs w:val="28"/>
          <w:rtl/>
          <w:lang w:bidi="ar-JO"/>
        </w:rPr>
        <w:t xml:space="preserve"> أو الخاص عند تنزيل الأحكام الشرعية عليها</w:t>
      </w:r>
      <w:r w:rsidR="0054258A">
        <w:rPr>
          <w:rFonts w:ascii="Arabic Transparent" w:hAnsi="Arabic Transparent" w:cs="Arabic Transparent" w:hint="cs"/>
          <w:sz w:val="28"/>
          <w:szCs w:val="28"/>
          <w:rtl/>
          <w:lang w:bidi="ar-JO"/>
        </w:rPr>
        <w:t>،</w:t>
      </w:r>
      <w:r w:rsidRPr="00527E20">
        <w:rPr>
          <w:rFonts w:ascii="Arabic Transparent" w:hAnsi="Arabic Transparent" w:cs="Arabic Transparent" w:hint="cs"/>
          <w:sz w:val="28"/>
          <w:szCs w:val="28"/>
          <w:rtl/>
          <w:lang w:bidi="ar-JO"/>
        </w:rPr>
        <w:t xml:space="preserve"> مع الملاحظة أن بعض الكليات قابلة للتغير عندما تختلف الظروف الملابسة للواقعة، وإن كانت الكليات في حد ذاتها لا تتغير وأقرب مثال على بيان المقصود ما أفتى به مالك</w:t>
      </w:r>
      <w:r w:rsidR="00D9038F">
        <w:rPr>
          <w:rFonts w:ascii="Arabic Transparent" w:hAnsi="Arabic Transparent" w:cs="Arabic Transparent" w:hint="cs"/>
          <w:sz w:val="28"/>
          <w:szCs w:val="28"/>
          <w:rtl/>
          <w:lang w:bidi="ar-JO"/>
        </w:rPr>
        <w:t>،</w:t>
      </w:r>
      <w:r w:rsidRPr="00527E20">
        <w:rPr>
          <w:rFonts w:ascii="Arabic Transparent" w:hAnsi="Arabic Transparent" w:cs="Arabic Transparent" w:hint="cs"/>
          <w:sz w:val="28"/>
          <w:szCs w:val="28"/>
          <w:rtl/>
          <w:lang w:bidi="ar-JO"/>
        </w:rPr>
        <w:t xml:space="preserve"> من </w:t>
      </w:r>
      <w:r w:rsidR="00C55BAB">
        <w:rPr>
          <w:rFonts w:ascii="Arabic Transparent" w:hAnsi="Arabic Transparent" w:cs="Arabic Transparent" w:hint="cs"/>
          <w:sz w:val="28"/>
          <w:szCs w:val="28"/>
          <w:rtl/>
          <w:lang w:bidi="ar-JO"/>
        </w:rPr>
        <w:t>"</w:t>
      </w:r>
      <w:r w:rsidRPr="00527E20">
        <w:rPr>
          <w:rFonts w:ascii="Arabic Transparent" w:hAnsi="Arabic Transparent" w:cs="Arabic Transparent" w:hint="cs"/>
          <w:sz w:val="28"/>
          <w:szCs w:val="28"/>
          <w:rtl/>
          <w:lang w:bidi="ar-JO"/>
        </w:rPr>
        <w:t>جواز الإكراه على البيع بسعر عادل حين يصبح الإكراه مناطاً للعدل، في ظروف استثنائية تقتضي ذلك، وعدم جواز الإكراه في الأحوال العامة</w:t>
      </w:r>
      <w:r w:rsidR="00C55BAB">
        <w:rPr>
          <w:rFonts w:ascii="Arabic Transparent" w:hAnsi="Arabic Transparent" w:cs="Arabic Transparent" w:hint="cs"/>
          <w:sz w:val="28"/>
          <w:szCs w:val="28"/>
          <w:rtl/>
          <w:lang w:bidi="ar-JO"/>
        </w:rPr>
        <w:t>"</w:t>
      </w:r>
      <w:r w:rsidR="00C55BAB" w:rsidRPr="00527E20">
        <w:rPr>
          <w:rFonts w:ascii="Arabic Transparent" w:hAnsi="Arabic Transparent" w:cs="Arabic Transparent" w:hint="cs"/>
          <w:sz w:val="28"/>
          <w:szCs w:val="28"/>
          <w:vertAlign w:val="superscript"/>
          <w:rtl/>
          <w:lang w:bidi="ar-JO"/>
        </w:rPr>
        <w:t>(</w:t>
      </w:r>
      <w:r w:rsidR="00C55BAB" w:rsidRPr="00527E20">
        <w:rPr>
          <w:rStyle w:val="FootnoteReference"/>
          <w:rFonts w:ascii="Arabic Transparent" w:hAnsi="Arabic Transparent" w:cs="Arabic Transparent" w:hint="cs"/>
          <w:sz w:val="28"/>
          <w:szCs w:val="28"/>
          <w:rtl/>
          <w:lang w:bidi="ar-JO"/>
        </w:rPr>
        <w:footnoteReference w:id="150"/>
      </w:r>
      <w:r w:rsidR="00C55BAB" w:rsidRPr="00527E20">
        <w:rPr>
          <w:rFonts w:ascii="Arabic Transparent" w:hAnsi="Arabic Transparent" w:cs="Arabic Transparent" w:hint="cs"/>
          <w:sz w:val="28"/>
          <w:szCs w:val="28"/>
          <w:vertAlign w:val="superscript"/>
          <w:rtl/>
          <w:lang w:bidi="ar-JO"/>
        </w:rPr>
        <w:t>)</w:t>
      </w:r>
      <w:r w:rsidR="0054258A">
        <w:rPr>
          <w:rFonts w:ascii="Arabic Transparent" w:hAnsi="Arabic Transparent" w:cs="Arabic Transparent" w:hint="cs"/>
          <w:sz w:val="28"/>
          <w:szCs w:val="28"/>
          <w:rtl/>
          <w:lang w:bidi="ar-JO"/>
        </w:rPr>
        <w:t>؛</w:t>
      </w:r>
      <w:r w:rsidRPr="00527E20">
        <w:rPr>
          <w:rFonts w:ascii="Arabic Transparent" w:hAnsi="Arabic Transparent" w:cs="Arabic Transparent" w:hint="cs"/>
          <w:sz w:val="28"/>
          <w:szCs w:val="28"/>
          <w:rtl/>
          <w:lang w:bidi="ar-JO"/>
        </w:rPr>
        <w:t xml:space="preserve"> </w:t>
      </w:r>
      <w:r w:rsidR="001F4F69" w:rsidRPr="00527E20">
        <w:rPr>
          <w:rFonts w:ascii="Arabic Transparent" w:hAnsi="Arabic Transparent" w:cs="Arabic Transparent" w:hint="cs"/>
          <w:sz w:val="28"/>
          <w:szCs w:val="28"/>
          <w:rtl/>
          <w:lang w:bidi="ar-JO"/>
        </w:rPr>
        <w:t xml:space="preserve">لأنه يشكل مناطاً للظلم، والعدل مبدأ ثابت لا يتغير كونه من مبادئ الشريعة الكلية، أما أسبابه ومتعلقاته </w:t>
      </w:r>
      <w:r w:rsidR="00805167">
        <w:rPr>
          <w:rFonts w:ascii="Arabic Transparent" w:hAnsi="Arabic Transparent" w:cs="Arabic Transparent" w:hint="cs"/>
          <w:sz w:val="28"/>
          <w:szCs w:val="28"/>
          <w:rtl/>
          <w:lang w:bidi="ar-JO"/>
        </w:rPr>
        <w:t>ف</w:t>
      </w:r>
      <w:r w:rsidR="001F4F69" w:rsidRPr="00527E20">
        <w:rPr>
          <w:rFonts w:ascii="Arabic Transparent" w:hAnsi="Arabic Transparent" w:cs="Arabic Transparent" w:hint="cs"/>
          <w:sz w:val="28"/>
          <w:szCs w:val="28"/>
          <w:rtl/>
          <w:lang w:bidi="ar-JO"/>
        </w:rPr>
        <w:t>تتغير تبعاً لاختلاف الظروف المحتفة بالواقعة</w:t>
      </w:r>
      <w:r w:rsidR="00514C65">
        <w:rPr>
          <w:rFonts w:ascii="Arabic Transparent" w:hAnsi="Arabic Transparent" w:cs="Arabic Transparent" w:hint="cs"/>
          <w:sz w:val="28"/>
          <w:szCs w:val="28"/>
          <w:rtl/>
          <w:lang w:bidi="ar-JO"/>
        </w:rPr>
        <w:t xml:space="preserve">، </w:t>
      </w:r>
      <w:r w:rsidR="00DC0EB3" w:rsidRPr="00527E20">
        <w:rPr>
          <w:rFonts w:ascii="Arabic Transparent" w:hAnsi="Arabic Transparent" w:cs="Arabic Transparent" w:hint="cs"/>
          <w:sz w:val="28"/>
          <w:szCs w:val="28"/>
          <w:rtl/>
          <w:lang w:bidi="ar-JO"/>
        </w:rPr>
        <w:t>وتغيير الأسباب مثل وقت التنفيذ كما في الحدود</w:t>
      </w:r>
      <w:r w:rsidR="0054258A">
        <w:rPr>
          <w:rFonts w:ascii="Arabic Transparent" w:hAnsi="Arabic Transparent" w:cs="Arabic Transparent" w:hint="cs"/>
          <w:sz w:val="28"/>
          <w:szCs w:val="28"/>
          <w:rtl/>
          <w:lang w:bidi="ar-JO"/>
        </w:rPr>
        <w:t>،</w:t>
      </w:r>
      <w:r w:rsidR="00DC0EB3" w:rsidRPr="00527E20">
        <w:rPr>
          <w:rFonts w:ascii="Arabic Transparent" w:hAnsi="Arabic Transparent" w:cs="Arabic Transparent" w:hint="cs"/>
          <w:sz w:val="28"/>
          <w:szCs w:val="28"/>
          <w:rtl/>
          <w:lang w:bidi="ar-JO"/>
        </w:rPr>
        <w:t xml:space="preserve"> </w:t>
      </w:r>
      <w:r w:rsidR="00C55BAB">
        <w:rPr>
          <w:rFonts w:ascii="Arabic Transparent" w:hAnsi="Arabic Transparent" w:cs="Arabic Transparent" w:hint="cs"/>
          <w:sz w:val="28"/>
          <w:szCs w:val="28"/>
          <w:rtl/>
          <w:lang w:bidi="ar-JO"/>
        </w:rPr>
        <w:t>"</w:t>
      </w:r>
      <w:r w:rsidR="00DC0EB3" w:rsidRPr="00527E20">
        <w:rPr>
          <w:rFonts w:ascii="Arabic Transparent" w:hAnsi="Arabic Transparent" w:cs="Arabic Transparent" w:hint="cs"/>
          <w:sz w:val="28"/>
          <w:szCs w:val="28"/>
          <w:rtl/>
          <w:lang w:bidi="ar-JO"/>
        </w:rPr>
        <w:t>فيؤجل التنفيذ من حال المرض إلى حال الصحة</w:t>
      </w:r>
      <w:r w:rsidR="0054258A">
        <w:rPr>
          <w:rFonts w:ascii="Arabic Transparent" w:hAnsi="Arabic Transparent" w:cs="Arabic Transparent" w:hint="cs"/>
          <w:sz w:val="28"/>
          <w:szCs w:val="28"/>
          <w:rtl/>
          <w:lang w:bidi="ar-JO"/>
        </w:rPr>
        <w:t>،</w:t>
      </w:r>
      <w:r w:rsidR="00DC0EB3" w:rsidRPr="00527E20">
        <w:rPr>
          <w:rFonts w:ascii="Arabic Transparent" w:hAnsi="Arabic Transparent" w:cs="Arabic Transparent" w:hint="cs"/>
          <w:sz w:val="28"/>
          <w:szCs w:val="28"/>
          <w:rtl/>
          <w:lang w:bidi="ar-JO"/>
        </w:rPr>
        <w:t xml:space="preserve"> ومن حال البرد الشديد إلى </w:t>
      </w:r>
      <w:r w:rsidR="00DE7B18" w:rsidRPr="00527E20">
        <w:rPr>
          <w:rFonts w:ascii="Arabic Transparent" w:hAnsi="Arabic Transparent" w:cs="Arabic Transparent" w:hint="cs"/>
          <w:sz w:val="28"/>
          <w:szCs w:val="28"/>
          <w:rtl/>
          <w:lang w:bidi="ar-JO"/>
        </w:rPr>
        <w:t xml:space="preserve">حال اعتدال المناخ؛ </w:t>
      </w:r>
      <w:r w:rsidR="00DE7B18" w:rsidRPr="00527E20">
        <w:rPr>
          <w:rFonts w:ascii="Arabic Transparent" w:hAnsi="Arabic Transparent" w:cs="Arabic Transparent" w:hint="cs"/>
          <w:sz w:val="28"/>
          <w:szCs w:val="28"/>
          <w:rtl/>
          <w:lang w:bidi="ar-JO"/>
        </w:rPr>
        <w:lastRenderedPageBreak/>
        <w:t>لأن الجلد في هذه الظروف يؤدي إلى زيادة العقوبة عن ما هو مقرر شرعاً</w:t>
      </w:r>
      <w:r w:rsidR="00C55BAB">
        <w:rPr>
          <w:rFonts w:ascii="Arabic Transparent" w:hAnsi="Arabic Transparent" w:cs="Arabic Transparent" w:hint="cs"/>
          <w:sz w:val="28"/>
          <w:szCs w:val="28"/>
          <w:vertAlign w:val="superscript"/>
          <w:rtl/>
          <w:lang w:bidi="ar-JO"/>
        </w:rPr>
        <w:t>"</w:t>
      </w:r>
      <w:r w:rsidR="00DE7B18" w:rsidRPr="00527E20">
        <w:rPr>
          <w:rFonts w:ascii="Arabic Transparent" w:hAnsi="Arabic Transparent" w:cs="Arabic Transparent" w:hint="cs"/>
          <w:sz w:val="28"/>
          <w:szCs w:val="28"/>
          <w:vertAlign w:val="superscript"/>
          <w:rtl/>
          <w:lang w:bidi="ar-JO"/>
        </w:rPr>
        <w:t>(</w:t>
      </w:r>
      <w:r w:rsidR="00DE7B18" w:rsidRPr="00527E20">
        <w:rPr>
          <w:rStyle w:val="FootnoteReference"/>
          <w:rFonts w:ascii="Arabic Transparent" w:hAnsi="Arabic Transparent" w:cs="Arabic Transparent" w:hint="cs"/>
          <w:sz w:val="28"/>
          <w:szCs w:val="28"/>
          <w:rtl/>
          <w:lang w:bidi="ar-JO"/>
        </w:rPr>
        <w:footnoteReference w:id="151"/>
      </w:r>
      <w:r w:rsidR="00DE7B18" w:rsidRPr="00527E20">
        <w:rPr>
          <w:rFonts w:ascii="Arabic Transparent" w:hAnsi="Arabic Transparent" w:cs="Arabic Transparent" w:hint="cs"/>
          <w:sz w:val="28"/>
          <w:szCs w:val="28"/>
          <w:vertAlign w:val="superscript"/>
          <w:rtl/>
          <w:lang w:bidi="ar-JO"/>
        </w:rPr>
        <w:t>)</w:t>
      </w:r>
      <w:r w:rsidR="00DE7B18" w:rsidRPr="00527E20">
        <w:rPr>
          <w:rFonts w:ascii="Arabic Transparent" w:hAnsi="Arabic Transparent" w:cs="Arabic Transparent" w:hint="cs"/>
          <w:sz w:val="28"/>
          <w:szCs w:val="28"/>
          <w:rtl/>
          <w:lang w:bidi="ar-JO"/>
        </w:rPr>
        <w:t xml:space="preserve">، كما فعل </w:t>
      </w:r>
      <w:r w:rsidR="005E3842">
        <w:rPr>
          <w:rFonts w:ascii="AGA Arabesque" w:eastAsia="AGA Arabesque" w:hAnsi="AGA Arabesque" w:cs="AGA Arabesque"/>
          <w:sz w:val="28"/>
          <w:szCs w:val="28"/>
          <w:lang w:bidi="ar-JO"/>
        </w:rPr>
        <w:t></w:t>
      </w:r>
      <w:r w:rsidR="00DE7B18" w:rsidRPr="00527E20">
        <w:rPr>
          <w:rFonts w:ascii="Arabic Transparent" w:hAnsi="Arabic Transparent" w:cs="Arabic Transparent" w:hint="cs"/>
          <w:sz w:val="28"/>
          <w:szCs w:val="28"/>
          <w:rtl/>
          <w:lang w:bidi="ar-JO"/>
        </w:rPr>
        <w:t xml:space="preserve"> </w:t>
      </w:r>
      <w:r w:rsidR="008757FB">
        <w:rPr>
          <w:rFonts w:ascii="Arabic Transparent" w:hAnsi="Arabic Transparent" w:cs="Arabic Transparent" w:hint="cs"/>
          <w:sz w:val="28"/>
          <w:szCs w:val="28"/>
          <w:rtl/>
          <w:lang w:bidi="ar-JO"/>
        </w:rPr>
        <w:t>"</w:t>
      </w:r>
      <w:r w:rsidR="00DE7B18" w:rsidRPr="00527E20">
        <w:rPr>
          <w:rFonts w:ascii="Arabic Transparent" w:hAnsi="Arabic Transparent" w:cs="Arabic Transparent" w:hint="cs"/>
          <w:sz w:val="28"/>
          <w:szCs w:val="28"/>
          <w:rtl/>
          <w:lang w:bidi="ar-JO"/>
        </w:rPr>
        <w:t>عند</w:t>
      </w:r>
      <w:r w:rsidR="0054258A">
        <w:rPr>
          <w:rFonts w:ascii="Arabic Transparent" w:hAnsi="Arabic Transparent" w:cs="Arabic Transparent" w:hint="cs"/>
          <w:sz w:val="28"/>
          <w:szCs w:val="28"/>
          <w:rtl/>
          <w:lang w:bidi="ar-JO"/>
        </w:rPr>
        <w:t>ما</w:t>
      </w:r>
      <w:r w:rsidR="00DE7B18" w:rsidRPr="00527E20">
        <w:rPr>
          <w:rFonts w:ascii="Arabic Transparent" w:hAnsi="Arabic Transparent" w:cs="Arabic Transparent" w:hint="cs"/>
          <w:sz w:val="28"/>
          <w:szCs w:val="28"/>
          <w:rtl/>
          <w:lang w:bidi="ar-JO"/>
        </w:rPr>
        <w:t xml:space="preserve"> أخر</w:t>
      </w:r>
      <w:r w:rsidR="00C61F85">
        <w:rPr>
          <w:rFonts w:ascii="Arabic Transparent" w:hAnsi="Arabic Transparent" w:cs="Arabic Transparent" w:hint="cs"/>
          <w:sz w:val="28"/>
          <w:szCs w:val="28"/>
          <w:rtl/>
          <w:lang w:bidi="ar-JO"/>
        </w:rPr>
        <w:t>َّ</w:t>
      </w:r>
      <w:r w:rsidR="00DE7B18" w:rsidRPr="00527E20">
        <w:rPr>
          <w:rFonts w:ascii="Arabic Transparent" w:hAnsi="Arabic Transparent" w:cs="Arabic Transparent" w:hint="cs"/>
          <w:sz w:val="28"/>
          <w:szCs w:val="28"/>
          <w:rtl/>
          <w:lang w:bidi="ar-JO"/>
        </w:rPr>
        <w:t xml:space="preserve"> تنفي</w:t>
      </w:r>
      <w:r w:rsidR="00C61F85">
        <w:rPr>
          <w:rFonts w:ascii="Arabic Transparent" w:hAnsi="Arabic Transparent" w:cs="Arabic Transparent" w:hint="cs"/>
          <w:sz w:val="28"/>
          <w:szCs w:val="28"/>
          <w:rtl/>
          <w:lang w:bidi="ar-JO"/>
        </w:rPr>
        <w:t>ذ</w:t>
      </w:r>
      <w:r w:rsidR="00DE7B18" w:rsidRPr="00527E20">
        <w:rPr>
          <w:rFonts w:ascii="Arabic Transparent" w:hAnsi="Arabic Transparent" w:cs="Arabic Transparent" w:hint="cs"/>
          <w:sz w:val="28"/>
          <w:szCs w:val="28"/>
          <w:rtl/>
          <w:lang w:bidi="ar-JO"/>
        </w:rPr>
        <w:t xml:space="preserve"> </w:t>
      </w:r>
      <w:r w:rsidR="00B72075">
        <w:rPr>
          <w:rFonts w:ascii="Arabic Transparent" w:hAnsi="Arabic Transparent" w:cs="Arabic Transparent"/>
          <w:sz w:val="28"/>
          <w:szCs w:val="28"/>
          <w:rtl/>
          <w:lang w:bidi="ar-JO"/>
        </w:rPr>
        <w:br w:type="page"/>
      </w:r>
    </w:p>
    <w:p w14:paraId="3CA12A9E" w14:textId="55CFD354" w:rsidR="00E15818" w:rsidRPr="00527E20" w:rsidRDefault="00DE7B18" w:rsidP="008757FB">
      <w:pPr>
        <w:spacing w:after="0" w:line="360" w:lineRule="auto"/>
        <w:ind w:hanging="1"/>
        <w:jc w:val="both"/>
        <w:rPr>
          <w:rFonts w:ascii="Arabic Transparent" w:hAnsi="Arabic Transparent" w:cs="Arabic Transparent"/>
          <w:sz w:val="28"/>
          <w:szCs w:val="28"/>
          <w:rtl/>
          <w:lang w:bidi="ar-JO"/>
        </w:rPr>
      </w:pPr>
      <w:r w:rsidRPr="00527E20">
        <w:rPr>
          <w:rFonts w:ascii="Arabic Transparent" w:hAnsi="Arabic Transparent" w:cs="Arabic Transparent" w:hint="cs"/>
          <w:sz w:val="28"/>
          <w:szCs w:val="28"/>
          <w:rtl/>
          <w:lang w:bidi="ar-JO"/>
        </w:rPr>
        <w:t>الحد عن المرأة الزانية الحامل</w:t>
      </w:r>
      <w:r w:rsidR="008757FB">
        <w:rPr>
          <w:rFonts w:ascii="Arabic Transparent" w:hAnsi="Arabic Transparent" w:cs="Arabic Transparent" w:hint="cs"/>
          <w:sz w:val="28"/>
          <w:szCs w:val="28"/>
          <w:rtl/>
          <w:lang w:bidi="ar-JO"/>
        </w:rPr>
        <w:t>"</w:t>
      </w:r>
      <w:r w:rsidR="0054258A" w:rsidRPr="00527E20">
        <w:rPr>
          <w:rFonts w:ascii="Arabic Transparent" w:hAnsi="Arabic Transparent" w:cs="Arabic Transparent" w:hint="cs"/>
          <w:sz w:val="28"/>
          <w:szCs w:val="28"/>
          <w:vertAlign w:val="superscript"/>
          <w:rtl/>
          <w:lang w:bidi="ar-JO"/>
        </w:rPr>
        <w:t>(</w:t>
      </w:r>
      <w:r w:rsidR="0054258A" w:rsidRPr="00527E20">
        <w:rPr>
          <w:rStyle w:val="FootnoteReference"/>
          <w:rFonts w:ascii="Arabic Transparent" w:hAnsi="Arabic Transparent" w:cs="Arabic Transparent" w:hint="cs"/>
          <w:sz w:val="28"/>
          <w:szCs w:val="28"/>
          <w:rtl/>
          <w:lang w:bidi="ar-JO"/>
        </w:rPr>
        <w:footnoteReference w:id="152"/>
      </w:r>
      <w:r w:rsidR="0054258A" w:rsidRPr="00527E20">
        <w:rPr>
          <w:rFonts w:ascii="Arabic Transparent" w:hAnsi="Arabic Transparent" w:cs="Arabic Transparent" w:hint="cs"/>
          <w:sz w:val="28"/>
          <w:szCs w:val="28"/>
          <w:vertAlign w:val="superscript"/>
          <w:rtl/>
          <w:lang w:bidi="ar-JO"/>
        </w:rPr>
        <w:t>)</w:t>
      </w:r>
      <w:r w:rsidRPr="00527E20">
        <w:rPr>
          <w:rFonts w:ascii="Arabic Transparent" w:hAnsi="Arabic Transparent" w:cs="Arabic Transparent" w:hint="cs"/>
          <w:sz w:val="28"/>
          <w:szCs w:val="28"/>
          <w:rtl/>
          <w:lang w:bidi="ar-JO"/>
        </w:rPr>
        <w:t>، فنظر إلى أن تنفيذ الحد اعتداء</w:t>
      </w:r>
      <w:r w:rsidR="0054258A">
        <w:rPr>
          <w:rFonts w:ascii="Arabic Transparent" w:hAnsi="Arabic Transparent" w:cs="Arabic Transparent" w:hint="cs"/>
          <w:sz w:val="28"/>
          <w:szCs w:val="28"/>
          <w:rtl/>
          <w:lang w:bidi="ar-JO"/>
        </w:rPr>
        <w:t>ً</w:t>
      </w:r>
      <w:r w:rsidRPr="00527E20">
        <w:rPr>
          <w:rFonts w:ascii="Arabic Transparent" w:hAnsi="Arabic Transparent" w:cs="Arabic Transparent" w:hint="cs"/>
          <w:sz w:val="28"/>
          <w:szCs w:val="28"/>
          <w:rtl/>
          <w:lang w:bidi="ar-JO"/>
        </w:rPr>
        <w:t xml:space="preserve"> يؤدي إلى اسقاط الجنين وسلبه حقه في الحياة</w:t>
      </w:r>
      <w:r w:rsidR="00527E20">
        <w:rPr>
          <w:rFonts w:ascii="Arabic Transparent" w:hAnsi="Arabic Transparent" w:cs="Arabic Transparent" w:hint="cs"/>
          <w:sz w:val="28"/>
          <w:szCs w:val="28"/>
          <w:rtl/>
          <w:lang w:bidi="ar-JO"/>
        </w:rPr>
        <w:t>.</w:t>
      </w:r>
    </w:p>
    <w:p w14:paraId="77D21119" w14:textId="39261498" w:rsidR="00805167" w:rsidRDefault="008757FB" w:rsidP="00D8093F">
      <w:pPr>
        <w:spacing w:after="0" w:line="360" w:lineRule="auto"/>
        <w:jc w:val="both"/>
        <w:rPr>
          <w:rFonts w:ascii="Arabic Transparent" w:hAnsi="Arabic Transparent" w:cs="Arabic Transparent"/>
          <w:sz w:val="28"/>
          <w:szCs w:val="28"/>
          <w:rtl/>
          <w:lang w:bidi="ar-JO"/>
        </w:rPr>
      </w:pPr>
      <w:r>
        <w:rPr>
          <w:rFonts w:ascii="Arabic Transparent" w:hAnsi="Arabic Transparent" w:cs="Arabic Transparent" w:hint="cs"/>
          <w:sz w:val="28"/>
          <w:szCs w:val="28"/>
          <w:rtl/>
          <w:lang w:bidi="ar-JO"/>
        </w:rPr>
        <w:t xml:space="preserve">     </w:t>
      </w:r>
      <w:r w:rsidR="00527E20">
        <w:rPr>
          <w:rFonts w:ascii="Arabic Transparent" w:hAnsi="Arabic Transparent" w:cs="Arabic Transparent" w:hint="cs"/>
          <w:sz w:val="28"/>
          <w:szCs w:val="28"/>
          <w:rtl/>
          <w:lang w:bidi="ar-JO"/>
        </w:rPr>
        <w:t xml:space="preserve">وتأسيساً على ما سبق يتبين أن مجال تحقيق المناط الخاص في قسم الأحكام الثابتة التي تعنى بتنزيل القواعد الكلية والنصوص المحكمة على الوقائع الخاصة، مع الإشارة </w:t>
      </w:r>
      <w:r w:rsidR="0054258A">
        <w:rPr>
          <w:rFonts w:ascii="Arabic Transparent" w:hAnsi="Arabic Transparent" w:cs="Arabic Transparent" w:hint="cs"/>
          <w:sz w:val="28"/>
          <w:szCs w:val="28"/>
          <w:rtl/>
          <w:lang w:bidi="ar-JO"/>
        </w:rPr>
        <w:t>ل</w:t>
      </w:r>
      <w:r w:rsidR="00527E20">
        <w:rPr>
          <w:rFonts w:ascii="Arabic Transparent" w:hAnsi="Arabic Transparent" w:cs="Arabic Transparent" w:hint="cs"/>
          <w:sz w:val="28"/>
          <w:szCs w:val="28"/>
          <w:rtl/>
          <w:lang w:bidi="ar-JO"/>
        </w:rPr>
        <w:t>حصول بعض التغيّر</w:t>
      </w:r>
      <w:r w:rsidR="005F2B6E">
        <w:rPr>
          <w:rFonts w:ascii="Arabic Transparent" w:hAnsi="Arabic Transparent" w:cs="Arabic Transparent" w:hint="cs"/>
          <w:sz w:val="28"/>
          <w:szCs w:val="28"/>
          <w:rtl/>
          <w:lang w:bidi="ar-JO"/>
        </w:rPr>
        <w:t xml:space="preserve"> المحصور</w:t>
      </w:r>
      <w:r w:rsidR="00527E20">
        <w:rPr>
          <w:rFonts w:ascii="Arabic Transparent" w:hAnsi="Arabic Transparent" w:cs="Arabic Transparent" w:hint="cs"/>
          <w:sz w:val="28"/>
          <w:szCs w:val="28"/>
          <w:rtl/>
          <w:lang w:bidi="ar-JO"/>
        </w:rPr>
        <w:t xml:space="preserve"> في بعض الأحوال</w:t>
      </w:r>
      <w:r w:rsidR="0054258A">
        <w:rPr>
          <w:rFonts w:ascii="Arabic Transparent" w:hAnsi="Arabic Transparent" w:cs="Arabic Transparent" w:hint="cs"/>
          <w:sz w:val="28"/>
          <w:szCs w:val="28"/>
          <w:rtl/>
          <w:lang w:bidi="ar-JO"/>
        </w:rPr>
        <w:t>،</w:t>
      </w:r>
      <w:r w:rsidR="005F2B6E">
        <w:rPr>
          <w:rFonts w:ascii="Arabic Transparent" w:hAnsi="Arabic Transparent" w:cs="Arabic Transparent" w:hint="cs"/>
          <w:sz w:val="28"/>
          <w:szCs w:val="28"/>
          <w:rtl/>
          <w:lang w:bidi="ar-JO"/>
        </w:rPr>
        <w:t xml:space="preserve"> و</w:t>
      </w:r>
      <w:r w:rsidR="00527E20">
        <w:rPr>
          <w:rFonts w:ascii="Arabic Transparent" w:hAnsi="Arabic Transparent" w:cs="Arabic Transparent" w:hint="cs"/>
          <w:sz w:val="28"/>
          <w:szCs w:val="28"/>
          <w:rtl/>
          <w:lang w:bidi="ar-JO"/>
        </w:rPr>
        <w:t>الأسباب</w:t>
      </w:r>
      <w:r w:rsidR="0054258A">
        <w:rPr>
          <w:rFonts w:ascii="Arabic Transparent" w:hAnsi="Arabic Transparent" w:cs="Arabic Transparent" w:hint="cs"/>
          <w:sz w:val="28"/>
          <w:szCs w:val="28"/>
          <w:rtl/>
          <w:lang w:bidi="ar-JO"/>
        </w:rPr>
        <w:t>،</w:t>
      </w:r>
      <w:r w:rsidR="00527E20">
        <w:rPr>
          <w:rFonts w:ascii="Arabic Transparent" w:hAnsi="Arabic Transparent" w:cs="Arabic Transparent" w:hint="cs"/>
          <w:sz w:val="28"/>
          <w:szCs w:val="28"/>
          <w:rtl/>
          <w:lang w:bidi="ar-JO"/>
        </w:rPr>
        <w:t xml:space="preserve"> والظروف </w:t>
      </w:r>
      <w:r w:rsidR="005F2B6E">
        <w:rPr>
          <w:rFonts w:ascii="Arabic Transparent" w:hAnsi="Arabic Transparent" w:cs="Arabic Transparent" w:hint="cs"/>
          <w:sz w:val="28"/>
          <w:szCs w:val="28"/>
          <w:rtl/>
          <w:lang w:bidi="ar-JO"/>
        </w:rPr>
        <w:t>و</w:t>
      </w:r>
      <w:r w:rsidR="00527E20">
        <w:rPr>
          <w:rFonts w:ascii="Arabic Transparent" w:hAnsi="Arabic Transparent" w:cs="Arabic Transparent" w:hint="cs"/>
          <w:sz w:val="28"/>
          <w:szCs w:val="28"/>
          <w:rtl/>
          <w:lang w:bidi="ar-JO"/>
        </w:rPr>
        <w:t>تنفيذ الوقائع وليس في</w:t>
      </w:r>
      <w:r w:rsidR="005F2B6E">
        <w:rPr>
          <w:rFonts w:ascii="Arabic Transparent" w:hAnsi="Arabic Transparent" w:cs="Arabic Transparent" w:hint="cs"/>
          <w:sz w:val="28"/>
          <w:szCs w:val="28"/>
          <w:rtl/>
          <w:lang w:bidi="ar-JO"/>
        </w:rPr>
        <w:t xml:space="preserve"> ذات</w:t>
      </w:r>
      <w:r w:rsidR="00527E20">
        <w:rPr>
          <w:rFonts w:ascii="Arabic Transparent" w:hAnsi="Arabic Transparent" w:cs="Arabic Transparent" w:hint="cs"/>
          <w:sz w:val="28"/>
          <w:szCs w:val="28"/>
          <w:rtl/>
          <w:lang w:bidi="ar-JO"/>
        </w:rPr>
        <w:t xml:space="preserve"> الأحكام والقواعد الكلية.</w:t>
      </w:r>
    </w:p>
    <w:p w14:paraId="6F85A45F" w14:textId="4E632FF8" w:rsidR="00E15818" w:rsidRDefault="00527E20" w:rsidP="00603C18">
      <w:pPr>
        <w:spacing w:after="0" w:line="360" w:lineRule="auto"/>
        <w:rPr>
          <w:rFonts w:ascii="Arabic Transparent" w:hAnsi="Arabic Transparent" w:cs="Arabic Transparent"/>
          <w:b/>
          <w:bCs/>
          <w:sz w:val="28"/>
          <w:szCs w:val="28"/>
          <w:rtl/>
          <w:lang w:bidi="ar-JO"/>
        </w:rPr>
      </w:pPr>
      <w:r w:rsidRPr="00527E20">
        <w:rPr>
          <w:rFonts w:ascii="Arabic Transparent" w:hAnsi="Arabic Transparent" w:cs="Arabic Transparent" w:hint="cs"/>
          <w:b/>
          <w:bCs/>
          <w:sz w:val="28"/>
          <w:szCs w:val="28"/>
          <w:rtl/>
          <w:lang w:bidi="ar-JO"/>
        </w:rPr>
        <w:t>القسم الثاني: الأحكام المتغيرة</w:t>
      </w:r>
    </w:p>
    <w:p w14:paraId="56AE7EE6" w14:textId="32987AF0" w:rsidR="008757FB" w:rsidRDefault="00F064CB" w:rsidP="00A13B75">
      <w:pPr>
        <w:spacing w:after="0" w:line="360" w:lineRule="auto"/>
        <w:ind w:firstLine="332"/>
        <w:jc w:val="both"/>
        <w:rPr>
          <w:rFonts w:ascii="Arabic Transparent" w:hAnsi="Arabic Transparent" w:cs="Arabic Transparent"/>
          <w:sz w:val="28"/>
          <w:szCs w:val="28"/>
          <w:rtl/>
          <w:lang w:bidi="ar-JO"/>
        </w:rPr>
      </w:pPr>
      <w:r>
        <w:rPr>
          <w:rFonts w:ascii="Arabic Transparent" w:hAnsi="Arabic Transparent" w:cs="Arabic Transparent" w:hint="cs"/>
          <w:sz w:val="28"/>
          <w:szCs w:val="28"/>
          <w:rtl/>
          <w:lang w:bidi="ar-JO"/>
        </w:rPr>
        <w:t>وهي الأحكام المرتبطة بعلة</w:t>
      </w:r>
      <w:r w:rsidR="0054258A">
        <w:rPr>
          <w:rFonts w:ascii="Arabic Transparent" w:hAnsi="Arabic Transparent" w:cs="Arabic Transparent" w:hint="cs"/>
          <w:sz w:val="28"/>
          <w:szCs w:val="28"/>
          <w:rtl/>
          <w:lang w:bidi="ar-JO"/>
        </w:rPr>
        <w:t>،</w:t>
      </w:r>
      <w:r>
        <w:rPr>
          <w:rFonts w:ascii="Arabic Transparent" w:hAnsi="Arabic Transparent" w:cs="Arabic Transparent" w:hint="cs"/>
          <w:sz w:val="28"/>
          <w:szCs w:val="28"/>
          <w:rtl/>
          <w:lang w:bidi="ar-JO"/>
        </w:rPr>
        <w:t xml:space="preserve"> أو مصلحة متغيرة</w:t>
      </w:r>
      <w:r w:rsidR="0054258A">
        <w:rPr>
          <w:rFonts w:ascii="Arabic Transparent" w:hAnsi="Arabic Transparent" w:cs="Arabic Transparent" w:hint="cs"/>
          <w:sz w:val="28"/>
          <w:szCs w:val="28"/>
          <w:rtl/>
          <w:lang w:bidi="ar-JO"/>
        </w:rPr>
        <w:t>،</w:t>
      </w:r>
      <w:r>
        <w:rPr>
          <w:rFonts w:ascii="Arabic Transparent" w:hAnsi="Arabic Transparent" w:cs="Arabic Transparent" w:hint="cs"/>
          <w:sz w:val="28"/>
          <w:szCs w:val="28"/>
          <w:rtl/>
          <w:lang w:bidi="ar-JO"/>
        </w:rPr>
        <w:t xml:space="preserve"> أو جاءت لتعالج حالة معينة في المجتمع</w:t>
      </w:r>
      <w:r w:rsidR="0054258A">
        <w:rPr>
          <w:rFonts w:ascii="Arabic Transparent" w:hAnsi="Arabic Transparent" w:cs="Arabic Transparent" w:hint="cs"/>
          <w:sz w:val="28"/>
          <w:szCs w:val="28"/>
          <w:rtl/>
          <w:lang w:bidi="ar-JO"/>
        </w:rPr>
        <w:t>،</w:t>
      </w:r>
      <w:r>
        <w:rPr>
          <w:rFonts w:ascii="Arabic Transparent" w:hAnsi="Arabic Transparent" w:cs="Arabic Transparent" w:hint="cs"/>
          <w:sz w:val="28"/>
          <w:szCs w:val="28"/>
          <w:rtl/>
          <w:lang w:bidi="ar-JO"/>
        </w:rPr>
        <w:t xml:space="preserve"> أو في حق الأفراد</w:t>
      </w:r>
      <w:r w:rsidR="0054258A">
        <w:rPr>
          <w:rFonts w:ascii="Arabic Transparent" w:hAnsi="Arabic Transparent" w:cs="Arabic Transparent" w:hint="cs"/>
          <w:sz w:val="28"/>
          <w:szCs w:val="28"/>
          <w:rtl/>
          <w:lang w:bidi="ar-JO"/>
        </w:rPr>
        <w:t>،</w:t>
      </w:r>
      <w:r>
        <w:rPr>
          <w:rFonts w:ascii="Arabic Transparent" w:hAnsi="Arabic Transparent" w:cs="Arabic Transparent" w:hint="cs"/>
          <w:sz w:val="28"/>
          <w:szCs w:val="28"/>
          <w:rtl/>
          <w:lang w:bidi="ar-JO"/>
        </w:rPr>
        <w:t xml:space="preserve"> </w:t>
      </w:r>
      <w:r w:rsidR="005F2B6E">
        <w:rPr>
          <w:rFonts w:ascii="Arabic Transparent" w:hAnsi="Arabic Transparent" w:cs="Arabic Transparent" w:hint="cs"/>
          <w:sz w:val="28"/>
          <w:szCs w:val="28"/>
          <w:rtl/>
          <w:lang w:bidi="ar-JO"/>
        </w:rPr>
        <w:t xml:space="preserve">أو جاءت </w:t>
      </w:r>
      <w:r w:rsidR="008757FB">
        <w:rPr>
          <w:rFonts w:ascii="Arabic Transparent" w:hAnsi="Arabic Transparent" w:cs="Arabic Transparent" w:hint="cs"/>
          <w:sz w:val="28"/>
          <w:szCs w:val="28"/>
          <w:rtl/>
          <w:lang w:bidi="ar-JO"/>
        </w:rPr>
        <w:t>ملازمة</w:t>
      </w:r>
      <w:r w:rsidR="005F2B6E">
        <w:rPr>
          <w:rFonts w:ascii="Arabic Transparent" w:hAnsi="Arabic Transparent" w:cs="Arabic Transparent" w:hint="cs"/>
          <w:sz w:val="28"/>
          <w:szCs w:val="28"/>
          <w:rtl/>
          <w:lang w:bidi="ar-JO"/>
        </w:rPr>
        <w:t xml:space="preserve"> لعرف معيّن</w:t>
      </w:r>
      <w:r w:rsidR="0054258A">
        <w:rPr>
          <w:rFonts w:ascii="Arabic Transparent" w:hAnsi="Arabic Transparent" w:cs="Arabic Transparent" w:hint="cs"/>
          <w:sz w:val="28"/>
          <w:szCs w:val="28"/>
          <w:rtl/>
          <w:lang w:bidi="ar-JO"/>
        </w:rPr>
        <w:t>،</w:t>
      </w:r>
      <w:r w:rsidR="005F2B6E">
        <w:rPr>
          <w:rFonts w:ascii="Arabic Transparent" w:hAnsi="Arabic Transparent" w:cs="Arabic Transparent" w:hint="cs"/>
          <w:sz w:val="28"/>
          <w:szCs w:val="28"/>
          <w:rtl/>
          <w:lang w:bidi="ar-JO"/>
        </w:rPr>
        <w:t xml:space="preserve"> أو </w:t>
      </w:r>
      <w:r w:rsidR="008757FB">
        <w:rPr>
          <w:rFonts w:ascii="Arabic Transparent" w:hAnsi="Arabic Transparent" w:cs="Arabic Transparent" w:hint="cs"/>
          <w:sz w:val="28"/>
          <w:szCs w:val="28"/>
          <w:rtl/>
          <w:lang w:bidi="ar-JO"/>
        </w:rPr>
        <w:t>تعلقت</w:t>
      </w:r>
      <w:r w:rsidR="005F2B6E">
        <w:rPr>
          <w:rFonts w:ascii="Arabic Transparent" w:hAnsi="Arabic Transparent" w:cs="Arabic Transparent" w:hint="cs"/>
          <w:sz w:val="28"/>
          <w:szCs w:val="28"/>
          <w:rtl/>
          <w:lang w:bidi="ar-JO"/>
        </w:rPr>
        <w:t xml:space="preserve"> بالحكم ظروف جديدة جعلت تطبيقه في ظلها </w:t>
      </w:r>
      <w:r w:rsidR="00805167">
        <w:rPr>
          <w:rFonts w:ascii="Arabic Transparent" w:hAnsi="Arabic Transparent" w:cs="Arabic Transparent" w:hint="cs"/>
          <w:sz w:val="28"/>
          <w:szCs w:val="28"/>
          <w:rtl/>
          <w:lang w:bidi="ar-JO"/>
        </w:rPr>
        <w:t>ي</w:t>
      </w:r>
      <w:r w:rsidR="005F2B6E">
        <w:rPr>
          <w:rFonts w:ascii="Arabic Transparent" w:hAnsi="Arabic Transparent" w:cs="Arabic Transparent" w:hint="cs"/>
          <w:sz w:val="28"/>
          <w:szCs w:val="28"/>
          <w:rtl/>
          <w:lang w:bidi="ar-JO"/>
        </w:rPr>
        <w:t xml:space="preserve">ؤدي إلى </w:t>
      </w:r>
      <w:r w:rsidR="008757FB">
        <w:rPr>
          <w:rFonts w:ascii="Arabic Transparent" w:hAnsi="Arabic Transparent" w:cs="Arabic Transparent" w:hint="cs"/>
          <w:sz w:val="28"/>
          <w:szCs w:val="28"/>
          <w:rtl/>
          <w:lang w:bidi="ar-JO"/>
        </w:rPr>
        <w:t>خلاف</w:t>
      </w:r>
      <w:r w:rsidR="005F2B6E">
        <w:rPr>
          <w:rFonts w:ascii="Arabic Transparent" w:hAnsi="Arabic Transparent" w:cs="Arabic Transparent" w:hint="cs"/>
          <w:sz w:val="28"/>
          <w:szCs w:val="28"/>
          <w:rtl/>
          <w:lang w:bidi="ar-JO"/>
        </w:rPr>
        <w:t xml:space="preserve"> المصلحة التي شرع</w:t>
      </w:r>
      <w:r w:rsidR="00084037">
        <w:rPr>
          <w:rFonts w:ascii="Arabic Transparent" w:hAnsi="Arabic Transparent" w:cs="Arabic Transparent" w:hint="cs"/>
          <w:sz w:val="28"/>
          <w:szCs w:val="28"/>
          <w:rtl/>
          <w:lang w:bidi="ar-JO"/>
        </w:rPr>
        <w:t>ت</w:t>
      </w:r>
      <w:r w:rsidR="005F2B6E">
        <w:rPr>
          <w:rFonts w:ascii="Arabic Transparent" w:hAnsi="Arabic Transparent" w:cs="Arabic Transparent" w:hint="cs"/>
          <w:sz w:val="28"/>
          <w:szCs w:val="28"/>
          <w:rtl/>
          <w:lang w:bidi="ar-JO"/>
        </w:rPr>
        <w:t xml:space="preserve"> من أجلها</w:t>
      </w:r>
      <w:r w:rsidR="00E8783D">
        <w:rPr>
          <w:rFonts w:ascii="Arabic Transparent" w:hAnsi="Arabic Transparent" w:cs="Arabic Transparent" w:hint="cs"/>
          <w:sz w:val="28"/>
          <w:szCs w:val="28"/>
          <w:rtl/>
          <w:lang w:bidi="ar-JO"/>
        </w:rPr>
        <w:t xml:space="preserve"> هذ</w:t>
      </w:r>
      <w:r w:rsidR="00084037">
        <w:rPr>
          <w:rFonts w:ascii="Arabic Transparent" w:hAnsi="Arabic Transparent" w:cs="Arabic Transparent" w:hint="cs"/>
          <w:sz w:val="28"/>
          <w:szCs w:val="28"/>
          <w:rtl/>
          <w:lang w:bidi="ar-JO"/>
        </w:rPr>
        <w:t>ه</w:t>
      </w:r>
      <w:r w:rsidR="00E8783D">
        <w:rPr>
          <w:rFonts w:ascii="Arabic Transparent" w:hAnsi="Arabic Transparent" w:cs="Arabic Transparent" w:hint="cs"/>
          <w:sz w:val="28"/>
          <w:szCs w:val="28"/>
          <w:rtl/>
          <w:lang w:bidi="ar-JO"/>
        </w:rPr>
        <w:t xml:space="preserve"> الأحكام</w:t>
      </w:r>
      <w:r w:rsidR="00BB20D6" w:rsidRPr="00BB20D6">
        <w:rPr>
          <w:rFonts w:ascii="Arabic Transparent" w:hAnsi="Arabic Transparent" w:cs="Simplified Arabic" w:hint="cs"/>
          <w:sz w:val="28"/>
          <w:szCs w:val="28"/>
          <w:vertAlign w:val="superscript"/>
          <w:rtl/>
          <w:lang w:bidi="ar-JO"/>
        </w:rPr>
        <w:t>(</w:t>
      </w:r>
      <w:r w:rsidR="00BB20D6" w:rsidRPr="00BB20D6">
        <w:rPr>
          <w:rStyle w:val="FootnoteReference"/>
          <w:rFonts w:ascii="Arabic Transparent" w:hAnsi="Arabic Transparent" w:cs="Simplified Arabic"/>
          <w:sz w:val="28"/>
          <w:szCs w:val="28"/>
          <w:rtl/>
          <w:lang w:bidi="ar-JO"/>
        </w:rPr>
        <w:footnoteReference w:id="153"/>
      </w:r>
      <w:r w:rsidR="00BB20D6" w:rsidRPr="00BB20D6">
        <w:rPr>
          <w:rFonts w:ascii="Arabic Transparent" w:hAnsi="Arabic Transparent" w:cs="Simplified Arabic" w:hint="cs"/>
          <w:sz w:val="28"/>
          <w:szCs w:val="28"/>
          <w:vertAlign w:val="superscript"/>
          <w:rtl/>
          <w:lang w:bidi="ar-JO"/>
        </w:rPr>
        <w:t>)</w:t>
      </w:r>
      <w:r w:rsidR="00084037">
        <w:rPr>
          <w:rFonts w:ascii="Arabic Transparent" w:hAnsi="Arabic Transparent" w:cs="Arabic Transparent" w:hint="cs"/>
          <w:sz w:val="28"/>
          <w:szCs w:val="28"/>
          <w:rtl/>
          <w:lang w:bidi="ar-JO"/>
        </w:rPr>
        <w:t>،</w:t>
      </w:r>
      <w:r w:rsidR="00E8783D">
        <w:rPr>
          <w:rFonts w:ascii="Arabic Transparent" w:hAnsi="Arabic Transparent" w:cs="Arabic Transparent" w:hint="cs"/>
          <w:sz w:val="28"/>
          <w:szCs w:val="28"/>
          <w:rtl/>
          <w:lang w:bidi="ar-JO"/>
        </w:rPr>
        <w:t xml:space="preserve"> </w:t>
      </w:r>
      <w:r w:rsidR="00BB20D6">
        <w:rPr>
          <w:rFonts w:ascii="Arabic Transparent" w:hAnsi="Arabic Transparent" w:cs="Arabic Transparent" w:hint="cs"/>
          <w:sz w:val="28"/>
          <w:szCs w:val="28"/>
          <w:rtl/>
          <w:lang w:bidi="ar-JO"/>
        </w:rPr>
        <w:t xml:space="preserve">حيث </w:t>
      </w:r>
      <w:r w:rsidR="00E8783D">
        <w:rPr>
          <w:rFonts w:ascii="Arabic Transparent" w:hAnsi="Arabic Transparent" w:cs="Arabic Transparent" w:hint="cs"/>
          <w:sz w:val="28"/>
          <w:szCs w:val="28"/>
          <w:rtl/>
          <w:lang w:bidi="ar-JO"/>
        </w:rPr>
        <w:t>يرى الريسوني</w:t>
      </w:r>
      <w:r w:rsidR="00084037">
        <w:rPr>
          <w:rFonts w:ascii="Arabic Transparent" w:hAnsi="Arabic Transparent" w:cs="Arabic Transparent" w:hint="cs"/>
          <w:sz w:val="28"/>
          <w:szCs w:val="28"/>
          <w:rtl/>
          <w:lang w:bidi="ar-JO"/>
        </w:rPr>
        <w:t>،</w:t>
      </w:r>
      <w:r w:rsidR="00E8783D">
        <w:rPr>
          <w:rFonts w:ascii="Arabic Transparent" w:hAnsi="Arabic Transparent" w:cs="Arabic Transparent" w:hint="cs"/>
          <w:sz w:val="28"/>
          <w:szCs w:val="28"/>
          <w:rtl/>
          <w:lang w:bidi="ar-JO"/>
        </w:rPr>
        <w:t xml:space="preserve"> </w:t>
      </w:r>
      <w:r w:rsidR="008757FB">
        <w:rPr>
          <w:rFonts w:ascii="Arabic Transparent" w:hAnsi="Arabic Transparent" w:cs="Arabic Transparent" w:hint="cs"/>
          <w:sz w:val="28"/>
          <w:szCs w:val="28"/>
          <w:rtl/>
          <w:lang w:bidi="ar-JO"/>
        </w:rPr>
        <w:t>"</w:t>
      </w:r>
      <w:r w:rsidR="00E8783D">
        <w:rPr>
          <w:rFonts w:ascii="Arabic Transparent" w:hAnsi="Arabic Transparent" w:cs="Arabic Transparent" w:hint="cs"/>
          <w:sz w:val="28"/>
          <w:szCs w:val="28"/>
          <w:rtl/>
          <w:lang w:bidi="ar-JO"/>
        </w:rPr>
        <w:t>أن</w:t>
      </w:r>
      <w:r w:rsidR="00BB20D6">
        <w:rPr>
          <w:rFonts w:ascii="Arabic Transparent" w:hAnsi="Arabic Transparent" w:cs="Arabic Transparent" w:hint="cs"/>
          <w:sz w:val="28"/>
          <w:szCs w:val="28"/>
          <w:rtl/>
          <w:lang w:bidi="ar-JO"/>
        </w:rPr>
        <w:t xml:space="preserve"> مجال</w:t>
      </w:r>
      <w:r w:rsidR="00E8783D">
        <w:rPr>
          <w:rFonts w:ascii="Arabic Transparent" w:hAnsi="Arabic Transparent" w:cs="Arabic Transparent" w:hint="cs"/>
          <w:sz w:val="28"/>
          <w:szCs w:val="28"/>
          <w:rtl/>
          <w:lang w:bidi="ar-JO"/>
        </w:rPr>
        <w:t xml:space="preserve"> تحقيق المناط </w:t>
      </w:r>
      <w:r w:rsidR="00BB20D6">
        <w:rPr>
          <w:rFonts w:ascii="Arabic Transparent" w:hAnsi="Arabic Transparent" w:cs="Arabic Transparent" w:hint="cs"/>
          <w:sz w:val="28"/>
          <w:szCs w:val="28"/>
          <w:rtl/>
          <w:lang w:bidi="ar-JO"/>
        </w:rPr>
        <w:t xml:space="preserve">الخاص في الأحكام المتغيرة من خلال </w:t>
      </w:r>
      <w:r w:rsidR="00E8783D">
        <w:rPr>
          <w:rFonts w:ascii="Arabic Transparent" w:hAnsi="Arabic Transparent" w:cs="Arabic Transparent" w:hint="cs"/>
          <w:sz w:val="28"/>
          <w:szCs w:val="28"/>
          <w:rtl/>
          <w:lang w:bidi="ar-JO"/>
        </w:rPr>
        <w:t>نتيجة له</w:t>
      </w:r>
      <w:r w:rsidR="00BB20D6">
        <w:rPr>
          <w:rFonts w:ascii="Arabic Transparent" w:hAnsi="Arabic Transparent" w:cs="Arabic Transparent" w:hint="cs"/>
          <w:sz w:val="28"/>
          <w:szCs w:val="28"/>
          <w:rtl/>
          <w:lang w:bidi="ar-JO"/>
        </w:rPr>
        <w:t>ا</w:t>
      </w:r>
      <w:r w:rsidR="00E8783D">
        <w:rPr>
          <w:rFonts w:ascii="Arabic Transparent" w:hAnsi="Arabic Transparent" w:cs="Arabic Transparent" w:hint="cs"/>
          <w:sz w:val="28"/>
          <w:szCs w:val="28"/>
          <w:rtl/>
          <w:lang w:bidi="ar-JO"/>
        </w:rPr>
        <w:t xml:space="preserve"> مقدمتين</w:t>
      </w:r>
      <w:r w:rsidR="00084037">
        <w:rPr>
          <w:rFonts w:ascii="Arabic Transparent" w:hAnsi="Arabic Transparent" w:cs="Arabic Transparent" w:hint="cs"/>
          <w:sz w:val="28"/>
          <w:szCs w:val="28"/>
          <w:rtl/>
          <w:lang w:bidi="ar-JO"/>
        </w:rPr>
        <w:t>:</w:t>
      </w:r>
      <w:r w:rsidR="00E8783D">
        <w:rPr>
          <w:rFonts w:ascii="Arabic Transparent" w:hAnsi="Arabic Transparent" w:cs="Arabic Transparent" w:hint="cs"/>
          <w:sz w:val="28"/>
          <w:szCs w:val="28"/>
          <w:rtl/>
          <w:lang w:bidi="ar-JO"/>
        </w:rPr>
        <w:t xml:space="preserve"> الأولى</w:t>
      </w:r>
      <w:r w:rsidR="00084037">
        <w:rPr>
          <w:rFonts w:ascii="Arabic Transparent" w:hAnsi="Arabic Transparent" w:cs="Arabic Transparent" w:hint="cs"/>
          <w:sz w:val="28"/>
          <w:szCs w:val="28"/>
          <w:rtl/>
          <w:lang w:bidi="ar-JO"/>
        </w:rPr>
        <w:t>:</w:t>
      </w:r>
      <w:r w:rsidR="00E8783D">
        <w:rPr>
          <w:rFonts w:ascii="Arabic Transparent" w:hAnsi="Arabic Transparent" w:cs="Arabic Transparent" w:hint="cs"/>
          <w:sz w:val="28"/>
          <w:szCs w:val="28"/>
          <w:rtl/>
          <w:lang w:bidi="ar-JO"/>
        </w:rPr>
        <w:t xml:space="preserve"> تتعلق بالمجتهد</w:t>
      </w:r>
      <w:r w:rsidR="00084037">
        <w:rPr>
          <w:rFonts w:ascii="Arabic Transparent" w:hAnsi="Arabic Transparent" w:cs="Arabic Transparent" w:hint="cs"/>
          <w:sz w:val="28"/>
          <w:szCs w:val="28"/>
          <w:rtl/>
          <w:lang w:bidi="ar-JO"/>
        </w:rPr>
        <w:t>،</w:t>
      </w:r>
      <w:r w:rsidR="00E8783D">
        <w:rPr>
          <w:rFonts w:ascii="Arabic Transparent" w:hAnsi="Arabic Transparent" w:cs="Arabic Transparent" w:hint="cs"/>
          <w:sz w:val="28"/>
          <w:szCs w:val="28"/>
          <w:rtl/>
          <w:lang w:bidi="ar-JO"/>
        </w:rPr>
        <w:t xml:space="preserve"> حيث يحدد </w:t>
      </w:r>
      <w:r w:rsidR="000150AF">
        <w:rPr>
          <w:rFonts w:ascii="Arabic Transparent" w:hAnsi="Arabic Transparent" w:cs="Arabic Transparent" w:hint="cs"/>
          <w:sz w:val="28"/>
          <w:szCs w:val="28"/>
          <w:rtl/>
          <w:lang w:bidi="ar-JO"/>
        </w:rPr>
        <w:t>الحكم الشرعي للمسألة</w:t>
      </w:r>
      <w:r w:rsidR="00084037">
        <w:rPr>
          <w:rFonts w:ascii="Arabic Transparent" w:hAnsi="Arabic Transparent" w:cs="Arabic Transparent" w:hint="cs"/>
          <w:sz w:val="28"/>
          <w:szCs w:val="28"/>
          <w:rtl/>
          <w:lang w:bidi="ar-JO"/>
        </w:rPr>
        <w:t>،</w:t>
      </w:r>
      <w:r w:rsidR="00E8783D">
        <w:rPr>
          <w:rFonts w:ascii="Arabic Transparent" w:hAnsi="Arabic Transparent" w:cs="Arabic Transparent" w:hint="cs"/>
          <w:sz w:val="28"/>
          <w:szCs w:val="28"/>
          <w:rtl/>
          <w:lang w:bidi="ar-JO"/>
        </w:rPr>
        <w:t xml:space="preserve"> والثانية</w:t>
      </w:r>
      <w:r w:rsidR="00084037">
        <w:rPr>
          <w:rFonts w:ascii="Arabic Transparent" w:hAnsi="Arabic Transparent" w:cs="Arabic Transparent" w:hint="cs"/>
          <w:sz w:val="28"/>
          <w:szCs w:val="28"/>
          <w:rtl/>
          <w:lang w:bidi="ar-JO"/>
        </w:rPr>
        <w:t>:</w:t>
      </w:r>
      <w:r w:rsidR="00E8783D">
        <w:rPr>
          <w:rFonts w:ascii="Arabic Transparent" w:hAnsi="Arabic Transparent" w:cs="Arabic Transparent" w:hint="cs"/>
          <w:sz w:val="28"/>
          <w:szCs w:val="28"/>
          <w:rtl/>
          <w:lang w:bidi="ar-JO"/>
        </w:rPr>
        <w:t xml:space="preserve"> تتعلق به أو بغيره</w:t>
      </w:r>
      <w:r w:rsidR="00084037">
        <w:rPr>
          <w:rFonts w:ascii="Arabic Transparent" w:hAnsi="Arabic Transparent" w:cs="Arabic Transparent" w:hint="cs"/>
          <w:sz w:val="28"/>
          <w:szCs w:val="28"/>
          <w:rtl/>
          <w:lang w:bidi="ar-JO"/>
        </w:rPr>
        <w:t>،</w:t>
      </w:r>
      <w:r w:rsidR="00E8783D">
        <w:rPr>
          <w:rFonts w:ascii="Arabic Transparent" w:hAnsi="Arabic Transparent" w:cs="Arabic Transparent" w:hint="cs"/>
          <w:sz w:val="28"/>
          <w:szCs w:val="28"/>
          <w:rtl/>
          <w:lang w:bidi="ar-JO"/>
        </w:rPr>
        <w:t xml:space="preserve"> وهي تنزيل الحكم على الواقعة</w:t>
      </w:r>
      <w:r w:rsidR="008757FB">
        <w:rPr>
          <w:rFonts w:ascii="Arabic Transparent" w:hAnsi="Arabic Transparent" w:cs="Arabic Transparent" w:hint="cs"/>
          <w:sz w:val="28"/>
          <w:szCs w:val="28"/>
          <w:rtl/>
          <w:lang w:bidi="ar-JO"/>
        </w:rPr>
        <w:t>"</w:t>
      </w:r>
      <w:r w:rsidR="00BB20D6" w:rsidRPr="00BB20D6">
        <w:rPr>
          <w:rFonts w:ascii="Arabic Transparent" w:hAnsi="Arabic Transparent" w:cs="Simplified Arabic" w:hint="cs"/>
          <w:sz w:val="28"/>
          <w:szCs w:val="28"/>
          <w:vertAlign w:val="superscript"/>
          <w:rtl/>
          <w:lang w:bidi="ar-JO"/>
        </w:rPr>
        <w:t>(</w:t>
      </w:r>
      <w:r w:rsidR="00BB20D6" w:rsidRPr="00BB20D6">
        <w:rPr>
          <w:rStyle w:val="FootnoteReference"/>
          <w:rFonts w:ascii="Arabic Transparent" w:hAnsi="Arabic Transparent" w:cs="Simplified Arabic"/>
          <w:sz w:val="28"/>
          <w:szCs w:val="28"/>
          <w:rtl/>
          <w:lang w:bidi="ar-JO"/>
        </w:rPr>
        <w:footnoteReference w:id="154"/>
      </w:r>
      <w:r w:rsidR="00BB20D6" w:rsidRPr="00BB20D6">
        <w:rPr>
          <w:rFonts w:ascii="Arabic Transparent" w:hAnsi="Arabic Transparent" w:cs="Simplified Arabic" w:hint="cs"/>
          <w:sz w:val="28"/>
          <w:szCs w:val="28"/>
          <w:vertAlign w:val="superscript"/>
          <w:rtl/>
          <w:lang w:bidi="ar-JO"/>
        </w:rPr>
        <w:t>)</w:t>
      </w:r>
      <w:r w:rsidR="00BB20D6">
        <w:rPr>
          <w:rFonts w:ascii="Arabic Transparent" w:hAnsi="Arabic Transparent" w:cs="Arabic Transparent" w:hint="cs"/>
          <w:sz w:val="28"/>
          <w:szCs w:val="28"/>
          <w:rtl/>
          <w:lang w:bidi="ar-JO"/>
        </w:rPr>
        <w:t xml:space="preserve"> وهو يفسر قول الشاطبي حيث قال:"</w:t>
      </w:r>
      <w:r w:rsidR="00A13B75" w:rsidRPr="00A13B75">
        <w:rPr>
          <w:rFonts w:ascii="Arabic Transparent" w:hAnsi="Arabic Transparent" w:cs="Arabic Transparent"/>
          <w:sz w:val="28"/>
          <w:szCs w:val="28"/>
          <w:rtl/>
          <w:lang w:bidi="ar-JO"/>
        </w:rPr>
        <w:t>‌كل ‌دليل ‌شرعي؛ ‌فمبني ‌على ‌مقدمتين:‌إحداهما: ‌راجعة إلى تحقيق مناط الحكم</w:t>
      </w:r>
      <w:r w:rsidR="00A13B75" w:rsidRPr="00A13B75">
        <w:rPr>
          <w:rFonts w:ascii="Arabic Transparent" w:hAnsi="Arabic Transparent" w:cs="Arabic Transparent" w:hint="cs"/>
          <w:sz w:val="28"/>
          <w:szCs w:val="28"/>
          <w:rtl/>
          <w:lang w:bidi="ar-JO"/>
        </w:rPr>
        <w:t xml:space="preserve"> </w:t>
      </w:r>
      <w:r w:rsidR="00A13B75" w:rsidRPr="00A13B75">
        <w:rPr>
          <w:rFonts w:ascii="Arabic Transparent" w:hAnsi="Arabic Transparent" w:cs="Arabic Transparent"/>
          <w:sz w:val="28"/>
          <w:szCs w:val="28"/>
          <w:rtl/>
          <w:lang w:bidi="ar-JO"/>
        </w:rPr>
        <w:t>والأخرى: ترجع إلى نفس الحكم الشرعي</w:t>
      </w:r>
      <w:r w:rsidR="00BB20D6" w:rsidRPr="00052C8B">
        <w:rPr>
          <w:rFonts w:ascii="Arabic Transparent" w:hAnsi="Arabic Transparent" w:cs="Arabic Transparent" w:hint="cs"/>
          <w:sz w:val="28"/>
          <w:szCs w:val="28"/>
          <w:rtl/>
          <w:lang w:bidi="ar-JO"/>
        </w:rPr>
        <w:t>"</w:t>
      </w:r>
      <w:r w:rsidR="00BB20D6" w:rsidRPr="00052C8B">
        <w:rPr>
          <w:rFonts w:ascii="Arabic Transparent" w:hAnsi="Arabic Transparent" w:cs="Arabic Transparent" w:hint="cs"/>
          <w:sz w:val="28"/>
          <w:szCs w:val="28"/>
          <w:vertAlign w:val="superscript"/>
          <w:rtl/>
          <w:lang w:bidi="ar-JO"/>
        </w:rPr>
        <w:t>(</w:t>
      </w:r>
      <w:r w:rsidR="00BB20D6" w:rsidRPr="00052C8B">
        <w:rPr>
          <w:rStyle w:val="FootnoteReference"/>
          <w:rFonts w:ascii="Arabic Transparent" w:hAnsi="Arabic Transparent" w:cs="Arabic Transparent" w:hint="cs"/>
          <w:sz w:val="28"/>
          <w:szCs w:val="28"/>
          <w:rtl/>
          <w:lang w:bidi="ar-JO"/>
        </w:rPr>
        <w:footnoteReference w:id="155"/>
      </w:r>
      <w:r w:rsidR="00BB20D6" w:rsidRPr="00052C8B">
        <w:rPr>
          <w:rFonts w:ascii="Arabic Transparent" w:hAnsi="Arabic Transparent" w:cs="Arabic Transparent" w:hint="cs"/>
          <w:sz w:val="28"/>
          <w:szCs w:val="28"/>
          <w:vertAlign w:val="superscript"/>
          <w:rtl/>
          <w:lang w:bidi="ar-JO"/>
        </w:rPr>
        <w:t>)</w:t>
      </w:r>
      <w:r w:rsidR="00BB20D6" w:rsidRPr="00052C8B">
        <w:rPr>
          <w:rFonts w:ascii="Arabic Transparent" w:hAnsi="Arabic Transparent" w:cs="Arabic Transparent" w:hint="cs"/>
          <w:sz w:val="28"/>
          <w:szCs w:val="28"/>
          <w:rtl/>
          <w:lang w:bidi="ar-JO"/>
        </w:rPr>
        <w:t>.</w:t>
      </w:r>
      <w:r w:rsidR="000150AF" w:rsidRPr="00052C8B">
        <w:rPr>
          <w:rFonts w:ascii="Arabic Transparent" w:hAnsi="Arabic Transparent" w:cs="Arabic Transparent" w:hint="cs"/>
          <w:sz w:val="28"/>
          <w:szCs w:val="28"/>
          <w:rtl/>
          <w:lang w:bidi="ar-JO"/>
        </w:rPr>
        <w:t xml:space="preserve"> فالحكم الشرعي يحدده المجتهد في جميع النوازل والمسائل الفقهية</w:t>
      </w:r>
      <w:r w:rsidR="00084037">
        <w:rPr>
          <w:rFonts w:ascii="Arabic Transparent" w:hAnsi="Arabic Transparent" w:cs="Arabic Transparent" w:hint="cs"/>
          <w:sz w:val="28"/>
          <w:szCs w:val="28"/>
          <w:rtl/>
          <w:lang w:bidi="ar-JO"/>
        </w:rPr>
        <w:t>،</w:t>
      </w:r>
      <w:r w:rsidR="000150AF" w:rsidRPr="00052C8B">
        <w:rPr>
          <w:rFonts w:ascii="Arabic Transparent" w:hAnsi="Arabic Transparent" w:cs="Arabic Transparent" w:hint="cs"/>
          <w:sz w:val="28"/>
          <w:szCs w:val="28"/>
          <w:rtl/>
          <w:lang w:bidi="ar-JO"/>
        </w:rPr>
        <w:t xml:space="preserve"> وأما تحقيق المناط الخاص فيمكن أن يقوم به ولي الأمر في أحكام السياسة الشرعية</w:t>
      </w:r>
      <w:r w:rsidR="00084037">
        <w:rPr>
          <w:rFonts w:ascii="Arabic Transparent" w:hAnsi="Arabic Transparent" w:cs="Arabic Transparent" w:hint="cs"/>
          <w:sz w:val="28"/>
          <w:szCs w:val="28"/>
          <w:rtl/>
          <w:lang w:bidi="ar-JO"/>
        </w:rPr>
        <w:t>،</w:t>
      </w:r>
      <w:r w:rsidR="000150AF" w:rsidRPr="00052C8B">
        <w:rPr>
          <w:rFonts w:ascii="Arabic Transparent" w:hAnsi="Arabic Transparent" w:cs="Arabic Transparent" w:hint="cs"/>
          <w:sz w:val="28"/>
          <w:szCs w:val="28"/>
          <w:rtl/>
          <w:lang w:bidi="ar-JO"/>
        </w:rPr>
        <w:t xml:space="preserve"> أو القاضي عند تطبيق الحكم</w:t>
      </w:r>
      <w:r w:rsidR="00084037">
        <w:rPr>
          <w:rFonts w:ascii="Arabic Transparent" w:hAnsi="Arabic Transparent" w:cs="Arabic Transparent" w:hint="cs"/>
          <w:sz w:val="28"/>
          <w:szCs w:val="28"/>
          <w:rtl/>
          <w:lang w:bidi="ar-JO"/>
        </w:rPr>
        <w:t>،</w:t>
      </w:r>
      <w:r w:rsidR="000150AF" w:rsidRPr="00052C8B">
        <w:rPr>
          <w:rFonts w:ascii="Arabic Transparent" w:hAnsi="Arabic Transparent" w:cs="Arabic Transparent" w:hint="cs"/>
          <w:sz w:val="28"/>
          <w:szCs w:val="28"/>
          <w:rtl/>
          <w:lang w:bidi="ar-JO"/>
        </w:rPr>
        <w:t xml:space="preserve"> أو الاقتصادي بعد إجراء الدراسات الإحصائية</w:t>
      </w:r>
      <w:r w:rsidR="00084037">
        <w:rPr>
          <w:rFonts w:ascii="Arabic Transparent" w:hAnsi="Arabic Transparent" w:cs="Arabic Transparent" w:hint="cs"/>
          <w:sz w:val="28"/>
          <w:szCs w:val="28"/>
          <w:rtl/>
          <w:lang w:bidi="ar-JO"/>
        </w:rPr>
        <w:t>،</w:t>
      </w:r>
      <w:r w:rsidR="000150AF" w:rsidRPr="00052C8B">
        <w:rPr>
          <w:rFonts w:ascii="Arabic Transparent" w:hAnsi="Arabic Transparent" w:cs="Arabic Transparent" w:hint="cs"/>
          <w:sz w:val="28"/>
          <w:szCs w:val="28"/>
          <w:rtl/>
          <w:lang w:bidi="ar-JO"/>
        </w:rPr>
        <w:t xml:space="preserve"> أو المفتي بعد النظر في وقائع الطلاق المختلفة، أو المحامي بعد النظر في القضية فيقدم الدفوع المناسبة</w:t>
      </w:r>
      <w:r w:rsidR="0029602C" w:rsidRPr="00052C8B">
        <w:rPr>
          <w:rFonts w:ascii="Arabic Transparent" w:hAnsi="Arabic Transparent" w:cs="Arabic Transparent" w:hint="cs"/>
          <w:sz w:val="28"/>
          <w:szCs w:val="28"/>
          <w:vertAlign w:val="superscript"/>
          <w:rtl/>
          <w:lang w:bidi="ar-JO"/>
        </w:rPr>
        <w:t>(</w:t>
      </w:r>
      <w:r w:rsidR="0029602C" w:rsidRPr="00052C8B">
        <w:rPr>
          <w:rStyle w:val="FootnoteReference"/>
          <w:rFonts w:ascii="Arabic Transparent" w:hAnsi="Arabic Transparent" w:cs="Arabic Transparent" w:hint="cs"/>
          <w:sz w:val="28"/>
          <w:szCs w:val="28"/>
          <w:rtl/>
          <w:lang w:bidi="ar-JO"/>
        </w:rPr>
        <w:footnoteReference w:id="156"/>
      </w:r>
      <w:r w:rsidR="0029602C" w:rsidRPr="00052C8B">
        <w:rPr>
          <w:rFonts w:ascii="Arabic Transparent" w:hAnsi="Arabic Transparent" w:cs="Arabic Transparent" w:hint="cs"/>
          <w:sz w:val="28"/>
          <w:szCs w:val="28"/>
          <w:vertAlign w:val="superscript"/>
          <w:rtl/>
          <w:lang w:bidi="ar-JO"/>
        </w:rPr>
        <w:t>)</w:t>
      </w:r>
      <w:r w:rsidR="0029602C" w:rsidRPr="00052C8B">
        <w:rPr>
          <w:rFonts w:ascii="Arabic Transparent" w:hAnsi="Arabic Transparent" w:cs="Arabic Transparent" w:hint="cs"/>
          <w:sz w:val="28"/>
          <w:szCs w:val="28"/>
          <w:rtl/>
          <w:lang w:bidi="ar-JO"/>
        </w:rPr>
        <w:t>.</w:t>
      </w:r>
    </w:p>
    <w:p w14:paraId="36DCF5D6" w14:textId="77777777" w:rsidR="008757FB" w:rsidRDefault="008757FB">
      <w:pPr>
        <w:bidi w:val="0"/>
        <w:spacing w:after="0" w:line="240" w:lineRule="auto"/>
        <w:rPr>
          <w:rFonts w:ascii="Arabic Transparent" w:hAnsi="Arabic Transparent" w:cs="Arabic Transparent"/>
          <w:sz w:val="28"/>
          <w:szCs w:val="28"/>
          <w:rtl/>
          <w:lang w:bidi="ar-JO"/>
        </w:rPr>
      </w:pPr>
      <w:r>
        <w:rPr>
          <w:rFonts w:ascii="Arabic Transparent" w:hAnsi="Arabic Transparent" w:cs="Arabic Transparent"/>
          <w:sz w:val="28"/>
          <w:szCs w:val="28"/>
          <w:rtl/>
          <w:lang w:bidi="ar-JO"/>
        </w:rPr>
        <w:br w:type="page"/>
      </w:r>
    </w:p>
    <w:p w14:paraId="75D1F273" w14:textId="36925852" w:rsidR="00E312F1" w:rsidRDefault="0029602C" w:rsidP="006A1105">
      <w:pPr>
        <w:spacing w:after="0" w:line="360" w:lineRule="auto"/>
        <w:ind w:firstLine="332"/>
        <w:jc w:val="both"/>
        <w:rPr>
          <w:rFonts w:ascii="Arabic Transparent" w:hAnsi="Arabic Transparent" w:cs="Arabic Transparent"/>
          <w:sz w:val="28"/>
          <w:szCs w:val="28"/>
          <w:rtl/>
          <w:lang w:bidi="ar-JO"/>
        </w:rPr>
      </w:pPr>
      <w:r w:rsidRPr="00052C8B">
        <w:rPr>
          <w:rFonts w:ascii="Arabic Transparent" w:hAnsi="Arabic Transparent" w:cs="Arabic Transparent" w:hint="cs"/>
          <w:sz w:val="28"/>
          <w:szCs w:val="28"/>
          <w:rtl/>
          <w:lang w:bidi="ar-JO"/>
        </w:rPr>
        <w:t xml:space="preserve">إن الإفتاء في بعض </w:t>
      </w:r>
      <w:r w:rsidR="00C0128E">
        <w:rPr>
          <w:rFonts w:ascii="Arabic Transparent" w:hAnsi="Arabic Transparent" w:cs="Arabic Transparent" w:hint="cs"/>
          <w:sz w:val="28"/>
          <w:szCs w:val="28"/>
          <w:rtl/>
          <w:lang w:bidi="ar-JO"/>
        </w:rPr>
        <w:t>المستجدات</w:t>
      </w:r>
      <w:r w:rsidRPr="00052C8B">
        <w:rPr>
          <w:rFonts w:ascii="Arabic Transparent" w:hAnsi="Arabic Transparent" w:cs="Arabic Transparent" w:hint="cs"/>
          <w:sz w:val="28"/>
          <w:szCs w:val="28"/>
          <w:rtl/>
          <w:lang w:bidi="ar-JO"/>
        </w:rPr>
        <w:t xml:space="preserve"> يفتقر إلى </w:t>
      </w:r>
      <w:r w:rsidR="00C0128E">
        <w:rPr>
          <w:rFonts w:ascii="Arabic Transparent" w:hAnsi="Arabic Transparent" w:cs="Arabic Transparent" w:hint="cs"/>
          <w:sz w:val="28"/>
          <w:szCs w:val="28"/>
          <w:rtl/>
          <w:lang w:bidi="ar-JO"/>
        </w:rPr>
        <w:t>الاجتهاد التنزيلي</w:t>
      </w:r>
      <w:r w:rsidRPr="00052C8B">
        <w:rPr>
          <w:rFonts w:ascii="Arabic Transparent" w:hAnsi="Arabic Transparent" w:cs="Arabic Transparent" w:hint="cs"/>
          <w:sz w:val="28"/>
          <w:szCs w:val="28"/>
          <w:rtl/>
          <w:lang w:bidi="ar-JO"/>
        </w:rPr>
        <w:t xml:space="preserve">، وهذا الضرب من </w:t>
      </w:r>
      <w:r w:rsidR="00C0128E">
        <w:rPr>
          <w:rFonts w:ascii="Arabic Transparent" w:hAnsi="Arabic Transparent" w:cs="Arabic Transparent" w:hint="cs"/>
          <w:sz w:val="28"/>
          <w:szCs w:val="28"/>
          <w:rtl/>
          <w:lang w:bidi="ar-JO"/>
        </w:rPr>
        <w:t>الاجتهاد</w:t>
      </w:r>
      <w:r w:rsidRPr="00052C8B">
        <w:rPr>
          <w:rFonts w:ascii="Arabic Transparent" w:hAnsi="Arabic Transparent" w:cs="Arabic Transparent" w:hint="cs"/>
          <w:sz w:val="28"/>
          <w:szCs w:val="28"/>
          <w:rtl/>
          <w:lang w:bidi="ar-JO"/>
        </w:rPr>
        <w:t xml:space="preserve"> لا </w:t>
      </w:r>
      <w:r w:rsidR="00C0128E">
        <w:rPr>
          <w:rFonts w:ascii="Arabic Transparent" w:hAnsi="Arabic Transparent" w:cs="Arabic Transparent" w:hint="cs"/>
          <w:sz w:val="28"/>
          <w:szCs w:val="28"/>
          <w:rtl/>
          <w:lang w:bidi="ar-JO"/>
        </w:rPr>
        <w:t>ينعدل</w:t>
      </w:r>
      <w:r w:rsidRPr="00052C8B">
        <w:rPr>
          <w:rFonts w:ascii="Arabic Transparent" w:hAnsi="Arabic Transparent" w:cs="Arabic Transparent" w:hint="cs"/>
          <w:sz w:val="28"/>
          <w:szCs w:val="28"/>
          <w:rtl/>
          <w:lang w:bidi="ar-JO"/>
        </w:rPr>
        <w:t xml:space="preserve"> إلا باجتهاد </w:t>
      </w:r>
      <w:r w:rsidR="00C0128E">
        <w:rPr>
          <w:rFonts w:ascii="Arabic Transparent" w:hAnsi="Arabic Transparent" w:cs="Arabic Transparent" w:hint="cs"/>
          <w:sz w:val="28"/>
          <w:szCs w:val="28"/>
          <w:rtl/>
          <w:lang w:bidi="ar-JO"/>
        </w:rPr>
        <w:t>الهيئات الشرعية الجماعية التي</w:t>
      </w:r>
      <w:r w:rsidRPr="00052C8B">
        <w:rPr>
          <w:rFonts w:ascii="Arabic Transparent" w:hAnsi="Arabic Transparent" w:cs="Arabic Transparent" w:hint="cs"/>
          <w:sz w:val="28"/>
          <w:szCs w:val="28"/>
          <w:rtl/>
          <w:lang w:bidi="ar-JO"/>
        </w:rPr>
        <w:t xml:space="preserve"> </w:t>
      </w:r>
      <w:r w:rsidR="00C0128E">
        <w:rPr>
          <w:rFonts w:ascii="Arabic Transparent" w:hAnsi="Arabic Transparent" w:cs="Arabic Transparent" w:hint="cs"/>
          <w:sz w:val="28"/>
          <w:szCs w:val="28"/>
          <w:rtl/>
          <w:lang w:bidi="ar-JO"/>
        </w:rPr>
        <w:t>ت</w:t>
      </w:r>
      <w:r w:rsidRPr="00052C8B">
        <w:rPr>
          <w:rFonts w:ascii="Arabic Transparent" w:hAnsi="Arabic Transparent" w:cs="Arabic Transparent" w:hint="cs"/>
          <w:sz w:val="28"/>
          <w:szCs w:val="28"/>
          <w:rtl/>
          <w:lang w:bidi="ar-JO"/>
        </w:rPr>
        <w:t>قلّب النظر في وجوه المسأ</w:t>
      </w:r>
      <w:r w:rsidR="00C0128E">
        <w:rPr>
          <w:rFonts w:ascii="Arabic Transparent" w:hAnsi="Arabic Transparent" w:cs="Arabic Transparent" w:hint="cs"/>
          <w:sz w:val="28"/>
          <w:szCs w:val="28"/>
          <w:rtl/>
          <w:lang w:bidi="ar-JO"/>
        </w:rPr>
        <w:t>ئل</w:t>
      </w:r>
      <w:r w:rsidRPr="00052C8B">
        <w:rPr>
          <w:rFonts w:ascii="Arabic Transparent" w:hAnsi="Arabic Transparent" w:cs="Arabic Transparent" w:hint="cs"/>
          <w:sz w:val="28"/>
          <w:szCs w:val="28"/>
          <w:rtl/>
          <w:lang w:bidi="ar-JO"/>
        </w:rPr>
        <w:t xml:space="preserve">، لا سيما إذا كانت من مستجدات </w:t>
      </w:r>
      <w:r w:rsidR="00C0128E">
        <w:rPr>
          <w:rFonts w:ascii="Arabic Transparent" w:hAnsi="Arabic Transparent" w:cs="Arabic Transparent" w:hint="cs"/>
          <w:sz w:val="28"/>
          <w:szCs w:val="28"/>
          <w:rtl/>
          <w:lang w:bidi="ar-JO"/>
        </w:rPr>
        <w:t>المال</w:t>
      </w:r>
      <w:r w:rsidR="00084037">
        <w:rPr>
          <w:rFonts w:ascii="Arabic Transparent" w:hAnsi="Arabic Transparent" w:cs="Arabic Transparent" w:hint="cs"/>
          <w:sz w:val="28"/>
          <w:szCs w:val="28"/>
          <w:rtl/>
          <w:lang w:bidi="ar-JO"/>
        </w:rPr>
        <w:t>،</w:t>
      </w:r>
      <w:r w:rsidRPr="00052C8B">
        <w:rPr>
          <w:rFonts w:ascii="Arabic Transparent" w:hAnsi="Arabic Transparent" w:cs="Arabic Transparent" w:hint="cs"/>
          <w:sz w:val="28"/>
          <w:szCs w:val="28"/>
          <w:rtl/>
          <w:lang w:bidi="ar-JO"/>
        </w:rPr>
        <w:t xml:space="preserve"> أو </w:t>
      </w:r>
      <w:r w:rsidR="00C0128E">
        <w:rPr>
          <w:rFonts w:ascii="Arabic Transparent" w:hAnsi="Arabic Transparent" w:cs="Arabic Transparent" w:hint="cs"/>
          <w:sz w:val="28"/>
          <w:szCs w:val="28"/>
          <w:rtl/>
          <w:lang w:bidi="ar-JO"/>
        </w:rPr>
        <w:t>الأعمال</w:t>
      </w:r>
      <w:r w:rsidR="00084037">
        <w:rPr>
          <w:rFonts w:ascii="Arabic Transparent" w:hAnsi="Arabic Transparent" w:cs="Arabic Transparent" w:hint="cs"/>
          <w:sz w:val="28"/>
          <w:szCs w:val="28"/>
          <w:rtl/>
          <w:lang w:bidi="ar-JO"/>
        </w:rPr>
        <w:t>،</w:t>
      </w:r>
      <w:r w:rsidRPr="00052C8B">
        <w:rPr>
          <w:rFonts w:ascii="Arabic Transparent" w:hAnsi="Arabic Transparent" w:cs="Arabic Transparent" w:hint="cs"/>
          <w:sz w:val="28"/>
          <w:szCs w:val="28"/>
          <w:rtl/>
          <w:lang w:bidi="ar-JO"/>
        </w:rPr>
        <w:t xml:space="preserve"> أو </w:t>
      </w:r>
      <w:r w:rsidR="00C0128E">
        <w:rPr>
          <w:rFonts w:ascii="Arabic Transparent" w:hAnsi="Arabic Transparent" w:cs="Arabic Transparent" w:hint="cs"/>
          <w:sz w:val="28"/>
          <w:szCs w:val="28"/>
          <w:rtl/>
          <w:lang w:bidi="ar-JO"/>
        </w:rPr>
        <w:t>الشركات</w:t>
      </w:r>
      <w:r w:rsidRPr="00052C8B">
        <w:rPr>
          <w:rFonts w:ascii="Arabic Transparent" w:hAnsi="Arabic Transparent" w:cs="Arabic Transparent" w:hint="cs"/>
          <w:sz w:val="28"/>
          <w:szCs w:val="28"/>
          <w:rtl/>
          <w:lang w:bidi="ar-JO"/>
        </w:rPr>
        <w:t xml:space="preserve"> وغيرها؛ </w:t>
      </w:r>
      <w:r w:rsidR="00C0128E">
        <w:rPr>
          <w:rFonts w:ascii="Arabic Transparent" w:hAnsi="Arabic Transparent" w:cs="Arabic Transparent" w:hint="cs"/>
          <w:sz w:val="28"/>
          <w:szCs w:val="28"/>
          <w:rtl/>
          <w:lang w:bidi="ar-JO"/>
        </w:rPr>
        <w:t xml:space="preserve">حيث يقول الريسوني: </w:t>
      </w:r>
      <w:r w:rsidR="00C0128E" w:rsidRPr="00C0128E">
        <w:rPr>
          <w:rFonts w:ascii="Arabic Transparent" w:hAnsi="Arabic Transparent" w:cs="Arabic Transparent"/>
          <w:sz w:val="28"/>
          <w:szCs w:val="28"/>
          <w:rtl/>
          <w:lang w:bidi="ar-JO"/>
        </w:rPr>
        <w:t>"</w:t>
      </w:r>
      <w:r w:rsidRPr="00052C8B">
        <w:rPr>
          <w:rFonts w:ascii="Arabic Transparent" w:hAnsi="Arabic Transparent" w:cs="Arabic Transparent" w:hint="cs"/>
          <w:sz w:val="28"/>
          <w:szCs w:val="28"/>
          <w:rtl/>
          <w:lang w:bidi="ar-JO"/>
        </w:rPr>
        <w:t>إن</w:t>
      </w:r>
      <w:r w:rsidR="00084037">
        <w:rPr>
          <w:rFonts w:ascii="Arabic Transparent" w:hAnsi="Arabic Transparent" w:cs="Arabic Transparent" w:hint="cs"/>
          <w:sz w:val="28"/>
          <w:szCs w:val="28"/>
          <w:rtl/>
          <w:lang w:bidi="ar-JO"/>
        </w:rPr>
        <w:t>َّ</w:t>
      </w:r>
      <w:r w:rsidRPr="00052C8B">
        <w:rPr>
          <w:rFonts w:ascii="Arabic Transparent" w:hAnsi="Arabic Transparent" w:cs="Arabic Transparent" w:hint="cs"/>
          <w:sz w:val="28"/>
          <w:szCs w:val="28"/>
          <w:rtl/>
          <w:lang w:bidi="ar-JO"/>
        </w:rPr>
        <w:t xml:space="preserve"> فهم الواقع في</w:t>
      </w:r>
      <w:r w:rsidR="00C0128E">
        <w:rPr>
          <w:rFonts w:ascii="Arabic Transparent" w:hAnsi="Arabic Transparent" w:cs="Arabic Transparent" w:hint="cs"/>
          <w:sz w:val="28"/>
          <w:szCs w:val="28"/>
          <w:rtl/>
          <w:lang w:bidi="ar-JO"/>
        </w:rPr>
        <w:t xml:space="preserve"> المسائل المعاصرة</w:t>
      </w:r>
      <w:r w:rsidRPr="00052C8B">
        <w:rPr>
          <w:rFonts w:ascii="Arabic Transparent" w:hAnsi="Arabic Transparent" w:cs="Arabic Transparent" w:hint="cs"/>
          <w:sz w:val="28"/>
          <w:szCs w:val="28"/>
          <w:rtl/>
          <w:lang w:bidi="ar-JO"/>
        </w:rPr>
        <w:t xml:space="preserve"> يتوقّف على استشارة المتخصص وتقريره العلمي؛ فإذا تجلّى الأمر لأنظار الفقهاء استفرغوا وسعهم في استنباط حكم شرعي مناسب، على أن يُراعى في اجتهادهم الجانب الآخر الذي أشار </w:t>
      </w:r>
      <w:r w:rsidR="00B3335A" w:rsidRPr="00052C8B">
        <w:rPr>
          <w:rFonts w:ascii="Arabic Transparent" w:hAnsi="Arabic Transparent" w:cs="Arabic Transparent" w:hint="cs"/>
          <w:sz w:val="28"/>
          <w:szCs w:val="28"/>
          <w:rtl/>
          <w:lang w:bidi="ar-JO"/>
        </w:rPr>
        <w:t>إليه الشاطبي</w:t>
      </w:r>
      <w:r w:rsidRPr="00052C8B">
        <w:rPr>
          <w:rFonts w:ascii="Arabic Transparent" w:hAnsi="Arabic Transparent" w:cs="Arabic Transparent" w:hint="cs"/>
          <w:sz w:val="28"/>
          <w:szCs w:val="28"/>
          <w:rtl/>
          <w:lang w:bidi="ar-JO"/>
        </w:rPr>
        <w:t xml:space="preserve"> وهو</w:t>
      </w:r>
      <w:r w:rsidR="00453800" w:rsidRPr="00052C8B">
        <w:rPr>
          <w:rFonts w:ascii="Arabic Transparent" w:hAnsi="Arabic Transparent" w:cs="Arabic Transparent" w:hint="cs"/>
          <w:sz w:val="28"/>
          <w:szCs w:val="28"/>
          <w:rtl/>
          <w:lang w:bidi="ar-JO"/>
        </w:rPr>
        <w:t xml:space="preserve"> </w:t>
      </w:r>
      <w:r w:rsidRPr="00052C8B">
        <w:rPr>
          <w:rFonts w:ascii="Arabic Transparent" w:hAnsi="Arabic Transparent" w:cs="Arabic Transparent" w:hint="cs"/>
          <w:sz w:val="28"/>
          <w:szCs w:val="28"/>
          <w:rtl/>
          <w:lang w:bidi="ar-JO"/>
        </w:rPr>
        <w:t>الإنجاز الجماعي؛ لأنه أحرى بالصواب، وأقوم في العلم والعم</w:t>
      </w:r>
      <w:r w:rsidR="00453800" w:rsidRPr="00052C8B">
        <w:rPr>
          <w:rFonts w:ascii="Arabic Transparent" w:hAnsi="Arabic Transparent" w:cs="Arabic Transparent" w:hint="cs"/>
          <w:sz w:val="28"/>
          <w:szCs w:val="28"/>
          <w:rtl/>
          <w:lang w:bidi="ar-JO"/>
        </w:rPr>
        <w:t>ل</w:t>
      </w:r>
      <w:r w:rsidR="00C0128E">
        <w:rPr>
          <w:rFonts w:ascii="Arabic Transparent" w:hAnsi="Arabic Transparent" w:cs="Arabic Transparent" w:hint="cs"/>
          <w:sz w:val="28"/>
          <w:szCs w:val="28"/>
          <w:rtl/>
          <w:lang w:bidi="ar-JO"/>
        </w:rPr>
        <w:t>"</w:t>
      </w:r>
      <w:r w:rsidR="00453800" w:rsidRPr="00052C8B">
        <w:rPr>
          <w:rFonts w:ascii="Arabic Transparent" w:hAnsi="Arabic Transparent" w:cs="Arabic Transparent" w:hint="cs"/>
          <w:sz w:val="28"/>
          <w:szCs w:val="28"/>
          <w:vertAlign w:val="superscript"/>
          <w:rtl/>
          <w:lang w:bidi="ar-JO"/>
        </w:rPr>
        <w:t>(</w:t>
      </w:r>
      <w:r w:rsidR="00453800" w:rsidRPr="00052C8B">
        <w:rPr>
          <w:rStyle w:val="FootnoteReference"/>
          <w:rFonts w:ascii="Arabic Transparent" w:hAnsi="Arabic Transparent" w:cs="Arabic Transparent" w:hint="cs"/>
          <w:sz w:val="28"/>
          <w:szCs w:val="28"/>
          <w:rtl/>
          <w:lang w:bidi="ar-JO"/>
        </w:rPr>
        <w:footnoteReference w:id="157"/>
      </w:r>
      <w:r w:rsidR="00453800" w:rsidRPr="00052C8B">
        <w:rPr>
          <w:rFonts w:ascii="Arabic Transparent" w:hAnsi="Arabic Transparent" w:cs="Arabic Transparent" w:hint="cs"/>
          <w:sz w:val="28"/>
          <w:szCs w:val="28"/>
          <w:vertAlign w:val="superscript"/>
          <w:rtl/>
          <w:lang w:bidi="ar-JO"/>
        </w:rPr>
        <w:t>)</w:t>
      </w:r>
      <w:r w:rsidRPr="00052C8B">
        <w:rPr>
          <w:rFonts w:ascii="Arabic Transparent" w:hAnsi="Arabic Transparent" w:cs="Arabic Transparent" w:hint="cs"/>
          <w:sz w:val="28"/>
          <w:szCs w:val="28"/>
          <w:rtl/>
          <w:lang w:bidi="ar-JO"/>
        </w:rPr>
        <w:t>.</w:t>
      </w:r>
    </w:p>
    <w:p w14:paraId="4B24B97F" w14:textId="7401879C" w:rsidR="00603C18" w:rsidRPr="00052C8B" w:rsidRDefault="00CF60D8" w:rsidP="006A1105">
      <w:pPr>
        <w:spacing w:after="0" w:line="360" w:lineRule="auto"/>
        <w:ind w:firstLine="332"/>
        <w:jc w:val="both"/>
        <w:rPr>
          <w:rFonts w:ascii="Arabic Transparent" w:hAnsi="Arabic Transparent" w:cs="Arabic Transparent"/>
          <w:sz w:val="28"/>
          <w:szCs w:val="28"/>
          <w:rtl/>
          <w:lang w:bidi="ar-JO"/>
        </w:rPr>
      </w:pPr>
      <w:r w:rsidRPr="00052C8B">
        <w:rPr>
          <w:rFonts w:ascii="Arabic Transparent" w:hAnsi="Arabic Transparent" w:cs="Arabic Transparent" w:hint="cs"/>
          <w:sz w:val="28"/>
          <w:szCs w:val="28"/>
          <w:rtl/>
          <w:lang w:bidi="ar-JO"/>
        </w:rPr>
        <w:t>ومثال ذلك أن المنفعة المتبادلة في القروض ليست ربا، فهذا حكم اجتهادي بالجواز؛ لأن الربا انفراد المقرض بالزيادة المضمونة دون المقترض، ويحقق الفقيه هذا الحكم في السفتجة كما فعل ابن تيمية قديما فأجازها</w:t>
      </w:r>
      <w:r w:rsidR="00084037" w:rsidRPr="00084037">
        <w:rPr>
          <w:rFonts w:ascii="Arabic Transparent" w:hAnsi="Arabic Transparent" w:cs="Arabic Transparent" w:hint="cs"/>
          <w:sz w:val="28"/>
          <w:szCs w:val="28"/>
          <w:vertAlign w:val="superscript"/>
          <w:rtl/>
          <w:lang w:bidi="ar-JO"/>
        </w:rPr>
        <w:t>(</w:t>
      </w:r>
      <w:r w:rsidR="00084037" w:rsidRPr="00084037">
        <w:rPr>
          <w:rStyle w:val="FootnoteReference"/>
          <w:rFonts w:ascii="Arabic Transparent" w:hAnsi="Arabic Transparent" w:cs="Arabic Transparent" w:hint="cs"/>
          <w:sz w:val="28"/>
          <w:szCs w:val="28"/>
          <w:rtl/>
          <w:lang w:bidi="ar-JO"/>
        </w:rPr>
        <w:footnoteReference w:id="158"/>
      </w:r>
      <w:r w:rsidR="00084037" w:rsidRPr="00084037">
        <w:rPr>
          <w:rFonts w:ascii="Arabic Transparent" w:hAnsi="Arabic Transparent" w:cs="Arabic Transparent" w:hint="cs"/>
          <w:sz w:val="28"/>
          <w:szCs w:val="28"/>
          <w:vertAlign w:val="superscript"/>
          <w:rtl/>
          <w:lang w:bidi="ar-JO"/>
        </w:rPr>
        <w:t>)</w:t>
      </w:r>
      <w:r w:rsidRPr="00052C8B">
        <w:rPr>
          <w:rFonts w:ascii="Arabic Transparent" w:hAnsi="Arabic Transparent" w:cs="Arabic Transparent" w:hint="cs"/>
          <w:sz w:val="28"/>
          <w:szCs w:val="28"/>
          <w:rtl/>
          <w:lang w:bidi="ar-JO"/>
        </w:rPr>
        <w:t>، و</w:t>
      </w:r>
      <w:r w:rsidR="00C0128E">
        <w:rPr>
          <w:rFonts w:ascii="Arabic Transparent" w:hAnsi="Arabic Transparent" w:cs="Arabic Transparent" w:hint="cs"/>
          <w:sz w:val="28"/>
          <w:szCs w:val="28"/>
          <w:rtl/>
          <w:lang w:bidi="ar-JO"/>
        </w:rPr>
        <w:t>كما "</w:t>
      </w:r>
      <w:r w:rsidRPr="00052C8B">
        <w:rPr>
          <w:rFonts w:ascii="Arabic Transparent" w:hAnsi="Arabic Transparent" w:cs="Arabic Transparent" w:hint="cs"/>
          <w:sz w:val="28"/>
          <w:szCs w:val="28"/>
          <w:rtl/>
          <w:lang w:bidi="ar-JO"/>
        </w:rPr>
        <w:t>في الأرصدة التعويضية بين البنك الإسلامي ومراسله التقليدي بحيث يعوضه عن مبالغ الأرصدة المدينة بمبالغ مساوية</w:t>
      </w:r>
      <w:r w:rsidR="00084037">
        <w:rPr>
          <w:rFonts w:ascii="Arabic Transparent" w:hAnsi="Arabic Transparent" w:cs="Arabic Transparent" w:hint="cs"/>
          <w:sz w:val="28"/>
          <w:szCs w:val="28"/>
          <w:rtl/>
          <w:lang w:bidi="ar-JO"/>
        </w:rPr>
        <w:t>،</w:t>
      </w:r>
      <w:r w:rsidRPr="00052C8B">
        <w:rPr>
          <w:rFonts w:ascii="Arabic Transparent" w:hAnsi="Arabic Transparent" w:cs="Arabic Transparent" w:hint="cs"/>
          <w:sz w:val="28"/>
          <w:szCs w:val="28"/>
          <w:rtl/>
          <w:lang w:bidi="ar-JO"/>
        </w:rPr>
        <w:t xml:space="preserve"> أو أكثر للمدة نفسها</w:t>
      </w:r>
      <w:r w:rsidR="00084037">
        <w:rPr>
          <w:rFonts w:ascii="Arabic Transparent" w:hAnsi="Arabic Transparent" w:cs="Arabic Transparent" w:hint="cs"/>
          <w:sz w:val="28"/>
          <w:szCs w:val="28"/>
          <w:rtl/>
          <w:lang w:bidi="ar-JO"/>
        </w:rPr>
        <w:t>،</w:t>
      </w:r>
      <w:r w:rsidRPr="00052C8B">
        <w:rPr>
          <w:rFonts w:ascii="Arabic Transparent" w:hAnsi="Arabic Transparent" w:cs="Arabic Transparent" w:hint="cs"/>
          <w:sz w:val="28"/>
          <w:szCs w:val="28"/>
          <w:rtl/>
          <w:lang w:bidi="ar-JO"/>
        </w:rPr>
        <w:t xml:space="preserve"> أو أكثر وفقا للاتفاق بين الطرفين، وذلك فرارا</w:t>
      </w:r>
      <w:r w:rsidR="00084037">
        <w:rPr>
          <w:rFonts w:ascii="Arabic Transparent" w:hAnsi="Arabic Transparent" w:cs="Arabic Transparent" w:hint="cs"/>
          <w:sz w:val="28"/>
          <w:szCs w:val="28"/>
          <w:rtl/>
          <w:lang w:bidi="ar-JO"/>
        </w:rPr>
        <w:t>ً</w:t>
      </w:r>
      <w:r w:rsidRPr="00052C8B">
        <w:rPr>
          <w:rFonts w:ascii="Arabic Transparent" w:hAnsi="Arabic Transparent" w:cs="Arabic Transparent" w:hint="cs"/>
          <w:sz w:val="28"/>
          <w:szCs w:val="28"/>
          <w:rtl/>
          <w:lang w:bidi="ar-JO"/>
        </w:rPr>
        <w:t xml:space="preserve"> من صريح الربا</w:t>
      </w:r>
      <w:r w:rsidR="00C0128E">
        <w:rPr>
          <w:rFonts w:ascii="Arabic Transparent" w:hAnsi="Arabic Transparent" w:cs="Arabic Transparent" w:hint="cs"/>
          <w:sz w:val="28"/>
          <w:szCs w:val="28"/>
          <w:rtl/>
          <w:lang w:bidi="ar-JO"/>
        </w:rPr>
        <w:t>"</w:t>
      </w:r>
      <w:r w:rsidRPr="00052C8B">
        <w:rPr>
          <w:rFonts w:ascii="Arabic Transparent" w:hAnsi="Arabic Transparent" w:cs="Arabic Transparent" w:hint="cs"/>
          <w:sz w:val="28"/>
          <w:szCs w:val="28"/>
          <w:vertAlign w:val="superscript"/>
          <w:rtl/>
          <w:lang w:bidi="ar-JO"/>
        </w:rPr>
        <w:t>(</w:t>
      </w:r>
      <w:r w:rsidRPr="00052C8B">
        <w:rPr>
          <w:rStyle w:val="FootnoteReference"/>
          <w:rFonts w:ascii="Arabic Transparent" w:hAnsi="Arabic Transparent" w:cs="Arabic Transparent" w:hint="cs"/>
          <w:sz w:val="28"/>
          <w:szCs w:val="28"/>
          <w:rtl/>
          <w:lang w:bidi="ar-JO"/>
        </w:rPr>
        <w:footnoteReference w:id="159"/>
      </w:r>
      <w:r w:rsidRPr="00052C8B">
        <w:rPr>
          <w:rFonts w:ascii="Arabic Transparent" w:hAnsi="Arabic Transparent" w:cs="Arabic Transparent" w:hint="cs"/>
          <w:sz w:val="28"/>
          <w:szCs w:val="28"/>
          <w:vertAlign w:val="superscript"/>
          <w:rtl/>
          <w:lang w:bidi="ar-JO"/>
        </w:rPr>
        <w:t>)</w:t>
      </w:r>
      <w:r w:rsidRPr="00052C8B">
        <w:rPr>
          <w:rFonts w:ascii="Arabic Transparent" w:hAnsi="Arabic Transparent" w:cs="Arabic Transparent" w:hint="cs"/>
          <w:sz w:val="28"/>
          <w:szCs w:val="28"/>
          <w:rtl/>
          <w:lang w:bidi="ar-JO"/>
        </w:rPr>
        <w:t>.</w:t>
      </w:r>
    </w:p>
    <w:p w14:paraId="74E530D9" w14:textId="6FE39402" w:rsidR="009C1941" w:rsidRPr="002C707F" w:rsidRDefault="009C1941" w:rsidP="00603C18">
      <w:pPr>
        <w:spacing w:after="0" w:line="360" w:lineRule="auto"/>
        <w:rPr>
          <w:rFonts w:ascii="Arabic Transparent" w:hAnsi="Arabic Transparent" w:cs="Arabic Transparent"/>
          <w:b/>
          <w:bCs/>
          <w:sz w:val="32"/>
          <w:szCs w:val="32"/>
          <w:rtl/>
          <w:lang w:bidi="ar-JO"/>
        </w:rPr>
      </w:pPr>
      <w:r w:rsidRPr="002C707F">
        <w:rPr>
          <w:rFonts w:ascii="Arabic Transparent" w:hAnsi="Arabic Transparent" w:cs="Arabic Transparent" w:hint="cs"/>
          <w:b/>
          <w:bCs/>
          <w:sz w:val="32"/>
          <w:szCs w:val="32"/>
          <w:rtl/>
          <w:lang w:bidi="ar-JO"/>
        </w:rPr>
        <w:t>المطلب الثالث: ضوابط تحقيق المناط الخاص</w:t>
      </w:r>
    </w:p>
    <w:p w14:paraId="55F8D696" w14:textId="3A3E82F2" w:rsidR="00603C18" w:rsidRPr="00226179" w:rsidRDefault="000F4DC2" w:rsidP="00226179">
      <w:pPr>
        <w:spacing w:after="0" w:line="360" w:lineRule="auto"/>
        <w:jc w:val="both"/>
        <w:rPr>
          <w:rFonts w:ascii="Arabic Transparent" w:hAnsi="Arabic Transparent" w:cs="Arabic Transparent"/>
          <w:sz w:val="28"/>
          <w:szCs w:val="28"/>
          <w:rtl/>
          <w:lang w:bidi="ar-JO"/>
        </w:rPr>
      </w:pPr>
      <w:r>
        <w:rPr>
          <w:rFonts w:ascii="Arabic Transparent" w:hAnsi="Arabic Transparent" w:cs="Arabic Transparent" w:hint="cs"/>
          <w:sz w:val="28"/>
          <w:szCs w:val="28"/>
          <w:rtl/>
          <w:lang w:bidi="ar-JO"/>
        </w:rPr>
        <w:t xml:space="preserve">     </w:t>
      </w:r>
      <w:r w:rsidR="00E5189D" w:rsidRPr="00226179">
        <w:rPr>
          <w:rFonts w:ascii="Arabic Transparent" w:hAnsi="Arabic Transparent" w:cs="Arabic Transparent" w:hint="cs"/>
          <w:sz w:val="28"/>
          <w:szCs w:val="28"/>
          <w:rtl/>
          <w:lang w:bidi="ar-JO"/>
        </w:rPr>
        <w:t>تنزيل الحكم الشرعي على محله لا يمكن أن يتم صحيحاً إلا من خلال الأخذ بجملة من الضوابط</w:t>
      </w:r>
      <w:r w:rsidR="00320299">
        <w:rPr>
          <w:rFonts w:ascii="Arabic Transparent" w:hAnsi="Arabic Transparent" w:cs="Arabic Transparent" w:hint="cs"/>
          <w:sz w:val="28"/>
          <w:szCs w:val="28"/>
          <w:rtl/>
          <w:lang w:bidi="ar-JO"/>
        </w:rPr>
        <w:t>، وهي ما يأتي:</w:t>
      </w:r>
    </w:p>
    <w:p w14:paraId="11AF54F7" w14:textId="77777777" w:rsidR="00EE1CAB" w:rsidRDefault="008770F2" w:rsidP="00E312F1">
      <w:pPr>
        <w:spacing w:after="0" w:line="360" w:lineRule="auto"/>
        <w:jc w:val="both"/>
        <w:rPr>
          <w:rFonts w:ascii="Arabic Transparent" w:hAnsi="Arabic Transparent" w:cs="Arabic Transparent"/>
          <w:sz w:val="28"/>
          <w:szCs w:val="28"/>
          <w:rtl/>
          <w:lang w:bidi="ar-JO"/>
        </w:rPr>
      </w:pPr>
      <w:r>
        <w:rPr>
          <w:rFonts w:ascii="Arabic Transparent" w:hAnsi="Arabic Transparent" w:cs="Arabic Transparent" w:hint="cs"/>
          <w:b/>
          <w:bCs/>
          <w:sz w:val="28"/>
          <w:szCs w:val="28"/>
          <w:rtl/>
          <w:lang w:bidi="ar-JO"/>
        </w:rPr>
        <w:t>الفرع الأول</w:t>
      </w:r>
      <w:r w:rsidR="00E5189D" w:rsidRPr="00226179">
        <w:rPr>
          <w:rFonts w:ascii="Arabic Transparent" w:hAnsi="Arabic Transparent" w:cs="Arabic Transparent" w:hint="cs"/>
          <w:b/>
          <w:bCs/>
          <w:sz w:val="28"/>
          <w:szCs w:val="28"/>
          <w:rtl/>
          <w:lang w:bidi="ar-JO"/>
        </w:rPr>
        <w:t xml:space="preserve">: </w:t>
      </w:r>
      <w:r w:rsidR="00226179" w:rsidRPr="00226179">
        <w:rPr>
          <w:rFonts w:ascii="Arabic Transparent" w:hAnsi="Arabic Transparent" w:cs="Arabic Transparent" w:hint="cs"/>
          <w:b/>
          <w:bCs/>
          <w:sz w:val="28"/>
          <w:szCs w:val="28"/>
          <w:rtl/>
          <w:lang w:bidi="ar-JO"/>
        </w:rPr>
        <w:t>ال</w:t>
      </w:r>
      <w:r w:rsidR="009C51DC">
        <w:rPr>
          <w:rFonts w:ascii="Arabic Transparent" w:hAnsi="Arabic Transparent" w:cs="Arabic Transparent" w:hint="cs"/>
          <w:b/>
          <w:bCs/>
          <w:sz w:val="28"/>
          <w:szCs w:val="28"/>
          <w:rtl/>
          <w:lang w:bidi="ar-JO"/>
        </w:rPr>
        <w:t>إ</w:t>
      </w:r>
      <w:r w:rsidR="00226179" w:rsidRPr="00226179">
        <w:rPr>
          <w:rFonts w:ascii="Arabic Transparent" w:hAnsi="Arabic Transparent" w:cs="Arabic Transparent" w:hint="cs"/>
          <w:b/>
          <w:bCs/>
          <w:sz w:val="28"/>
          <w:szCs w:val="28"/>
          <w:rtl/>
          <w:lang w:bidi="ar-JO"/>
        </w:rPr>
        <w:t>لمام</w:t>
      </w:r>
      <w:r w:rsidR="00E5189D" w:rsidRPr="00226179">
        <w:rPr>
          <w:rFonts w:ascii="Arabic Transparent" w:hAnsi="Arabic Transparent" w:cs="Arabic Transparent" w:hint="cs"/>
          <w:b/>
          <w:bCs/>
          <w:sz w:val="28"/>
          <w:szCs w:val="28"/>
          <w:rtl/>
          <w:lang w:bidi="ar-JO"/>
        </w:rPr>
        <w:t xml:space="preserve"> </w:t>
      </w:r>
      <w:r w:rsidR="00226179" w:rsidRPr="00226179">
        <w:rPr>
          <w:rFonts w:ascii="Arabic Transparent" w:hAnsi="Arabic Transparent" w:cs="Arabic Transparent" w:hint="cs"/>
          <w:b/>
          <w:bCs/>
          <w:sz w:val="28"/>
          <w:szCs w:val="28"/>
          <w:rtl/>
          <w:lang w:bidi="ar-JO"/>
        </w:rPr>
        <w:t>با</w:t>
      </w:r>
      <w:r w:rsidR="00E5189D" w:rsidRPr="00226179">
        <w:rPr>
          <w:rFonts w:ascii="Arabic Transparent" w:hAnsi="Arabic Transparent" w:cs="Arabic Transparent" w:hint="cs"/>
          <w:b/>
          <w:bCs/>
          <w:sz w:val="28"/>
          <w:szCs w:val="28"/>
          <w:rtl/>
          <w:lang w:bidi="ar-JO"/>
        </w:rPr>
        <w:t>لواقعة</w:t>
      </w:r>
      <w:r w:rsidR="006A1105">
        <w:rPr>
          <w:rFonts w:ascii="Arabic Transparent" w:hAnsi="Arabic Transparent" w:cs="Arabic Transparent" w:hint="cs"/>
          <w:sz w:val="28"/>
          <w:szCs w:val="28"/>
          <w:rtl/>
          <w:lang w:bidi="ar-JO"/>
        </w:rPr>
        <w:t>:</w:t>
      </w:r>
    </w:p>
    <w:p w14:paraId="24D05B39" w14:textId="77777777" w:rsidR="00320299" w:rsidRDefault="005D7B91" w:rsidP="00E312F1">
      <w:pPr>
        <w:spacing w:after="0" w:line="360" w:lineRule="auto"/>
        <w:jc w:val="both"/>
        <w:rPr>
          <w:rFonts w:ascii="Arabic Transparent" w:hAnsi="Arabic Transparent" w:cs="Arabic Transparent"/>
          <w:sz w:val="28"/>
          <w:szCs w:val="28"/>
          <w:rtl/>
          <w:lang w:bidi="ar-JO"/>
        </w:rPr>
      </w:pPr>
      <w:r>
        <w:rPr>
          <w:rFonts w:ascii="Arabic Transparent" w:hAnsi="Arabic Transparent" w:cs="Arabic Transparent" w:hint="cs"/>
          <w:sz w:val="28"/>
          <w:szCs w:val="28"/>
          <w:rtl/>
          <w:lang w:bidi="ar-JO"/>
        </w:rPr>
        <w:t xml:space="preserve">     </w:t>
      </w:r>
      <w:r w:rsidR="00226179" w:rsidRPr="00226179">
        <w:rPr>
          <w:rFonts w:ascii="Arabic Transparent" w:hAnsi="Arabic Transparent" w:cs="Arabic Transparent" w:hint="cs"/>
          <w:sz w:val="28"/>
          <w:szCs w:val="28"/>
          <w:rtl/>
          <w:lang w:bidi="ar-JO"/>
        </w:rPr>
        <w:t>بأ</w:t>
      </w:r>
      <w:r w:rsidR="00E5189D" w:rsidRPr="00226179">
        <w:rPr>
          <w:rFonts w:ascii="Arabic Transparent" w:hAnsi="Arabic Transparent" w:cs="Arabic Transparent" w:hint="cs"/>
          <w:sz w:val="28"/>
          <w:szCs w:val="28"/>
          <w:rtl/>
          <w:lang w:bidi="ar-JO"/>
        </w:rPr>
        <w:t>ن ي</w:t>
      </w:r>
      <w:r w:rsidR="00226179" w:rsidRPr="00226179">
        <w:rPr>
          <w:rFonts w:ascii="Arabic Transparent" w:hAnsi="Arabic Transparent" w:cs="Arabic Transparent" w:hint="cs"/>
          <w:sz w:val="28"/>
          <w:szCs w:val="28"/>
          <w:rtl/>
          <w:lang w:bidi="ar-JO"/>
        </w:rPr>
        <w:t>ُ</w:t>
      </w:r>
      <w:r w:rsidR="00E5189D" w:rsidRPr="00226179">
        <w:rPr>
          <w:rFonts w:ascii="Arabic Transparent" w:hAnsi="Arabic Transparent" w:cs="Arabic Transparent" w:hint="cs"/>
          <w:sz w:val="28"/>
          <w:szCs w:val="28"/>
          <w:rtl/>
          <w:lang w:bidi="ar-JO"/>
        </w:rPr>
        <w:t>حيط بأطراف الواقعة، ومكوناتها</w:t>
      </w:r>
      <w:r w:rsidR="00226179" w:rsidRPr="00226179">
        <w:rPr>
          <w:rFonts w:ascii="Arabic Transparent" w:hAnsi="Arabic Transparent" w:cs="Arabic Transparent" w:hint="cs"/>
          <w:sz w:val="28"/>
          <w:szCs w:val="28"/>
          <w:rtl/>
          <w:lang w:bidi="ar-JO"/>
        </w:rPr>
        <w:t>،</w:t>
      </w:r>
      <w:r w:rsidR="00E5189D" w:rsidRPr="00226179">
        <w:rPr>
          <w:rFonts w:ascii="Arabic Transparent" w:hAnsi="Arabic Transparent" w:cs="Arabic Transparent" w:hint="cs"/>
          <w:sz w:val="28"/>
          <w:szCs w:val="28"/>
          <w:rtl/>
          <w:lang w:bidi="ar-JO"/>
        </w:rPr>
        <w:t xml:space="preserve"> وأوصافها</w:t>
      </w:r>
      <w:r w:rsidR="00226179" w:rsidRPr="00226179">
        <w:rPr>
          <w:rFonts w:ascii="Arabic Transparent" w:hAnsi="Arabic Transparent" w:cs="Arabic Transparent" w:hint="cs"/>
          <w:sz w:val="28"/>
          <w:szCs w:val="28"/>
          <w:rtl/>
          <w:lang w:bidi="ar-JO"/>
        </w:rPr>
        <w:t>،</w:t>
      </w:r>
      <w:r w:rsidR="00E5189D" w:rsidRPr="00226179">
        <w:rPr>
          <w:rFonts w:ascii="Arabic Transparent" w:hAnsi="Arabic Transparent" w:cs="Arabic Transparent" w:hint="cs"/>
          <w:sz w:val="28"/>
          <w:szCs w:val="28"/>
          <w:rtl/>
          <w:lang w:bidi="ar-JO"/>
        </w:rPr>
        <w:t xml:space="preserve"> وأسبابها وآثارها قبل إيقاع الحكم الشرعي عليها</w:t>
      </w:r>
      <w:r w:rsidR="00FB171D" w:rsidRPr="00226179">
        <w:rPr>
          <w:rFonts w:ascii="Arabic Transparent" w:hAnsi="Arabic Transparent" w:cs="Arabic Transparent" w:hint="cs"/>
          <w:sz w:val="28"/>
          <w:szCs w:val="28"/>
          <w:rtl/>
          <w:lang w:bidi="ar-JO"/>
        </w:rPr>
        <w:t xml:space="preserve">، </w:t>
      </w:r>
      <w:r w:rsidR="00DF2979">
        <w:rPr>
          <w:rFonts w:ascii="Arabic Transparent" w:hAnsi="Arabic Transparent" w:cs="Arabic Transparent" w:hint="cs"/>
          <w:sz w:val="28"/>
          <w:szCs w:val="28"/>
          <w:rtl/>
          <w:lang w:bidi="ar-JO"/>
        </w:rPr>
        <w:t>حيث إنَّ</w:t>
      </w:r>
      <w:r w:rsidR="00FB171D" w:rsidRPr="00226179">
        <w:rPr>
          <w:rFonts w:ascii="Arabic Transparent" w:hAnsi="Arabic Transparent" w:cs="Arabic Transparent" w:hint="cs"/>
          <w:sz w:val="28"/>
          <w:szCs w:val="28"/>
          <w:rtl/>
          <w:lang w:bidi="ar-JO"/>
        </w:rPr>
        <w:t xml:space="preserve"> التصور الناقص ينتج عنه </w:t>
      </w:r>
      <w:r w:rsidR="00320299">
        <w:rPr>
          <w:rFonts w:ascii="Arabic Transparent" w:hAnsi="Arabic Transparent" w:cs="Arabic Transparent" w:hint="cs"/>
          <w:sz w:val="28"/>
          <w:szCs w:val="28"/>
          <w:rtl/>
          <w:lang w:bidi="ar-JO"/>
        </w:rPr>
        <w:t>الخلل</w:t>
      </w:r>
      <w:r w:rsidR="00FB171D" w:rsidRPr="00226179">
        <w:rPr>
          <w:rFonts w:ascii="Arabic Transparent" w:hAnsi="Arabic Transparent" w:cs="Arabic Transparent" w:hint="cs"/>
          <w:sz w:val="28"/>
          <w:szCs w:val="28"/>
          <w:rtl/>
          <w:lang w:bidi="ar-JO"/>
        </w:rPr>
        <w:t xml:space="preserve"> في تحقيق المناط وإصدار الحكم </w:t>
      </w:r>
      <w:r w:rsidR="00FB171D" w:rsidRPr="00DF52DC">
        <w:rPr>
          <w:rFonts w:ascii="Arabic Transparent" w:hAnsi="Arabic Transparent" w:cs="Arabic Transparent" w:hint="cs"/>
          <w:sz w:val="28"/>
          <w:szCs w:val="28"/>
          <w:rtl/>
          <w:lang w:bidi="ar-JO"/>
        </w:rPr>
        <w:t>الشرعي</w:t>
      </w:r>
      <w:r w:rsidR="00FB171D" w:rsidRPr="00DF52DC">
        <w:rPr>
          <w:rFonts w:ascii="Arabic Transparent" w:hAnsi="Arabic Transparent" w:cs="Arabic Transparent" w:hint="cs"/>
          <w:sz w:val="28"/>
          <w:szCs w:val="28"/>
          <w:vertAlign w:val="superscript"/>
          <w:rtl/>
          <w:lang w:bidi="ar-JO"/>
        </w:rPr>
        <w:t>(</w:t>
      </w:r>
      <w:r w:rsidR="00FB171D" w:rsidRPr="00DF52DC">
        <w:rPr>
          <w:rStyle w:val="FootnoteReference"/>
          <w:rFonts w:ascii="Arabic Transparent" w:hAnsi="Arabic Transparent" w:cs="Arabic Transparent" w:hint="cs"/>
          <w:sz w:val="28"/>
          <w:szCs w:val="28"/>
          <w:rtl/>
          <w:lang w:bidi="ar-JO"/>
        </w:rPr>
        <w:footnoteReference w:id="160"/>
      </w:r>
      <w:r w:rsidR="00FB171D" w:rsidRPr="00DF52DC">
        <w:rPr>
          <w:rFonts w:ascii="Arabic Transparent" w:hAnsi="Arabic Transparent" w:cs="Arabic Transparent" w:hint="cs"/>
          <w:sz w:val="28"/>
          <w:szCs w:val="28"/>
          <w:vertAlign w:val="superscript"/>
          <w:rtl/>
          <w:lang w:bidi="ar-JO"/>
        </w:rPr>
        <w:t>)</w:t>
      </w:r>
      <w:r w:rsidR="00FB171D" w:rsidRPr="00DF52DC">
        <w:rPr>
          <w:rFonts w:ascii="Arabic Transparent" w:hAnsi="Arabic Transparent" w:cs="Arabic Transparent" w:hint="cs"/>
          <w:sz w:val="28"/>
          <w:szCs w:val="28"/>
          <w:rtl/>
          <w:lang w:bidi="ar-JO"/>
        </w:rPr>
        <w:t>، فلا يصح أن يصدر حكماً على معاملة معينة لدى شركات التمويل من غير إدراك ماهيتها والنظر في العقود</w:t>
      </w:r>
      <w:r w:rsidR="00320299">
        <w:rPr>
          <w:rFonts w:ascii="Arabic Transparent" w:hAnsi="Arabic Transparent" w:cs="Arabic Transparent" w:hint="cs"/>
          <w:sz w:val="28"/>
          <w:szCs w:val="28"/>
          <w:rtl/>
          <w:lang w:bidi="ar-JO"/>
        </w:rPr>
        <w:t>،</w:t>
      </w:r>
      <w:r w:rsidR="00FB171D" w:rsidRPr="00DF52DC">
        <w:rPr>
          <w:rFonts w:ascii="Arabic Transparent" w:hAnsi="Arabic Transparent" w:cs="Arabic Transparent" w:hint="cs"/>
          <w:sz w:val="28"/>
          <w:szCs w:val="28"/>
          <w:rtl/>
          <w:lang w:bidi="ar-JO"/>
        </w:rPr>
        <w:t xml:space="preserve"> أو حتى التعامل بها إن احتاج المفتي إلى ذلك من أجل التعرف على صورة المسألة</w:t>
      </w:r>
      <w:r w:rsidR="00320299">
        <w:rPr>
          <w:rFonts w:ascii="Arabic Transparent" w:hAnsi="Arabic Transparent" w:cs="Arabic Transparent" w:hint="cs"/>
          <w:sz w:val="28"/>
          <w:szCs w:val="28"/>
          <w:rtl/>
          <w:lang w:bidi="ar-JO"/>
        </w:rPr>
        <w:t>،</w:t>
      </w:r>
      <w:r w:rsidR="00FB171D" w:rsidRPr="00DF52DC">
        <w:rPr>
          <w:rFonts w:ascii="Arabic Transparent" w:hAnsi="Arabic Transparent" w:cs="Arabic Transparent" w:hint="cs"/>
          <w:sz w:val="28"/>
          <w:szCs w:val="28"/>
          <w:rtl/>
          <w:lang w:bidi="ar-JO"/>
        </w:rPr>
        <w:t xml:space="preserve"> وهذا ما أشار إليه أمير المؤمنين عمر </w:t>
      </w:r>
      <w:r w:rsidR="005224A0">
        <w:rPr>
          <w:rFonts w:ascii="AGA Arabesque" w:eastAsia="AGA Arabesque" w:hAnsi="AGA Arabesque" w:cs="AGA Arabesque"/>
          <w:sz w:val="28"/>
          <w:szCs w:val="28"/>
          <w:lang w:bidi="ar-JO"/>
        </w:rPr>
        <w:t></w:t>
      </w:r>
      <w:r w:rsidR="00FB171D" w:rsidRPr="00DF52DC">
        <w:rPr>
          <w:rFonts w:ascii="Arabic Transparent" w:hAnsi="Arabic Transparent" w:cs="Arabic Transparent" w:hint="cs"/>
          <w:sz w:val="28"/>
          <w:szCs w:val="28"/>
          <w:rtl/>
          <w:lang w:bidi="ar-JO"/>
        </w:rPr>
        <w:t xml:space="preserve"> في كتابه إلى أبي موسى الأشعري </w:t>
      </w:r>
      <w:r w:rsidR="005224A0">
        <w:rPr>
          <w:rFonts w:ascii="AGA Arabesque" w:eastAsia="AGA Arabesque" w:hAnsi="AGA Arabesque" w:cs="AGA Arabesque"/>
          <w:sz w:val="28"/>
          <w:szCs w:val="28"/>
          <w:lang w:bidi="ar-JO"/>
        </w:rPr>
        <w:t></w:t>
      </w:r>
      <w:r w:rsidR="00FB171D" w:rsidRPr="00DF52DC">
        <w:rPr>
          <w:rFonts w:ascii="Arabic Transparent" w:hAnsi="Arabic Transparent" w:cs="Arabic Transparent" w:hint="cs"/>
          <w:sz w:val="28"/>
          <w:szCs w:val="28"/>
          <w:rtl/>
          <w:lang w:bidi="ar-JO"/>
        </w:rPr>
        <w:t xml:space="preserve">، ما يؤكد أهمية </w:t>
      </w:r>
      <w:r w:rsidR="00DF52DC">
        <w:rPr>
          <w:rFonts w:ascii="Arabic Transparent" w:hAnsi="Arabic Transparent" w:cs="Arabic Transparent" w:hint="cs"/>
          <w:sz w:val="28"/>
          <w:szCs w:val="28"/>
          <w:rtl/>
          <w:lang w:bidi="ar-JO"/>
        </w:rPr>
        <w:t>ال</w:t>
      </w:r>
      <w:r w:rsidR="009C51DC">
        <w:rPr>
          <w:rFonts w:ascii="Arabic Transparent" w:hAnsi="Arabic Transparent" w:cs="Arabic Transparent" w:hint="cs"/>
          <w:sz w:val="28"/>
          <w:szCs w:val="28"/>
          <w:rtl/>
          <w:lang w:bidi="ar-JO"/>
        </w:rPr>
        <w:t>إ</w:t>
      </w:r>
      <w:r w:rsidR="00DF52DC">
        <w:rPr>
          <w:rFonts w:ascii="Arabic Transparent" w:hAnsi="Arabic Transparent" w:cs="Arabic Transparent" w:hint="cs"/>
          <w:sz w:val="28"/>
          <w:szCs w:val="28"/>
          <w:rtl/>
          <w:lang w:bidi="ar-JO"/>
        </w:rPr>
        <w:t>لمام</w:t>
      </w:r>
      <w:r w:rsidR="00FB171D" w:rsidRPr="00DF52DC">
        <w:rPr>
          <w:rFonts w:ascii="Arabic Transparent" w:hAnsi="Arabic Transparent" w:cs="Arabic Transparent" w:hint="cs"/>
          <w:sz w:val="28"/>
          <w:szCs w:val="28"/>
          <w:rtl/>
          <w:lang w:bidi="ar-JO"/>
        </w:rPr>
        <w:t xml:space="preserve"> </w:t>
      </w:r>
      <w:r w:rsidR="00FB171D" w:rsidRPr="00DF52DC">
        <w:rPr>
          <w:rFonts w:ascii="Arabic Transparent" w:hAnsi="Arabic Transparent" w:cs="Arabic Transparent" w:hint="cs"/>
          <w:sz w:val="28"/>
          <w:szCs w:val="28"/>
          <w:rtl/>
          <w:lang w:bidi="ar-JO"/>
        </w:rPr>
        <w:lastRenderedPageBreak/>
        <w:t xml:space="preserve">الشامل </w:t>
      </w:r>
      <w:r w:rsidR="00DF52DC">
        <w:rPr>
          <w:rFonts w:ascii="Arabic Transparent" w:hAnsi="Arabic Transparent" w:cs="Arabic Transparent" w:hint="cs"/>
          <w:sz w:val="28"/>
          <w:szCs w:val="28"/>
          <w:rtl/>
          <w:lang w:bidi="ar-JO"/>
        </w:rPr>
        <w:t>با</w:t>
      </w:r>
      <w:r w:rsidR="00FB171D" w:rsidRPr="00DF52DC">
        <w:rPr>
          <w:rFonts w:ascii="Arabic Transparent" w:hAnsi="Arabic Transparent" w:cs="Arabic Transparent" w:hint="cs"/>
          <w:sz w:val="28"/>
          <w:szCs w:val="28"/>
          <w:rtl/>
          <w:lang w:bidi="ar-JO"/>
        </w:rPr>
        <w:t>لواقعة قبل الحكم عليها</w:t>
      </w:r>
      <w:r w:rsidR="00226179" w:rsidRPr="00DF52DC">
        <w:rPr>
          <w:rFonts w:ascii="Arabic Transparent" w:hAnsi="Arabic Transparent" w:cs="Arabic Transparent" w:hint="cs"/>
          <w:sz w:val="28"/>
          <w:szCs w:val="28"/>
          <w:rtl/>
          <w:lang w:bidi="ar-JO"/>
        </w:rPr>
        <w:t>،</w:t>
      </w:r>
      <w:r w:rsidR="00FB171D" w:rsidRPr="00DF52DC">
        <w:rPr>
          <w:rFonts w:ascii="Arabic Transparent" w:hAnsi="Arabic Transparent" w:cs="Arabic Transparent" w:hint="cs"/>
          <w:sz w:val="28"/>
          <w:szCs w:val="28"/>
          <w:rtl/>
          <w:lang w:bidi="ar-JO"/>
        </w:rPr>
        <w:t xml:space="preserve"> حيث قال له: </w:t>
      </w:r>
      <w:r w:rsidR="00A13B75" w:rsidRPr="00A13B75">
        <w:rPr>
          <w:rFonts w:ascii="Arabic Transparent" w:hAnsi="Arabic Transparent" w:cs="Arabic Transparent"/>
          <w:sz w:val="28"/>
          <w:szCs w:val="28"/>
          <w:rtl/>
          <w:lang w:bidi="ar-JO"/>
        </w:rPr>
        <w:t>‌</w:t>
      </w:r>
      <w:r w:rsidR="00A13B75">
        <w:rPr>
          <w:rFonts w:ascii="Arabic Transparent" w:hAnsi="Arabic Transparent" w:cs="Arabic Transparent" w:hint="cs"/>
          <w:sz w:val="28"/>
          <w:szCs w:val="28"/>
          <w:rtl/>
          <w:lang w:bidi="ar-JO"/>
        </w:rPr>
        <w:t>"</w:t>
      </w:r>
      <w:r w:rsidR="00A13B75" w:rsidRPr="00A13B75">
        <w:rPr>
          <w:rFonts w:ascii="Arabic Transparent" w:hAnsi="Arabic Transparent" w:cs="Arabic Transparent"/>
          <w:sz w:val="28"/>
          <w:szCs w:val="28"/>
          <w:rtl/>
          <w:lang w:bidi="ar-JO"/>
        </w:rPr>
        <w:t xml:space="preserve">الفهم ‌الفهم ‌فيما ‌يختلج ‌في ‌صدرك مما لم يبلغك في </w:t>
      </w:r>
    </w:p>
    <w:p w14:paraId="3997AC4E" w14:textId="77777777" w:rsidR="00320299" w:rsidRDefault="00320299">
      <w:pPr>
        <w:bidi w:val="0"/>
        <w:spacing w:after="0" w:line="240" w:lineRule="auto"/>
        <w:rPr>
          <w:rFonts w:ascii="Arabic Transparent" w:hAnsi="Arabic Transparent" w:cs="Arabic Transparent"/>
          <w:sz w:val="28"/>
          <w:szCs w:val="28"/>
          <w:rtl/>
          <w:lang w:bidi="ar-JO"/>
        </w:rPr>
      </w:pPr>
      <w:r>
        <w:rPr>
          <w:rFonts w:ascii="Arabic Transparent" w:hAnsi="Arabic Transparent" w:cs="Arabic Transparent"/>
          <w:sz w:val="28"/>
          <w:szCs w:val="28"/>
          <w:rtl/>
          <w:lang w:bidi="ar-JO"/>
        </w:rPr>
        <w:br w:type="page"/>
      </w:r>
    </w:p>
    <w:p w14:paraId="1DA3F303" w14:textId="684852A7" w:rsidR="00E312F1" w:rsidRDefault="00A13B75" w:rsidP="00E312F1">
      <w:pPr>
        <w:spacing w:after="0" w:line="360" w:lineRule="auto"/>
        <w:jc w:val="both"/>
        <w:rPr>
          <w:rFonts w:ascii="Arabic Transparent" w:hAnsi="Arabic Transparent" w:cs="Arabic Transparent"/>
          <w:sz w:val="28"/>
          <w:szCs w:val="28"/>
          <w:rtl/>
          <w:lang w:bidi="ar-JO"/>
        </w:rPr>
      </w:pPr>
      <w:r w:rsidRPr="00A13B75">
        <w:rPr>
          <w:rFonts w:ascii="Arabic Transparent" w:hAnsi="Arabic Transparent" w:cs="Arabic Transparent"/>
          <w:sz w:val="28"/>
          <w:szCs w:val="28"/>
          <w:rtl/>
          <w:lang w:bidi="ar-JO"/>
        </w:rPr>
        <w:t>الكتاب أو السنة</w:t>
      </w:r>
      <w:r w:rsidR="005D7B91">
        <w:rPr>
          <w:rFonts w:ascii="Arabic Transparent" w:hAnsi="Arabic Transparent" w:cs="Arabic Transparent"/>
          <w:sz w:val="28"/>
          <w:szCs w:val="28"/>
          <w:rtl/>
          <w:lang w:bidi="ar-JO"/>
        </w:rPr>
        <w:t xml:space="preserve">، </w:t>
      </w:r>
      <w:r w:rsidRPr="00A13B75">
        <w:rPr>
          <w:rFonts w:ascii="Arabic Transparent" w:hAnsi="Arabic Transparent" w:cs="Arabic Transparent"/>
          <w:sz w:val="28"/>
          <w:szCs w:val="28"/>
          <w:rtl/>
          <w:lang w:bidi="ar-JO"/>
        </w:rPr>
        <w:t>اعرف الأمثال والأشباه ثم قس الأمور عند ذلك فاعمد إلى أحبها عند الله وأشبهها</w:t>
      </w:r>
      <w:r w:rsidR="00FB171D" w:rsidRPr="00DF52DC">
        <w:rPr>
          <w:rFonts w:ascii="Arabic Transparent" w:hAnsi="Arabic Transparent" w:cs="Arabic Transparent" w:hint="cs"/>
          <w:sz w:val="28"/>
          <w:szCs w:val="28"/>
          <w:rtl/>
          <w:lang w:bidi="ar-JO"/>
        </w:rPr>
        <w:t>"</w:t>
      </w:r>
      <w:r w:rsidR="00FB171D" w:rsidRPr="00DF52DC">
        <w:rPr>
          <w:rFonts w:ascii="Arabic Transparent" w:hAnsi="Arabic Transparent" w:cs="Arabic Transparent" w:hint="cs"/>
          <w:sz w:val="28"/>
          <w:szCs w:val="28"/>
          <w:vertAlign w:val="superscript"/>
          <w:rtl/>
          <w:lang w:bidi="ar-JO"/>
        </w:rPr>
        <w:t>(</w:t>
      </w:r>
      <w:r w:rsidR="00FB171D" w:rsidRPr="00DF52DC">
        <w:rPr>
          <w:rStyle w:val="FootnoteReference"/>
          <w:rFonts w:ascii="Arabic Transparent" w:hAnsi="Arabic Transparent" w:cs="Arabic Transparent" w:hint="cs"/>
          <w:sz w:val="28"/>
          <w:szCs w:val="28"/>
          <w:rtl/>
          <w:lang w:bidi="ar-JO"/>
        </w:rPr>
        <w:footnoteReference w:id="161"/>
      </w:r>
      <w:r w:rsidR="00FB171D" w:rsidRPr="00DF52DC">
        <w:rPr>
          <w:rFonts w:ascii="Arabic Transparent" w:hAnsi="Arabic Transparent" w:cs="Arabic Transparent" w:hint="cs"/>
          <w:sz w:val="28"/>
          <w:szCs w:val="28"/>
          <w:vertAlign w:val="superscript"/>
          <w:rtl/>
          <w:lang w:bidi="ar-JO"/>
        </w:rPr>
        <w:t>)</w:t>
      </w:r>
      <w:r w:rsidR="00E312F1">
        <w:rPr>
          <w:rFonts w:ascii="Arabic Transparent" w:hAnsi="Arabic Transparent" w:cs="Arabic Transparent" w:hint="cs"/>
          <w:sz w:val="28"/>
          <w:szCs w:val="28"/>
          <w:rtl/>
          <w:lang w:bidi="ar-JO"/>
        </w:rPr>
        <w:t>.</w:t>
      </w:r>
    </w:p>
    <w:p w14:paraId="147A876D" w14:textId="0B325BF4" w:rsidR="00603C18" w:rsidRPr="00DF52DC" w:rsidRDefault="006117FB" w:rsidP="006A1105">
      <w:pPr>
        <w:spacing w:after="0" w:line="360" w:lineRule="auto"/>
        <w:ind w:firstLine="332"/>
        <w:jc w:val="both"/>
        <w:rPr>
          <w:rFonts w:ascii="Arabic Transparent" w:hAnsi="Arabic Transparent" w:cs="Arabic Transparent"/>
          <w:sz w:val="28"/>
          <w:szCs w:val="28"/>
          <w:rtl/>
          <w:lang w:bidi="ar-JO"/>
        </w:rPr>
      </w:pPr>
      <w:r w:rsidRPr="00DF52DC">
        <w:rPr>
          <w:rFonts w:ascii="Arabic Transparent" w:hAnsi="Arabic Transparent" w:cs="Arabic Transparent" w:hint="cs"/>
          <w:sz w:val="28"/>
          <w:szCs w:val="28"/>
          <w:rtl/>
          <w:lang w:bidi="ar-JO"/>
        </w:rPr>
        <w:t>و</w:t>
      </w:r>
      <w:r w:rsidR="00052C8B" w:rsidRPr="00DF52DC">
        <w:rPr>
          <w:rFonts w:ascii="Arabic Transparent" w:hAnsi="Arabic Transparent" w:cs="Arabic Transparent" w:hint="cs"/>
          <w:sz w:val="28"/>
          <w:szCs w:val="28"/>
          <w:rtl/>
          <w:lang w:bidi="ar-JO"/>
        </w:rPr>
        <w:t xml:space="preserve">قال ابن السعدي: </w:t>
      </w:r>
      <w:r w:rsidRPr="00DF52DC">
        <w:rPr>
          <w:rFonts w:ascii="Arabic Transparent" w:hAnsi="Arabic Transparent" w:cs="Arabic Transparent" w:hint="cs"/>
          <w:sz w:val="28"/>
          <w:szCs w:val="28"/>
          <w:rtl/>
          <w:lang w:bidi="ar-JO"/>
        </w:rPr>
        <w:t>"</w:t>
      </w:r>
      <w:r w:rsidR="00052C8B" w:rsidRPr="00DF52DC">
        <w:rPr>
          <w:rFonts w:ascii="Arabic Transparent" w:hAnsi="Arabic Transparent" w:cs="Arabic Transparent" w:hint="cs"/>
          <w:sz w:val="28"/>
          <w:szCs w:val="28"/>
          <w:rtl/>
          <w:lang w:bidi="ar-JO"/>
        </w:rPr>
        <w:t>جميع المسائل التي تحدث في كلِّ وقت، سواءٌ حدثت أجناسها أو أفرادها يجب أن تُتَصَوَّر قبل كلِّ شيء، فإذا عُرِفت حقيقتها، وشُخِّصَت صفاتها، وتصوَّرها الإنسان تصوُّراً تامّاً بذاتها ومقدماتها ونتائجها، طُبِّقَت على نصوص الشرع وأصوله الكلية</w:t>
      </w:r>
      <w:r w:rsidRPr="00DF52DC">
        <w:rPr>
          <w:rFonts w:ascii="Arabic Transparent" w:hAnsi="Arabic Transparent" w:cs="Arabic Transparent" w:hint="cs"/>
          <w:sz w:val="28"/>
          <w:szCs w:val="28"/>
          <w:rtl/>
          <w:lang w:bidi="ar-JO"/>
        </w:rPr>
        <w:t>"</w:t>
      </w:r>
      <w:r w:rsidRPr="00DF52DC">
        <w:rPr>
          <w:rFonts w:ascii="Arabic Transparent" w:hAnsi="Arabic Transparent" w:cs="Arabic Transparent" w:hint="cs"/>
          <w:sz w:val="28"/>
          <w:szCs w:val="28"/>
          <w:vertAlign w:val="superscript"/>
          <w:rtl/>
          <w:lang w:bidi="ar-JO"/>
        </w:rPr>
        <w:t>(</w:t>
      </w:r>
      <w:r w:rsidRPr="00DF52DC">
        <w:rPr>
          <w:rStyle w:val="FootnoteReference"/>
          <w:rFonts w:ascii="Arabic Transparent" w:hAnsi="Arabic Transparent" w:cs="Arabic Transparent" w:hint="cs"/>
          <w:sz w:val="28"/>
          <w:szCs w:val="28"/>
          <w:rtl/>
          <w:lang w:bidi="ar-JO"/>
        </w:rPr>
        <w:footnoteReference w:id="162"/>
      </w:r>
      <w:r w:rsidRPr="00DF52DC">
        <w:rPr>
          <w:rFonts w:ascii="Arabic Transparent" w:hAnsi="Arabic Transparent" w:cs="Arabic Transparent" w:hint="cs"/>
          <w:sz w:val="28"/>
          <w:szCs w:val="28"/>
          <w:vertAlign w:val="superscript"/>
          <w:rtl/>
          <w:lang w:bidi="ar-JO"/>
        </w:rPr>
        <w:t>)</w:t>
      </w:r>
      <w:r w:rsidRPr="00DF52DC">
        <w:rPr>
          <w:rFonts w:ascii="Arabic Transparent" w:hAnsi="Arabic Transparent" w:cs="Arabic Transparent" w:hint="cs"/>
          <w:sz w:val="28"/>
          <w:szCs w:val="28"/>
          <w:rtl/>
          <w:lang w:bidi="ar-JO"/>
        </w:rPr>
        <w:t xml:space="preserve"> ولهذا كان أكثر أخطاء المجتهدين ترجع إلى عدم </w:t>
      </w:r>
      <w:r w:rsidR="00DF52DC">
        <w:rPr>
          <w:rFonts w:ascii="Arabic Transparent" w:hAnsi="Arabic Transparent" w:cs="Arabic Transparent" w:hint="cs"/>
          <w:sz w:val="28"/>
          <w:szCs w:val="28"/>
          <w:rtl/>
          <w:lang w:bidi="ar-JO"/>
        </w:rPr>
        <w:t>ال</w:t>
      </w:r>
      <w:r w:rsidR="009C51DC">
        <w:rPr>
          <w:rFonts w:ascii="Arabic Transparent" w:hAnsi="Arabic Transparent" w:cs="Arabic Transparent" w:hint="cs"/>
          <w:sz w:val="28"/>
          <w:szCs w:val="28"/>
          <w:rtl/>
          <w:lang w:bidi="ar-JO"/>
        </w:rPr>
        <w:t>إ</w:t>
      </w:r>
      <w:r w:rsidR="00DF52DC">
        <w:rPr>
          <w:rFonts w:ascii="Arabic Transparent" w:hAnsi="Arabic Transparent" w:cs="Arabic Transparent" w:hint="cs"/>
          <w:sz w:val="28"/>
          <w:szCs w:val="28"/>
          <w:rtl/>
          <w:lang w:bidi="ar-JO"/>
        </w:rPr>
        <w:t>لمام</w:t>
      </w:r>
      <w:r w:rsidRPr="00DF52DC">
        <w:rPr>
          <w:rFonts w:ascii="Arabic Transparent" w:hAnsi="Arabic Transparent" w:cs="Arabic Transparent" w:hint="cs"/>
          <w:sz w:val="28"/>
          <w:szCs w:val="28"/>
          <w:rtl/>
          <w:lang w:bidi="ar-JO"/>
        </w:rPr>
        <w:t xml:space="preserve"> الشامل لمحل الحكم الشرعي، قال الحجوي: "وأكثر أغلاط الفتوى في التصور"</w:t>
      </w:r>
      <w:r w:rsidRPr="00DF52DC">
        <w:rPr>
          <w:rFonts w:ascii="Arabic Transparent" w:hAnsi="Arabic Transparent" w:cs="Arabic Transparent" w:hint="cs"/>
          <w:sz w:val="28"/>
          <w:szCs w:val="28"/>
          <w:vertAlign w:val="superscript"/>
          <w:rtl/>
          <w:lang w:bidi="ar-JO"/>
        </w:rPr>
        <w:t>(</w:t>
      </w:r>
      <w:r w:rsidRPr="00DF52DC">
        <w:rPr>
          <w:rStyle w:val="FootnoteReference"/>
          <w:rFonts w:ascii="Arabic Transparent" w:hAnsi="Arabic Transparent" w:cs="Arabic Transparent" w:hint="cs"/>
          <w:sz w:val="28"/>
          <w:szCs w:val="28"/>
          <w:rtl/>
          <w:lang w:bidi="ar-JO"/>
        </w:rPr>
        <w:footnoteReference w:id="163"/>
      </w:r>
      <w:r w:rsidRPr="00DF52DC">
        <w:rPr>
          <w:rFonts w:ascii="Arabic Transparent" w:hAnsi="Arabic Transparent" w:cs="Arabic Transparent" w:hint="cs"/>
          <w:sz w:val="28"/>
          <w:szCs w:val="28"/>
          <w:vertAlign w:val="superscript"/>
          <w:rtl/>
          <w:lang w:bidi="ar-JO"/>
        </w:rPr>
        <w:t>)</w:t>
      </w:r>
      <w:r w:rsidR="000F4DC2">
        <w:rPr>
          <w:rFonts w:ascii="Arabic Transparent" w:hAnsi="Arabic Transparent" w:cs="Arabic Transparent" w:hint="cs"/>
          <w:sz w:val="28"/>
          <w:szCs w:val="28"/>
          <w:rtl/>
          <w:lang w:bidi="ar-JO"/>
        </w:rPr>
        <w:t>.</w:t>
      </w:r>
      <w:r w:rsidR="00D66EC6" w:rsidRPr="00DF52DC">
        <w:rPr>
          <w:rFonts w:ascii="Arabic Transparent" w:hAnsi="Arabic Transparent" w:cs="Arabic Transparent" w:hint="cs"/>
          <w:sz w:val="28"/>
          <w:szCs w:val="28"/>
          <w:rtl/>
          <w:lang w:bidi="ar-JO"/>
        </w:rPr>
        <w:t xml:space="preserve"> </w:t>
      </w:r>
    </w:p>
    <w:p w14:paraId="7D812461" w14:textId="6A996857" w:rsidR="00320299" w:rsidRDefault="005D7B91" w:rsidP="00D86106">
      <w:pPr>
        <w:spacing w:after="0" w:line="360" w:lineRule="auto"/>
        <w:contextualSpacing/>
        <w:jc w:val="both"/>
        <w:rPr>
          <w:rFonts w:ascii="Arabic Transparent" w:hAnsi="Arabic Transparent" w:cs="Arabic Transparent"/>
          <w:sz w:val="28"/>
          <w:szCs w:val="28"/>
          <w:rtl/>
          <w:lang w:bidi="ar-JO"/>
        </w:rPr>
      </w:pPr>
      <w:r>
        <w:rPr>
          <w:rFonts w:ascii="Arabic Transparent" w:hAnsi="Arabic Transparent" w:cs="Arabic Transparent" w:hint="cs"/>
          <w:sz w:val="28"/>
          <w:szCs w:val="28"/>
          <w:rtl/>
          <w:lang w:bidi="ar-JO"/>
        </w:rPr>
        <w:t xml:space="preserve">     </w:t>
      </w:r>
      <w:r w:rsidR="00D66EC6" w:rsidRPr="00DF52DC">
        <w:rPr>
          <w:rFonts w:ascii="Arabic Transparent" w:hAnsi="Arabic Transparent" w:cs="Arabic Transparent" w:hint="cs"/>
          <w:sz w:val="28"/>
          <w:szCs w:val="28"/>
          <w:rtl/>
          <w:lang w:bidi="ar-JO"/>
        </w:rPr>
        <w:t>ومن ضرورات ا</w:t>
      </w:r>
      <w:r w:rsidR="00DF52DC">
        <w:rPr>
          <w:rFonts w:ascii="Arabic Transparent" w:hAnsi="Arabic Transparent" w:cs="Arabic Transparent" w:hint="cs"/>
          <w:sz w:val="28"/>
          <w:szCs w:val="28"/>
          <w:rtl/>
          <w:lang w:bidi="ar-JO"/>
        </w:rPr>
        <w:t>ل</w:t>
      </w:r>
      <w:r w:rsidR="009C51DC">
        <w:rPr>
          <w:rFonts w:ascii="Arabic Transparent" w:hAnsi="Arabic Transparent" w:cs="Arabic Transparent" w:hint="cs"/>
          <w:sz w:val="28"/>
          <w:szCs w:val="28"/>
          <w:rtl/>
          <w:lang w:bidi="ar-JO"/>
        </w:rPr>
        <w:t>إ</w:t>
      </w:r>
      <w:r w:rsidR="00DF52DC">
        <w:rPr>
          <w:rFonts w:ascii="Arabic Transparent" w:hAnsi="Arabic Transparent" w:cs="Arabic Transparent" w:hint="cs"/>
          <w:sz w:val="28"/>
          <w:szCs w:val="28"/>
          <w:rtl/>
          <w:lang w:bidi="ar-JO"/>
        </w:rPr>
        <w:t>لمام</w:t>
      </w:r>
      <w:r w:rsidR="00D66EC6" w:rsidRPr="00DF52DC">
        <w:rPr>
          <w:rFonts w:ascii="Arabic Transparent" w:hAnsi="Arabic Transparent" w:cs="Arabic Transparent" w:hint="cs"/>
          <w:sz w:val="28"/>
          <w:szCs w:val="28"/>
          <w:rtl/>
          <w:lang w:bidi="ar-JO"/>
        </w:rPr>
        <w:t xml:space="preserve"> الشامل </w:t>
      </w:r>
      <w:r w:rsidR="00DF52DC">
        <w:rPr>
          <w:rFonts w:ascii="Arabic Transparent" w:hAnsi="Arabic Transparent" w:cs="Arabic Transparent" w:hint="cs"/>
          <w:sz w:val="28"/>
          <w:szCs w:val="28"/>
          <w:rtl/>
          <w:lang w:bidi="ar-JO"/>
        </w:rPr>
        <w:t>با</w:t>
      </w:r>
      <w:r w:rsidR="00D66EC6" w:rsidRPr="00DF52DC">
        <w:rPr>
          <w:rFonts w:ascii="Arabic Transparent" w:hAnsi="Arabic Transparent" w:cs="Arabic Transparent" w:hint="cs"/>
          <w:sz w:val="28"/>
          <w:szCs w:val="28"/>
          <w:rtl/>
          <w:lang w:bidi="ar-JO"/>
        </w:rPr>
        <w:t>لواقعة أن يستعين بأهل الخبرة والاختصاص من أجل التعرف على حقيقة الواقعة</w:t>
      </w:r>
      <w:r w:rsidR="000737EE" w:rsidRPr="00DF52DC">
        <w:rPr>
          <w:rFonts w:ascii="Arabic Transparent" w:hAnsi="Arabic Transparent" w:cs="Arabic Transparent" w:hint="cs"/>
          <w:sz w:val="28"/>
          <w:szCs w:val="28"/>
          <w:rtl/>
          <w:lang w:bidi="ar-JO"/>
        </w:rPr>
        <w:t xml:space="preserve">، فقد يكون لها تعلق بعلم </w:t>
      </w:r>
      <w:r w:rsidR="00320299">
        <w:rPr>
          <w:rFonts w:ascii="Arabic Transparent" w:hAnsi="Arabic Transparent" w:cs="Arabic Transparent" w:hint="cs"/>
          <w:sz w:val="28"/>
          <w:szCs w:val="28"/>
          <w:rtl/>
          <w:lang w:bidi="ar-JO"/>
        </w:rPr>
        <w:t>الحساب</w:t>
      </w:r>
      <w:r w:rsidR="00DF52DC">
        <w:rPr>
          <w:rFonts w:ascii="Arabic Transparent" w:hAnsi="Arabic Transparent" w:cs="Arabic Transparent" w:hint="cs"/>
          <w:sz w:val="28"/>
          <w:szCs w:val="28"/>
          <w:rtl/>
          <w:lang w:bidi="ar-JO"/>
        </w:rPr>
        <w:t>،</w:t>
      </w:r>
      <w:r w:rsidR="000737EE" w:rsidRPr="00DF52DC">
        <w:rPr>
          <w:rFonts w:ascii="Arabic Transparent" w:hAnsi="Arabic Transparent" w:cs="Arabic Transparent" w:hint="cs"/>
          <w:sz w:val="28"/>
          <w:szCs w:val="28"/>
          <w:rtl/>
          <w:lang w:bidi="ar-JO"/>
        </w:rPr>
        <w:t xml:space="preserve"> أو الاقتصاد</w:t>
      </w:r>
      <w:r w:rsidR="00DF52DC">
        <w:rPr>
          <w:rFonts w:ascii="Arabic Transparent" w:hAnsi="Arabic Transparent" w:cs="Arabic Transparent" w:hint="cs"/>
          <w:sz w:val="28"/>
          <w:szCs w:val="28"/>
          <w:rtl/>
          <w:lang w:bidi="ar-JO"/>
        </w:rPr>
        <w:t>،</w:t>
      </w:r>
      <w:r w:rsidR="000737EE" w:rsidRPr="00DF52DC">
        <w:rPr>
          <w:rFonts w:ascii="Arabic Transparent" w:hAnsi="Arabic Transparent" w:cs="Arabic Transparent" w:hint="cs"/>
          <w:sz w:val="28"/>
          <w:szCs w:val="28"/>
          <w:rtl/>
          <w:lang w:bidi="ar-JO"/>
        </w:rPr>
        <w:t xml:space="preserve"> أو الفلك</w:t>
      </w:r>
      <w:r w:rsidR="00DF52DC">
        <w:rPr>
          <w:rFonts w:ascii="Arabic Transparent" w:hAnsi="Arabic Transparent" w:cs="Arabic Transparent" w:hint="cs"/>
          <w:sz w:val="28"/>
          <w:szCs w:val="28"/>
          <w:rtl/>
          <w:lang w:bidi="ar-JO"/>
        </w:rPr>
        <w:t>،</w:t>
      </w:r>
      <w:r w:rsidR="000737EE" w:rsidRPr="00DF52DC">
        <w:rPr>
          <w:rFonts w:ascii="Arabic Transparent" w:hAnsi="Arabic Transparent" w:cs="Arabic Transparent" w:hint="cs"/>
          <w:sz w:val="28"/>
          <w:szCs w:val="28"/>
          <w:rtl/>
          <w:lang w:bidi="ar-JO"/>
        </w:rPr>
        <w:t xml:space="preserve"> أو الإعلام</w:t>
      </w:r>
      <w:r w:rsidR="00DF52DC">
        <w:rPr>
          <w:rFonts w:ascii="Arabic Transparent" w:hAnsi="Arabic Transparent" w:cs="Arabic Transparent" w:hint="cs"/>
          <w:sz w:val="28"/>
          <w:szCs w:val="28"/>
          <w:rtl/>
          <w:lang w:bidi="ar-JO"/>
        </w:rPr>
        <w:t>،</w:t>
      </w:r>
      <w:r w:rsidR="000737EE" w:rsidRPr="00DF52DC">
        <w:rPr>
          <w:rFonts w:ascii="Arabic Transparent" w:hAnsi="Arabic Transparent" w:cs="Arabic Transparent" w:hint="cs"/>
          <w:sz w:val="28"/>
          <w:szCs w:val="28"/>
          <w:rtl/>
          <w:lang w:bidi="ar-JO"/>
        </w:rPr>
        <w:t xml:space="preserve"> أو غير ذلك من العلوم الأخرى</w:t>
      </w:r>
      <w:r w:rsidR="00DF52DC">
        <w:rPr>
          <w:rFonts w:ascii="Arabic Transparent" w:hAnsi="Arabic Transparent" w:cs="Arabic Transparent" w:hint="cs"/>
          <w:sz w:val="28"/>
          <w:szCs w:val="28"/>
          <w:rtl/>
          <w:lang w:bidi="ar-JO"/>
        </w:rPr>
        <w:t>،</w:t>
      </w:r>
      <w:r w:rsidR="000737EE" w:rsidRPr="00DF52DC">
        <w:rPr>
          <w:rFonts w:ascii="Arabic Transparent" w:hAnsi="Arabic Transparent" w:cs="Arabic Transparent" w:hint="cs"/>
          <w:sz w:val="28"/>
          <w:szCs w:val="28"/>
          <w:rtl/>
          <w:lang w:bidi="ar-JO"/>
        </w:rPr>
        <w:t xml:space="preserve"> </w:t>
      </w:r>
      <w:r w:rsidR="00D66EC6" w:rsidRPr="00DF52DC">
        <w:rPr>
          <w:rFonts w:ascii="Arabic Transparent" w:hAnsi="Arabic Transparent" w:cs="Arabic Transparent" w:hint="cs"/>
          <w:sz w:val="28"/>
          <w:szCs w:val="28"/>
          <w:rtl/>
          <w:lang w:bidi="ar-JO"/>
        </w:rPr>
        <w:t>وأن لا يغتر</w:t>
      </w:r>
      <w:r w:rsidR="000737EE" w:rsidRPr="00DF52DC">
        <w:rPr>
          <w:rFonts w:ascii="Arabic Transparent" w:hAnsi="Arabic Transparent" w:cs="Arabic Transparent" w:hint="cs"/>
          <w:sz w:val="28"/>
          <w:szCs w:val="28"/>
          <w:rtl/>
          <w:lang w:bidi="ar-JO"/>
        </w:rPr>
        <w:t>ّ</w:t>
      </w:r>
      <w:r w:rsidR="00D66EC6" w:rsidRPr="00DF52DC">
        <w:rPr>
          <w:rFonts w:ascii="Arabic Transparent" w:hAnsi="Arabic Transparent" w:cs="Arabic Transparent" w:hint="cs"/>
          <w:sz w:val="28"/>
          <w:szCs w:val="28"/>
          <w:rtl/>
          <w:lang w:bidi="ar-JO"/>
        </w:rPr>
        <w:t xml:space="preserve"> بمسمياتها الخادعة وقوالبها </w:t>
      </w:r>
      <w:r w:rsidR="00D436B3" w:rsidRPr="00DF52DC">
        <w:rPr>
          <w:rFonts w:ascii="Arabic Transparent" w:hAnsi="Arabic Transparent" w:cs="Arabic Transparent" w:hint="cs"/>
          <w:sz w:val="28"/>
          <w:szCs w:val="28"/>
          <w:rtl/>
          <w:lang w:bidi="ar-JO"/>
        </w:rPr>
        <w:t>المزخرفة</w:t>
      </w:r>
      <w:r w:rsidR="00D66EC6" w:rsidRPr="00DF52DC">
        <w:rPr>
          <w:rFonts w:ascii="Arabic Transparent" w:hAnsi="Arabic Transparent" w:cs="Arabic Transparent" w:hint="cs"/>
          <w:sz w:val="28"/>
          <w:szCs w:val="28"/>
          <w:rtl/>
          <w:lang w:bidi="ar-JO"/>
        </w:rPr>
        <w:t xml:space="preserve">، </w:t>
      </w:r>
      <w:r w:rsidR="00DF2979">
        <w:rPr>
          <w:rFonts w:ascii="Arabic Transparent" w:hAnsi="Arabic Transparent" w:cs="Arabic Transparent" w:hint="cs"/>
          <w:sz w:val="28"/>
          <w:szCs w:val="28"/>
          <w:rtl/>
          <w:lang w:bidi="ar-JO"/>
        </w:rPr>
        <w:t xml:space="preserve">حيث </w:t>
      </w:r>
      <w:r w:rsidR="00320299">
        <w:rPr>
          <w:rFonts w:ascii="Arabic Transparent" w:hAnsi="Arabic Transparent" w:cs="Arabic Transparent" w:hint="cs"/>
          <w:sz w:val="28"/>
          <w:szCs w:val="28"/>
          <w:rtl/>
          <w:lang w:bidi="ar-JO"/>
        </w:rPr>
        <w:t>"</w:t>
      </w:r>
      <w:r w:rsidR="00DF2979">
        <w:rPr>
          <w:rFonts w:ascii="Arabic Transparent" w:hAnsi="Arabic Transparent" w:cs="Arabic Transparent" w:hint="cs"/>
          <w:sz w:val="28"/>
          <w:szCs w:val="28"/>
          <w:rtl/>
          <w:lang w:bidi="ar-JO"/>
        </w:rPr>
        <w:t>إنَّ</w:t>
      </w:r>
      <w:r w:rsidR="00D66EC6" w:rsidRPr="00DF52DC">
        <w:rPr>
          <w:rFonts w:ascii="Arabic Transparent" w:hAnsi="Arabic Transparent" w:cs="Arabic Transparent" w:hint="cs"/>
          <w:sz w:val="28"/>
          <w:szCs w:val="28"/>
          <w:rtl/>
          <w:lang w:bidi="ar-JO"/>
        </w:rPr>
        <w:t xml:space="preserve"> الأحكام الشرعية </w:t>
      </w:r>
      <w:r w:rsidR="00D66EC6" w:rsidRPr="00D36947">
        <w:rPr>
          <w:rFonts w:ascii="Arabic Transparent" w:hAnsi="Arabic Transparent" w:cs="Arabic Transparent" w:hint="cs"/>
          <w:sz w:val="28"/>
          <w:szCs w:val="28"/>
          <w:rtl/>
          <w:lang w:bidi="ar-JO"/>
        </w:rPr>
        <w:t xml:space="preserve">تتعلق </w:t>
      </w:r>
      <w:r w:rsidR="00320299" w:rsidRPr="00320299">
        <w:rPr>
          <w:rFonts w:ascii="Arabic Transparent" w:hAnsi="Arabic Transparent" w:cs="Arabic Transparent"/>
          <w:sz w:val="28"/>
          <w:szCs w:val="28"/>
          <w:rtl/>
          <w:lang w:bidi="ar-JO"/>
        </w:rPr>
        <w:t>المقاصد والمعاني لا الألفاظ والمباني</w:t>
      </w:r>
      <w:r w:rsidR="00320299" w:rsidRPr="00320299">
        <w:rPr>
          <w:rFonts w:ascii="Arabic Transparent" w:hAnsi="Arabic Transparent" w:cs="Arabic Transparent" w:hint="cs"/>
          <w:sz w:val="28"/>
          <w:szCs w:val="28"/>
          <w:rtl/>
          <w:lang w:bidi="ar-JO"/>
        </w:rPr>
        <w:t>"</w:t>
      </w:r>
      <w:r w:rsidR="00D436B3" w:rsidRPr="00D36947">
        <w:rPr>
          <w:rFonts w:ascii="Arabic Transparent" w:hAnsi="Arabic Transparent" w:cs="Arabic Transparent" w:hint="cs"/>
          <w:sz w:val="28"/>
          <w:szCs w:val="28"/>
          <w:vertAlign w:val="superscript"/>
          <w:rtl/>
          <w:lang w:bidi="ar-JO"/>
        </w:rPr>
        <w:t>(</w:t>
      </w:r>
      <w:r w:rsidR="00D436B3" w:rsidRPr="00D36947">
        <w:rPr>
          <w:rStyle w:val="FootnoteReference"/>
          <w:rFonts w:ascii="Arabic Transparent" w:hAnsi="Arabic Transparent" w:cs="Arabic Transparent" w:hint="cs"/>
          <w:sz w:val="28"/>
          <w:szCs w:val="28"/>
          <w:rtl/>
          <w:lang w:bidi="ar-JO"/>
        </w:rPr>
        <w:footnoteReference w:id="164"/>
      </w:r>
      <w:r w:rsidR="00D436B3" w:rsidRPr="00D36947">
        <w:rPr>
          <w:rFonts w:ascii="Arabic Transparent" w:hAnsi="Arabic Transparent" w:cs="Arabic Transparent" w:hint="cs"/>
          <w:sz w:val="28"/>
          <w:szCs w:val="28"/>
          <w:vertAlign w:val="superscript"/>
          <w:rtl/>
          <w:lang w:bidi="ar-JO"/>
        </w:rPr>
        <w:t>)</w:t>
      </w:r>
      <w:r w:rsidR="00D66EC6" w:rsidRPr="00D36947">
        <w:rPr>
          <w:rFonts w:ascii="Arabic Transparent" w:hAnsi="Arabic Transparent" w:cs="Arabic Transparent" w:hint="cs"/>
          <w:sz w:val="28"/>
          <w:szCs w:val="28"/>
          <w:rtl/>
          <w:lang w:bidi="ar-JO"/>
        </w:rPr>
        <w:t>، حيث قال ابن القيم: "وتارة تورد عليه المسألة الباطلة في دين الله في قالبٍ مزخرفٍ ولفظ حسن، فيجيب بغير الصواب فيبادر إلى تسويغها وهي أبطل الباطل"</w:t>
      </w:r>
      <w:r w:rsidR="00D66EC6" w:rsidRPr="00D36947">
        <w:rPr>
          <w:rFonts w:ascii="Arabic Transparent" w:hAnsi="Arabic Transparent" w:cs="Arabic Transparent" w:hint="cs"/>
          <w:sz w:val="28"/>
          <w:szCs w:val="28"/>
          <w:vertAlign w:val="superscript"/>
          <w:rtl/>
          <w:lang w:bidi="ar-JO"/>
        </w:rPr>
        <w:t>(</w:t>
      </w:r>
      <w:r w:rsidR="00D66EC6" w:rsidRPr="00D36947">
        <w:rPr>
          <w:rStyle w:val="FootnoteReference"/>
          <w:rFonts w:ascii="Arabic Transparent" w:hAnsi="Arabic Transparent" w:cs="Arabic Transparent" w:hint="cs"/>
          <w:sz w:val="28"/>
          <w:szCs w:val="28"/>
          <w:rtl/>
          <w:lang w:bidi="ar-JO"/>
        </w:rPr>
        <w:footnoteReference w:id="165"/>
      </w:r>
      <w:r w:rsidR="00D66EC6" w:rsidRPr="00D36947">
        <w:rPr>
          <w:rFonts w:ascii="Arabic Transparent" w:hAnsi="Arabic Transparent" w:cs="Arabic Transparent" w:hint="cs"/>
          <w:sz w:val="28"/>
          <w:szCs w:val="28"/>
          <w:vertAlign w:val="superscript"/>
          <w:rtl/>
          <w:lang w:bidi="ar-JO"/>
        </w:rPr>
        <w:t>)</w:t>
      </w:r>
      <w:r w:rsidR="00D66EC6" w:rsidRPr="00D36947">
        <w:rPr>
          <w:rFonts w:ascii="Arabic Transparent" w:hAnsi="Arabic Transparent" w:cs="Arabic Transparent" w:hint="cs"/>
          <w:sz w:val="28"/>
          <w:szCs w:val="28"/>
          <w:rtl/>
          <w:lang w:bidi="ar-JO"/>
        </w:rPr>
        <w:t xml:space="preserve"> والعكس صحيح أيضاً </w:t>
      </w:r>
      <w:r w:rsidR="00D436B3" w:rsidRPr="00D36947">
        <w:rPr>
          <w:rFonts w:ascii="Arabic Transparent" w:hAnsi="Arabic Transparent" w:cs="Arabic Transparent" w:hint="cs"/>
          <w:sz w:val="28"/>
          <w:szCs w:val="28"/>
          <w:rtl/>
          <w:lang w:bidi="ar-JO"/>
        </w:rPr>
        <w:t>وهي كانت منتشرة بكثرة عند بداية ظهور التلفاز</w:t>
      </w:r>
      <w:r w:rsidR="006A1105">
        <w:rPr>
          <w:rFonts w:ascii="Arabic Transparent" w:hAnsi="Arabic Transparent" w:cs="Arabic Transparent" w:hint="cs"/>
          <w:sz w:val="28"/>
          <w:szCs w:val="28"/>
          <w:rtl/>
          <w:lang w:bidi="ar-JO"/>
        </w:rPr>
        <w:t>،</w:t>
      </w:r>
      <w:r w:rsidR="00D436B3" w:rsidRPr="00D36947">
        <w:rPr>
          <w:rFonts w:ascii="Arabic Transparent" w:hAnsi="Arabic Transparent" w:cs="Arabic Transparent" w:hint="cs"/>
          <w:sz w:val="28"/>
          <w:szCs w:val="28"/>
          <w:rtl/>
          <w:lang w:bidi="ar-JO"/>
        </w:rPr>
        <w:t xml:space="preserve"> والدخان</w:t>
      </w:r>
      <w:r w:rsidR="006A1105">
        <w:rPr>
          <w:rFonts w:ascii="Arabic Transparent" w:hAnsi="Arabic Transparent" w:cs="Arabic Transparent" w:hint="cs"/>
          <w:sz w:val="28"/>
          <w:szCs w:val="28"/>
          <w:rtl/>
          <w:lang w:bidi="ar-JO"/>
        </w:rPr>
        <w:t>،</w:t>
      </w:r>
      <w:r w:rsidR="00D436B3" w:rsidRPr="00D36947">
        <w:rPr>
          <w:rFonts w:ascii="Arabic Transparent" w:hAnsi="Arabic Transparent" w:cs="Arabic Transparent" w:hint="cs"/>
          <w:sz w:val="28"/>
          <w:szCs w:val="28"/>
          <w:rtl/>
          <w:lang w:bidi="ar-JO"/>
        </w:rPr>
        <w:t xml:space="preserve"> وشراب الشعير</w:t>
      </w:r>
      <w:r w:rsidR="006A1105">
        <w:rPr>
          <w:rFonts w:ascii="Arabic Transparent" w:hAnsi="Arabic Transparent" w:cs="Arabic Transparent" w:hint="cs"/>
          <w:sz w:val="28"/>
          <w:szCs w:val="28"/>
          <w:rtl/>
          <w:lang w:bidi="ar-JO"/>
        </w:rPr>
        <w:t>،</w:t>
      </w:r>
      <w:r w:rsidR="00D436B3" w:rsidRPr="00D36947">
        <w:rPr>
          <w:rFonts w:ascii="Arabic Transparent" w:hAnsi="Arabic Transparent" w:cs="Arabic Transparent" w:hint="cs"/>
          <w:sz w:val="28"/>
          <w:szCs w:val="28"/>
          <w:rtl/>
          <w:lang w:bidi="ar-JO"/>
        </w:rPr>
        <w:t xml:space="preserve"> والفوائد البنكية وغيرها</w:t>
      </w:r>
      <w:r w:rsidR="006A1105">
        <w:rPr>
          <w:rFonts w:ascii="Arabic Transparent" w:hAnsi="Arabic Transparent" w:cs="Arabic Transparent" w:hint="cs"/>
          <w:sz w:val="28"/>
          <w:szCs w:val="28"/>
          <w:rtl/>
          <w:lang w:bidi="ar-JO"/>
        </w:rPr>
        <w:t>،</w:t>
      </w:r>
      <w:r w:rsidR="00D436B3" w:rsidRPr="00D36947">
        <w:rPr>
          <w:rFonts w:ascii="Arabic Transparent" w:hAnsi="Arabic Transparent" w:cs="Arabic Transparent" w:hint="cs"/>
          <w:sz w:val="28"/>
          <w:szCs w:val="28"/>
          <w:rtl/>
          <w:lang w:bidi="ar-JO"/>
        </w:rPr>
        <w:t xml:space="preserve"> فتحدث فيها بعض العلماء </w:t>
      </w:r>
      <w:r w:rsidR="00D86106" w:rsidRPr="00D36947">
        <w:rPr>
          <w:rFonts w:ascii="Arabic Transparent" w:hAnsi="Arabic Transparent" w:cs="Arabic Transparent" w:hint="cs"/>
          <w:sz w:val="28"/>
          <w:szCs w:val="28"/>
          <w:rtl/>
          <w:lang w:bidi="ar-JO"/>
        </w:rPr>
        <w:t xml:space="preserve">وأعلن حكماً شرعياً </w:t>
      </w:r>
      <w:r w:rsidR="00D436B3" w:rsidRPr="00D36947">
        <w:rPr>
          <w:rFonts w:ascii="Arabic Transparent" w:hAnsi="Arabic Transparent" w:cs="Arabic Transparent" w:hint="cs"/>
          <w:sz w:val="28"/>
          <w:szCs w:val="28"/>
          <w:rtl/>
          <w:lang w:bidi="ar-JO"/>
        </w:rPr>
        <w:t>من غير أن يدرك حقيقتها وماهيتها ثم عاد عن الفتوى بعد إدراك صورتها الشاملة.</w:t>
      </w:r>
    </w:p>
    <w:p w14:paraId="3DA852A6" w14:textId="77777777" w:rsidR="00320299" w:rsidRDefault="00320299">
      <w:pPr>
        <w:bidi w:val="0"/>
        <w:spacing w:after="0" w:line="240" w:lineRule="auto"/>
        <w:rPr>
          <w:rFonts w:ascii="Arabic Transparent" w:hAnsi="Arabic Transparent" w:cs="Arabic Transparent"/>
          <w:sz w:val="28"/>
          <w:szCs w:val="28"/>
          <w:rtl/>
          <w:lang w:bidi="ar-JO"/>
        </w:rPr>
      </w:pPr>
      <w:r>
        <w:rPr>
          <w:rFonts w:ascii="Arabic Transparent" w:hAnsi="Arabic Transparent" w:cs="Arabic Transparent"/>
          <w:sz w:val="28"/>
          <w:szCs w:val="28"/>
          <w:rtl/>
          <w:lang w:bidi="ar-JO"/>
        </w:rPr>
        <w:br w:type="page"/>
      </w:r>
    </w:p>
    <w:p w14:paraId="1E0F585E" w14:textId="7265E5FB" w:rsidR="00E312F1" w:rsidRDefault="005D7B91" w:rsidP="00D8093F">
      <w:pPr>
        <w:spacing w:after="0" w:line="360" w:lineRule="auto"/>
        <w:contextualSpacing/>
        <w:jc w:val="both"/>
        <w:rPr>
          <w:rFonts w:ascii="Arabic Transparent" w:hAnsi="Arabic Transparent" w:cs="Arabic Transparent"/>
          <w:sz w:val="28"/>
          <w:szCs w:val="28"/>
          <w:rtl/>
          <w:lang w:bidi="ar-JO"/>
        </w:rPr>
      </w:pPr>
      <w:r>
        <w:rPr>
          <w:rFonts w:ascii="Arabic Transparent" w:hAnsi="Arabic Transparent" w:cs="Arabic Transparent" w:hint="cs"/>
          <w:sz w:val="28"/>
          <w:szCs w:val="28"/>
          <w:rtl/>
          <w:lang w:bidi="ar-JO"/>
        </w:rPr>
        <w:t xml:space="preserve">     </w:t>
      </w:r>
      <w:r w:rsidR="00904720" w:rsidRPr="00D36947">
        <w:rPr>
          <w:rFonts w:ascii="Arabic Transparent" w:hAnsi="Arabic Transparent" w:cs="Arabic Transparent" w:hint="cs"/>
          <w:sz w:val="28"/>
          <w:szCs w:val="28"/>
          <w:rtl/>
          <w:lang w:bidi="ar-JO"/>
        </w:rPr>
        <w:t>وقد اعتبر مجمع الفقه الإسلامي في دورته السابعة عشر أن من شروط الإفتاء في القضايا المعاصرة، "الرجوع إلى أهل الخبرة في التخصصات المختلفة لتصور المسألة المسؤول عنها، كالمسائل الطبية والاقتصادية ونحوها"</w:t>
      </w:r>
      <w:r w:rsidR="00904720" w:rsidRPr="00D36947">
        <w:rPr>
          <w:rFonts w:ascii="Arabic Transparent" w:hAnsi="Arabic Transparent" w:cs="Arabic Transparent" w:hint="cs"/>
          <w:sz w:val="28"/>
          <w:szCs w:val="28"/>
          <w:vertAlign w:val="superscript"/>
          <w:rtl/>
          <w:lang w:bidi="ar-JO"/>
        </w:rPr>
        <w:t>(</w:t>
      </w:r>
      <w:r w:rsidR="00904720" w:rsidRPr="00D36947">
        <w:rPr>
          <w:rStyle w:val="FootnoteReference"/>
          <w:rFonts w:ascii="Arabic Transparent" w:hAnsi="Arabic Transparent" w:cs="Arabic Transparent" w:hint="cs"/>
          <w:sz w:val="28"/>
          <w:szCs w:val="28"/>
          <w:rtl/>
          <w:lang w:bidi="ar-JO"/>
        </w:rPr>
        <w:footnoteReference w:id="166"/>
      </w:r>
      <w:r w:rsidR="00904720" w:rsidRPr="00D36947">
        <w:rPr>
          <w:rFonts w:ascii="Arabic Transparent" w:hAnsi="Arabic Transparent" w:cs="Arabic Transparent" w:hint="cs"/>
          <w:sz w:val="28"/>
          <w:szCs w:val="28"/>
          <w:vertAlign w:val="superscript"/>
          <w:rtl/>
          <w:lang w:bidi="ar-JO"/>
        </w:rPr>
        <w:t>)</w:t>
      </w:r>
      <w:r w:rsidR="00F93860" w:rsidRPr="00D36947">
        <w:rPr>
          <w:rFonts w:ascii="Arabic Transparent" w:hAnsi="Arabic Transparent" w:cs="Arabic Transparent" w:hint="cs"/>
          <w:sz w:val="28"/>
          <w:szCs w:val="28"/>
          <w:rtl/>
          <w:lang w:bidi="ar-JO"/>
        </w:rPr>
        <w:t xml:space="preserve"> وبالمحصلة إذا لم يحصل المجتهد على تصور شامل للواقعة لزمه شرعاً أن يتوقف عن إصدار الحكم فيها، ولا سيما في الوقائع التي تحيط بها ملابسات وظروف كثيرة لم يسبق للمجتهد الاطلاع عليها، مما يحمي نفسه من تبعات الخطأ في الفتوى في الدنيا والآخرة.</w:t>
      </w:r>
    </w:p>
    <w:p w14:paraId="789DC4E9" w14:textId="77777777" w:rsidR="00EE1CAB" w:rsidRDefault="008770F2" w:rsidP="00D86106">
      <w:pPr>
        <w:spacing w:after="0" w:line="360" w:lineRule="auto"/>
        <w:contextualSpacing/>
        <w:jc w:val="both"/>
        <w:rPr>
          <w:rFonts w:ascii="Arabic Transparent" w:hAnsi="Arabic Transparent" w:cs="Arabic Transparent"/>
          <w:sz w:val="28"/>
          <w:szCs w:val="28"/>
          <w:rtl/>
          <w:lang w:bidi="ar-JO"/>
        </w:rPr>
      </w:pPr>
      <w:r>
        <w:rPr>
          <w:rFonts w:ascii="Arabic Transparent" w:hAnsi="Arabic Transparent" w:cs="Arabic Transparent" w:hint="cs"/>
          <w:b/>
          <w:bCs/>
          <w:sz w:val="28"/>
          <w:szCs w:val="28"/>
          <w:rtl/>
          <w:lang w:bidi="ar-JO"/>
        </w:rPr>
        <w:t>الفرع الثاني</w:t>
      </w:r>
      <w:r w:rsidR="002D6134" w:rsidRPr="00D36947">
        <w:rPr>
          <w:rFonts w:ascii="Arabic Transparent" w:hAnsi="Arabic Transparent" w:cs="Arabic Transparent" w:hint="cs"/>
          <w:b/>
          <w:bCs/>
          <w:sz w:val="28"/>
          <w:szCs w:val="28"/>
          <w:rtl/>
          <w:lang w:bidi="ar-JO"/>
        </w:rPr>
        <w:t>:</w:t>
      </w:r>
      <w:r w:rsidR="000C523A" w:rsidRPr="00D36947">
        <w:rPr>
          <w:rFonts w:ascii="Arabic Transparent" w:hAnsi="Arabic Transparent" w:cs="Arabic Transparent" w:hint="cs"/>
          <w:sz w:val="28"/>
          <w:szCs w:val="28"/>
          <w:rtl/>
          <w:lang w:bidi="ar-JO"/>
        </w:rPr>
        <w:t xml:space="preserve"> </w:t>
      </w:r>
      <w:r w:rsidR="000C523A" w:rsidRPr="00BF6AB8">
        <w:rPr>
          <w:rFonts w:ascii="Arabic Transparent" w:hAnsi="Arabic Transparent" w:cs="Arabic Transparent" w:hint="cs"/>
          <w:b/>
          <w:bCs/>
          <w:sz w:val="28"/>
          <w:szCs w:val="28"/>
          <w:rtl/>
          <w:lang w:bidi="ar-JO"/>
        </w:rPr>
        <w:t>مراعاة خصوصية المناط</w:t>
      </w:r>
      <w:r w:rsidR="00BF6AB8">
        <w:rPr>
          <w:rFonts w:ascii="Arabic Transparent" w:hAnsi="Arabic Transparent" w:cs="Arabic Transparent" w:hint="cs"/>
          <w:b/>
          <w:bCs/>
          <w:sz w:val="28"/>
          <w:szCs w:val="28"/>
          <w:rtl/>
          <w:lang w:bidi="ar-JO"/>
        </w:rPr>
        <w:t>:</w:t>
      </w:r>
      <w:r w:rsidR="000C523A" w:rsidRPr="00D36947">
        <w:rPr>
          <w:rFonts w:ascii="Arabic Transparent" w:hAnsi="Arabic Transparent" w:cs="Arabic Transparent" w:hint="cs"/>
          <w:sz w:val="28"/>
          <w:szCs w:val="28"/>
          <w:rtl/>
          <w:lang w:bidi="ar-JO"/>
        </w:rPr>
        <w:t xml:space="preserve"> </w:t>
      </w:r>
    </w:p>
    <w:p w14:paraId="6CEE3573" w14:textId="230307A6" w:rsidR="00F93860" w:rsidRPr="00AE6F49" w:rsidRDefault="005D7B91" w:rsidP="00D86106">
      <w:pPr>
        <w:spacing w:after="0" w:line="360" w:lineRule="auto"/>
        <w:contextualSpacing/>
        <w:jc w:val="both"/>
        <w:rPr>
          <w:rFonts w:ascii="Arabic Transparent" w:hAnsi="Arabic Transparent" w:cs="Arabic Transparent"/>
          <w:sz w:val="28"/>
          <w:szCs w:val="28"/>
          <w:rtl/>
          <w:lang w:bidi="ar-JO"/>
        </w:rPr>
      </w:pPr>
      <w:r>
        <w:rPr>
          <w:rFonts w:ascii="Arabic Transparent" w:hAnsi="Arabic Transparent" w:cs="Arabic Transparent" w:hint="cs"/>
          <w:sz w:val="28"/>
          <w:szCs w:val="28"/>
          <w:rtl/>
          <w:lang w:bidi="ar-JO"/>
        </w:rPr>
        <w:t xml:space="preserve">     </w:t>
      </w:r>
      <w:r w:rsidR="000C523A" w:rsidRPr="00D36947">
        <w:rPr>
          <w:rFonts w:ascii="Arabic Transparent" w:hAnsi="Arabic Transparent" w:cs="Arabic Transparent" w:hint="cs"/>
          <w:sz w:val="28"/>
          <w:szCs w:val="28"/>
          <w:rtl/>
          <w:lang w:bidi="ar-JO"/>
        </w:rPr>
        <w:t xml:space="preserve">من </w:t>
      </w:r>
      <w:r w:rsidR="009C51DC">
        <w:rPr>
          <w:rFonts w:ascii="Arabic Transparent" w:hAnsi="Arabic Transparent" w:cs="Arabic Transparent" w:hint="cs"/>
          <w:sz w:val="28"/>
          <w:szCs w:val="28"/>
          <w:rtl/>
          <w:lang w:bidi="ar-JO"/>
        </w:rPr>
        <w:t>جهة</w:t>
      </w:r>
      <w:r w:rsidR="000C523A" w:rsidRPr="00D36947">
        <w:rPr>
          <w:rFonts w:ascii="Arabic Transparent" w:hAnsi="Arabic Transparent" w:cs="Arabic Transparent" w:hint="cs"/>
          <w:sz w:val="28"/>
          <w:szCs w:val="28"/>
          <w:rtl/>
          <w:lang w:bidi="ar-JO"/>
        </w:rPr>
        <w:t xml:space="preserve"> اختلاف المكان والزمان</w:t>
      </w:r>
      <w:r w:rsidR="00944465" w:rsidRPr="00D36947">
        <w:rPr>
          <w:rFonts w:ascii="Arabic Transparent" w:hAnsi="Arabic Transparent" w:cs="Arabic Transparent" w:hint="cs"/>
          <w:sz w:val="28"/>
          <w:szCs w:val="28"/>
          <w:rtl/>
          <w:lang w:bidi="ar-JO"/>
        </w:rPr>
        <w:t xml:space="preserve"> والأعراف والتفاوت</w:t>
      </w:r>
      <w:r w:rsidR="006A1105">
        <w:rPr>
          <w:rFonts w:ascii="Arabic Transparent" w:hAnsi="Arabic Transparent" w:cs="Arabic Transparent" w:hint="cs"/>
          <w:sz w:val="28"/>
          <w:szCs w:val="28"/>
          <w:rtl/>
          <w:lang w:bidi="ar-JO"/>
        </w:rPr>
        <w:t>،</w:t>
      </w:r>
      <w:r w:rsidR="00944465" w:rsidRPr="00D36947">
        <w:rPr>
          <w:rFonts w:ascii="Arabic Transparent" w:hAnsi="Arabic Transparent" w:cs="Arabic Transparent" w:hint="cs"/>
          <w:sz w:val="28"/>
          <w:szCs w:val="28"/>
          <w:rtl/>
          <w:lang w:bidi="ar-JO"/>
        </w:rPr>
        <w:t xml:space="preserve"> فيما يترتب على تنزيل الحكم الشرعي في الواقعة حالاً ومآلاً</w:t>
      </w:r>
      <w:r w:rsidR="00F36AB3" w:rsidRPr="00D36947">
        <w:rPr>
          <w:rFonts w:ascii="Arabic Transparent" w:hAnsi="Arabic Transparent" w:cs="Arabic Transparent" w:hint="cs"/>
          <w:sz w:val="28"/>
          <w:szCs w:val="28"/>
          <w:rtl/>
          <w:lang w:bidi="ar-JO"/>
        </w:rPr>
        <w:t xml:space="preserve"> والحاجات</w:t>
      </w:r>
      <w:r w:rsidR="00944465" w:rsidRPr="00D36947">
        <w:rPr>
          <w:rFonts w:ascii="Arabic Transparent" w:hAnsi="Arabic Transparent" w:cs="Arabic Transparent" w:hint="cs"/>
          <w:sz w:val="28"/>
          <w:szCs w:val="28"/>
          <w:rtl/>
          <w:lang w:bidi="ar-JO"/>
        </w:rPr>
        <w:t xml:space="preserve"> التي تنزل منزل الضرورات،</w:t>
      </w:r>
      <w:r w:rsidR="00BF6AB8">
        <w:rPr>
          <w:rFonts w:ascii="Arabic Transparent" w:hAnsi="Arabic Transparent" w:cs="Arabic Transparent" w:hint="cs"/>
          <w:sz w:val="28"/>
          <w:szCs w:val="28"/>
          <w:rtl/>
          <w:lang w:bidi="ar-JO"/>
        </w:rPr>
        <w:t xml:space="preserve"> ومراعاة اختلاف مقاصد المكلفين في تصرفاتهم وأفعالهم، أما بالنسبة للزمان؛</w:t>
      </w:r>
      <w:r w:rsidR="00F36AB3" w:rsidRPr="00D36947">
        <w:rPr>
          <w:rFonts w:ascii="Arabic Transparent" w:hAnsi="Arabic Transparent" w:cs="Arabic Transparent" w:hint="cs"/>
          <w:sz w:val="28"/>
          <w:szCs w:val="28"/>
          <w:rtl/>
          <w:lang w:bidi="ar-JO"/>
        </w:rPr>
        <w:t xml:space="preserve"> </w:t>
      </w:r>
      <w:r w:rsidR="000C523A" w:rsidRPr="00D36947">
        <w:rPr>
          <w:rFonts w:ascii="Arabic Transparent" w:hAnsi="Arabic Transparent" w:cs="Arabic Transparent" w:hint="cs"/>
          <w:sz w:val="28"/>
          <w:szCs w:val="28"/>
          <w:rtl/>
          <w:lang w:bidi="ar-JO"/>
        </w:rPr>
        <w:t xml:space="preserve">فلا يمكن </w:t>
      </w:r>
      <w:r w:rsidR="006E7F99">
        <w:rPr>
          <w:rFonts w:ascii="Arabic Transparent" w:hAnsi="Arabic Transparent" w:cs="Arabic Transparent" w:hint="cs"/>
          <w:sz w:val="28"/>
          <w:szCs w:val="28"/>
          <w:rtl/>
          <w:lang w:bidi="ar-JO"/>
        </w:rPr>
        <w:t>"</w:t>
      </w:r>
      <w:r w:rsidR="000C523A" w:rsidRPr="00D36947">
        <w:rPr>
          <w:rFonts w:ascii="Arabic Transparent" w:hAnsi="Arabic Transparent" w:cs="Arabic Transparent" w:hint="cs"/>
          <w:sz w:val="28"/>
          <w:szCs w:val="28"/>
          <w:rtl/>
          <w:lang w:bidi="ar-JO"/>
        </w:rPr>
        <w:t>أن يطبق أحكام العبيد على المستقدمين في خدمة المنازل</w:t>
      </w:r>
      <w:r w:rsidR="00944465" w:rsidRPr="00D36947">
        <w:rPr>
          <w:rFonts w:ascii="Arabic Transparent" w:hAnsi="Arabic Transparent" w:cs="Arabic Transparent" w:hint="cs"/>
          <w:sz w:val="28"/>
          <w:szCs w:val="28"/>
          <w:rtl/>
          <w:lang w:bidi="ar-JO"/>
        </w:rPr>
        <w:t xml:space="preserve"> في هذا الزمن لاختلاف التكييف الشرعي والعلاقة التعاقدية بين العبد وسيده</w:t>
      </w:r>
      <w:r w:rsidR="006A1105">
        <w:rPr>
          <w:rFonts w:ascii="Arabic Transparent" w:hAnsi="Arabic Transparent" w:cs="Arabic Transparent" w:hint="cs"/>
          <w:sz w:val="28"/>
          <w:szCs w:val="28"/>
          <w:rtl/>
          <w:lang w:bidi="ar-JO"/>
        </w:rPr>
        <w:t>،</w:t>
      </w:r>
      <w:r w:rsidR="00944465" w:rsidRPr="00D36947">
        <w:rPr>
          <w:rFonts w:ascii="Arabic Transparent" w:hAnsi="Arabic Transparent" w:cs="Arabic Transparent" w:hint="cs"/>
          <w:sz w:val="28"/>
          <w:szCs w:val="28"/>
          <w:rtl/>
          <w:lang w:bidi="ar-JO"/>
        </w:rPr>
        <w:t xml:space="preserve"> وبين الخادم وسيده في هذا الزمن</w:t>
      </w:r>
      <w:r w:rsidR="006E7F99">
        <w:rPr>
          <w:rFonts w:ascii="Arabic Transparent" w:hAnsi="Arabic Transparent" w:cs="Arabic Transparent" w:hint="cs"/>
          <w:sz w:val="28"/>
          <w:szCs w:val="28"/>
          <w:rtl/>
          <w:lang w:bidi="ar-JO"/>
        </w:rPr>
        <w:t>"</w:t>
      </w:r>
      <w:r w:rsidR="009C51DC" w:rsidRPr="009C51DC">
        <w:rPr>
          <w:rFonts w:ascii="Arabic Transparent" w:hAnsi="Arabic Transparent" w:cs="Arabic Transparent" w:hint="cs"/>
          <w:sz w:val="28"/>
          <w:szCs w:val="28"/>
          <w:vertAlign w:val="superscript"/>
          <w:rtl/>
          <w:lang w:bidi="ar-JO"/>
        </w:rPr>
        <w:t>(</w:t>
      </w:r>
      <w:r w:rsidR="009C51DC" w:rsidRPr="009C51DC">
        <w:rPr>
          <w:rStyle w:val="FootnoteReference"/>
          <w:rFonts w:ascii="Arabic Transparent" w:hAnsi="Arabic Transparent" w:cs="Arabic Transparent" w:hint="cs"/>
          <w:sz w:val="28"/>
          <w:szCs w:val="28"/>
          <w:rtl/>
          <w:lang w:bidi="ar-JO"/>
        </w:rPr>
        <w:footnoteReference w:id="167"/>
      </w:r>
      <w:r w:rsidR="009C51DC" w:rsidRPr="009C51DC">
        <w:rPr>
          <w:rFonts w:ascii="Arabic Transparent" w:hAnsi="Arabic Transparent" w:cs="Arabic Transparent" w:hint="cs"/>
          <w:sz w:val="28"/>
          <w:szCs w:val="28"/>
          <w:vertAlign w:val="superscript"/>
          <w:rtl/>
          <w:lang w:bidi="ar-JO"/>
        </w:rPr>
        <w:t>)</w:t>
      </w:r>
      <w:r w:rsidR="009C51DC">
        <w:rPr>
          <w:rFonts w:ascii="Arabic Transparent" w:hAnsi="Arabic Transparent" w:cs="Arabic Transparent" w:hint="cs"/>
          <w:sz w:val="28"/>
          <w:szCs w:val="28"/>
          <w:rtl/>
          <w:lang w:bidi="ar-JO"/>
        </w:rPr>
        <w:t>،</w:t>
      </w:r>
      <w:r w:rsidR="00944465" w:rsidRPr="00D36947">
        <w:rPr>
          <w:rFonts w:ascii="Arabic Transparent" w:hAnsi="Arabic Transparent" w:cs="Arabic Transparent" w:hint="cs"/>
          <w:sz w:val="28"/>
          <w:szCs w:val="28"/>
          <w:rtl/>
          <w:lang w:bidi="ar-JO"/>
        </w:rPr>
        <w:t xml:space="preserve"> وحول هذا الموضوع </w:t>
      </w:r>
      <w:r w:rsidR="00944465" w:rsidRPr="00DD7FF1">
        <w:rPr>
          <w:rFonts w:ascii="Arabic Transparent" w:hAnsi="Arabic Transparent" w:cs="Arabic Transparent" w:hint="cs"/>
          <w:sz w:val="28"/>
          <w:szCs w:val="28"/>
          <w:rtl/>
          <w:lang w:bidi="ar-JO"/>
        </w:rPr>
        <w:t>يقول ابن عابدين</w:t>
      </w:r>
      <w:r w:rsidR="00D9038F">
        <w:rPr>
          <w:rFonts w:ascii="Arabic Transparent" w:hAnsi="Arabic Transparent" w:cs="Arabic Transparent" w:hint="cs"/>
          <w:sz w:val="28"/>
          <w:szCs w:val="28"/>
          <w:rtl/>
          <w:lang w:bidi="ar-JO"/>
        </w:rPr>
        <w:t>:</w:t>
      </w:r>
      <w:r w:rsidR="00944465" w:rsidRPr="00DD7FF1">
        <w:rPr>
          <w:rFonts w:ascii="Arabic Transparent" w:hAnsi="Arabic Transparent" w:cs="Arabic Transparent" w:hint="cs"/>
          <w:sz w:val="28"/>
          <w:szCs w:val="28"/>
          <w:rtl/>
          <w:lang w:bidi="ar-JO"/>
        </w:rPr>
        <w:t xml:space="preserve"> </w:t>
      </w:r>
      <w:r w:rsidR="00D9038F">
        <w:rPr>
          <w:rFonts w:ascii="Arabic Transparent" w:hAnsi="Arabic Transparent" w:cs="Arabic Transparent" w:hint="cs"/>
          <w:sz w:val="28"/>
          <w:szCs w:val="28"/>
          <w:rtl/>
          <w:lang w:bidi="ar-JO"/>
        </w:rPr>
        <w:t>"</w:t>
      </w:r>
      <w:r w:rsidR="00944465" w:rsidRPr="00DD7FF1">
        <w:rPr>
          <w:rFonts w:ascii="Arabic Transparent" w:hAnsi="Arabic Transparent" w:cs="Arabic Transparent" w:hint="cs"/>
          <w:sz w:val="28"/>
          <w:szCs w:val="28"/>
          <w:rtl/>
          <w:lang w:bidi="ar-JO"/>
        </w:rPr>
        <w:t xml:space="preserve">كثير من الأحكام تختلف باختلاف الزمان، لتغيّر عرف أهله، أو </w:t>
      </w:r>
      <w:r w:rsidR="00944465" w:rsidRPr="00AE6F49">
        <w:rPr>
          <w:rFonts w:ascii="Arabic Transparent" w:hAnsi="Arabic Transparent" w:cs="Arabic Transparent" w:hint="cs"/>
          <w:sz w:val="28"/>
          <w:szCs w:val="28"/>
          <w:rtl/>
          <w:lang w:bidi="ar-JO"/>
        </w:rPr>
        <w:t>لحدوث ضرورة، أو لفساد أهل الزمان، بحيث لو بقي الحكم على ما كان عليه أولاً للزم منه المشقة والضرر بالناس</w:t>
      </w:r>
      <w:r w:rsidR="00D2015A">
        <w:rPr>
          <w:rFonts w:ascii="Arabic Transparent" w:hAnsi="Arabic Transparent" w:cs="Arabic Transparent" w:hint="cs"/>
          <w:sz w:val="28"/>
          <w:szCs w:val="28"/>
          <w:rtl/>
          <w:lang w:bidi="ar-JO"/>
        </w:rPr>
        <w:t>،</w:t>
      </w:r>
      <w:r w:rsidR="00944465" w:rsidRPr="00AE6F49">
        <w:rPr>
          <w:rFonts w:ascii="Arabic Transparent" w:hAnsi="Arabic Transparent" w:cs="Arabic Transparent" w:hint="cs"/>
          <w:sz w:val="28"/>
          <w:szCs w:val="28"/>
          <w:rtl/>
          <w:lang w:bidi="ar-JO"/>
        </w:rPr>
        <w:t xml:space="preserve"> ولخالف قواعد الشريعة المبنية على التخفيف واليسر ودفع الفساد"</w:t>
      </w:r>
      <w:r w:rsidR="00944465" w:rsidRPr="00AE6F49">
        <w:rPr>
          <w:rFonts w:ascii="Arabic Transparent" w:hAnsi="Arabic Transparent" w:cs="Arabic Transparent" w:hint="cs"/>
          <w:sz w:val="28"/>
          <w:szCs w:val="28"/>
          <w:vertAlign w:val="superscript"/>
          <w:rtl/>
          <w:lang w:bidi="ar-JO"/>
        </w:rPr>
        <w:t>(</w:t>
      </w:r>
      <w:r w:rsidR="00944465" w:rsidRPr="00AE6F49">
        <w:rPr>
          <w:rStyle w:val="FootnoteReference"/>
          <w:rFonts w:ascii="Arabic Transparent" w:hAnsi="Arabic Transparent" w:cs="Arabic Transparent" w:hint="cs"/>
          <w:sz w:val="28"/>
          <w:szCs w:val="28"/>
          <w:rtl/>
          <w:lang w:bidi="ar-JO"/>
        </w:rPr>
        <w:footnoteReference w:id="168"/>
      </w:r>
      <w:r w:rsidR="00944465" w:rsidRPr="00AE6F49">
        <w:rPr>
          <w:rFonts w:ascii="Arabic Transparent" w:hAnsi="Arabic Transparent" w:cs="Arabic Transparent" w:hint="cs"/>
          <w:sz w:val="28"/>
          <w:szCs w:val="28"/>
          <w:vertAlign w:val="superscript"/>
          <w:rtl/>
          <w:lang w:bidi="ar-JO"/>
        </w:rPr>
        <w:t>)</w:t>
      </w:r>
      <w:r w:rsidR="002C631C">
        <w:rPr>
          <w:rFonts w:ascii="Arabic Transparent" w:hAnsi="Arabic Transparent" w:cs="Arabic Transparent" w:hint="cs"/>
          <w:sz w:val="28"/>
          <w:szCs w:val="28"/>
          <w:rtl/>
          <w:lang w:bidi="ar-JO"/>
        </w:rPr>
        <w:t>.</w:t>
      </w:r>
    </w:p>
    <w:p w14:paraId="66C6924E" w14:textId="69F10727" w:rsidR="006E7F99" w:rsidRDefault="00D36947" w:rsidP="006A1105">
      <w:pPr>
        <w:spacing w:after="0" w:line="360" w:lineRule="auto"/>
        <w:ind w:firstLine="332"/>
        <w:contextualSpacing/>
        <w:jc w:val="both"/>
        <w:rPr>
          <w:rFonts w:ascii="Arabic Transparent" w:hAnsi="Arabic Transparent" w:cs="Arabic Transparent"/>
          <w:sz w:val="28"/>
          <w:szCs w:val="28"/>
          <w:rtl/>
          <w:lang w:bidi="ar-JO"/>
        </w:rPr>
      </w:pPr>
      <w:r w:rsidRPr="00AE6F49">
        <w:rPr>
          <w:rFonts w:ascii="Arabic Transparent" w:hAnsi="Arabic Transparent" w:cs="Arabic Transparent" w:hint="cs"/>
          <w:sz w:val="28"/>
          <w:szCs w:val="28"/>
          <w:rtl/>
          <w:lang w:bidi="ar-JO"/>
        </w:rPr>
        <w:t xml:space="preserve">لذلك </w:t>
      </w:r>
      <w:r w:rsidR="001951E2" w:rsidRPr="00AE6F49">
        <w:rPr>
          <w:rFonts w:ascii="Arabic Transparent" w:hAnsi="Arabic Transparent" w:cs="Arabic Transparent" w:hint="cs"/>
          <w:sz w:val="28"/>
          <w:szCs w:val="28"/>
          <w:rtl/>
          <w:lang w:bidi="ar-JO"/>
        </w:rPr>
        <w:t xml:space="preserve">كان هناك مناط عام أو ما يسمى </w:t>
      </w:r>
      <w:r w:rsidR="006E7F99">
        <w:rPr>
          <w:rFonts w:ascii="Arabic Transparent" w:hAnsi="Arabic Transparent" w:cs="Arabic Transparent" w:hint="cs"/>
          <w:sz w:val="28"/>
          <w:szCs w:val="28"/>
          <w:rtl/>
          <w:lang w:bidi="ar-JO"/>
        </w:rPr>
        <w:t>"</w:t>
      </w:r>
      <w:r w:rsidR="001951E2" w:rsidRPr="00AE6F49">
        <w:rPr>
          <w:rFonts w:ascii="Arabic Transparent" w:hAnsi="Arabic Transparent" w:cs="Arabic Transparent" w:hint="cs"/>
          <w:sz w:val="28"/>
          <w:szCs w:val="28"/>
          <w:rtl/>
          <w:lang w:bidi="ar-JO"/>
        </w:rPr>
        <w:t>الاقتضاء الأصلي، وهو الحكم الأصلي قبل طروء العوارض، وال</w:t>
      </w:r>
      <w:r w:rsidR="009C51DC">
        <w:rPr>
          <w:rFonts w:ascii="Arabic Transparent" w:hAnsi="Arabic Transparent" w:cs="Arabic Transparent" w:hint="cs"/>
          <w:sz w:val="28"/>
          <w:szCs w:val="28"/>
          <w:rtl/>
          <w:lang w:bidi="ar-JO"/>
        </w:rPr>
        <w:t>إ</w:t>
      </w:r>
      <w:r w:rsidR="001951E2" w:rsidRPr="00AE6F49">
        <w:rPr>
          <w:rFonts w:ascii="Arabic Transparent" w:hAnsi="Arabic Transparent" w:cs="Arabic Transparent" w:hint="cs"/>
          <w:sz w:val="28"/>
          <w:szCs w:val="28"/>
          <w:rtl/>
          <w:lang w:bidi="ar-JO"/>
        </w:rPr>
        <w:t>ضافات</w:t>
      </w:r>
      <w:r w:rsidR="00D2015A">
        <w:rPr>
          <w:rFonts w:ascii="Arabic Transparent" w:hAnsi="Arabic Transparent" w:cs="Arabic Transparent" w:hint="cs"/>
          <w:sz w:val="28"/>
          <w:szCs w:val="28"/>
          <w:rtl/>
          <w:lang w:bidi="ar-JO"/>
        </w:rPr>
        <w:t>،</w:t>
      </w:r>
      <w:r w:rsidR="001951E2" w:rsidRPr="00AE6F49">
        <w:rPr>
          <w:rFonts w:ascii="Arabic Transparent" w:hAnsi="Arabic Transparent" w:cs="Arabic Transparent" w:hint="cs"/>
          <w:sz w:val="28"/>
          <w:szCs w:val="28"/>
          <w:rtl/>
          <w:lang w:bidi="ar-JO"/>
        </w:rPr>
        <w:t xml:space="preserve"> كالحكم بأن النكاح مندوب</w:t>
      </w:r>
      <w:r w:rsidR="00D2015A">
        <w:rPr>
          <w:rFonts w:ascii="Arabic Transparent" w:hAnsi="Arabic Transparent" w:cs="Arabic Transparent" w:hint="cs"/>
          <w:sz w:val="28"/>
          <w:szCs w:val="28"/>
          <w:rtl/>
          <w:lang w:bidi="ar-JO"/>
        </w:rPr>
        <w:t>،</w:t>
      </w:r>
      <w:r w:rsidR="001951E2" w:rsidRPr="00AE6F49">
        <w:rPr>
          <w:rFonts w:ascii="Arabic Transparent" w:hAnsi="Arabic Transparent" w:cs="Arabic Transparent" w:hint="cs"/>
          <w:sz w:val="28"/>
          <w:szCs w:val="28"/>
          <w:rtl/>
          <w:lang w:bidi="ar-JO"/>
        </w:rPr>
        <w:t xml:space="preserve"> والصيد مباح</w:t>
      </w:r>
      <w:r w:rsidR="00D2015A">
        <w:rPr>
          <w:rFonts w:ascii="Arabic Transparent" w:hAnsi="Arabic Transparent" w:cs="Arabic Transparent" w:hint="cs"/>
          <w:sz w:val="28"/>
          <w:szCs w:val="28"/>
          <w:rtl/>
          <w:lang w:bidi="ar-JO"/>
        </w:rPr>
        <w:t>،</w:t>
      </w:r>
      <w:r w:rsidR="001951E2" w:rsidRPr="00AE6F49">
        <w:rPr>
          <w:rFonts w:ascii="Arabic Transparent" w:hAnsi="Arabic Transparent" w:cs="Arabic Transparent" w:hint="cs"/>
          <w:sz w:val="28"/>
          <w:szCs w:val="28"/>
          <w:rtl/>
          <w:lang w:bidi="ar-JO"/>
        </w:rPr>
        <w:t xml:space="preserve"> وتحريم الربا وما شابه ذلك، وكان هناك المناط الخاص الذي يسميه بعض العلماء الاقتضاء التبعي، </w:t>
      </w:r>
      <w:r w:rsidR="00DF2979">
        <w:rPr>
          <w:rFonts w:ascii="Arabic Transparent" w:hAnsi="Arabic Transparent" w:cs="Arabic Transparent" w:hint="cs"/>
          <w:sz w:val="28"/>
          <w:szCs w:val="28"/>
          <w:rtl/>
          <w:lang w:bidi="ar-JO"/>
        </w:rPr>
        <w:t>حيث إنَّ</w:t>
      </w:r>
      <w:r w:rsidR="001951E2" w:rsidRPr="00AE6F49">
        <w:rPr>
          <w:rFonts w:ascii="Arabic Transparent" w:hAnsi="Arabic Transparent" w:cs="Arabic Transparent" w:hint="cs"/>
          <w:sz w:val="28"/>
          <w:szCs w:val="28"/>
          <w:rtl/>
          <w:lang w:bidi="ar-JO"/>
        </w:rPr>
        <w:t xml:space="preserve"> الحكم الأصلي يأخذ به مع اعتبار التوابع والاضافات كالحكم بتحريم النكاح على من ثبت في حقه ظلم النساء ووجوبه على من خشي العنتَ وقس على ذلك غيرها من الأحكام</w:t>
      </w:r>
      <w:r w:rsidR="006E7F99">
        <w:rPr>
          <w:rFonts w:ascii="Arabic Transparent" w:hAnsi="Arabic Transparent" w:cs="Arabic Transparent" w:hint="cs"/>
          <w:sz w:val="28"/>
          <w:szCs w:val="28"/>
          <w:rtl/>
          <w:lang w:bidi="ar-JO"/>
        </w:rPr>
        <w:t>"</w:t>
      </w:r>
      <w:r w:rsidR="001951E2" w:rsidRPr="00AE6F49">
        <w:rPr>
          <w:rFonts w:ascii="Arabic Transparent" w:hAnsi="Arabic Transparent" w:cs="Arabic Transparent" w:hint="cs"/>
          <w:sz w:val="28"/>
          <w:szCs w:val="28"/>
          <w:vertAlign w:val="superscript"/>
          <w:rtl/>
          <w:lang w:bidi="ar-JO"/>
        </w:rPr>
        <w:t>(</w:t>
      </w:r>
      <w:r w:rsidR="001951E2" w:rsidRPr="00AE6F49">
        <w:rPr>
          <w:rStyle w:val="FootnoteReference"/>
          <w:rFonts w:ascii="Arabic Transparent" w:hAnsi="Arabic Transparent" w:cs="Arabic Transparent" w:hint="cs"/>
          <w:sz w:val="28"/>
          <w:szCs w:val="28"/>
          <w:rtl/>
          <w:lang w:bidi="ar-JO"/>
        </w:rPr>
        <w:footnoteReference w:id="169"/>
      </w:r>
      <w:r w:rsidR="001951E2" w:rsidRPr="00AE6F49">
        <w:rPr>
          <w:rFonts w:ascii="Arabic Transparent" w:hAnsi="Arabic Transparent" w:cs="Arabic Transparent" w:hint="cs"/>
          <w:sz w:val="28"/>
          <w:szCs w:val="28"/>
          <w:vertAlign w:val="superscript"/>
          <w:rtl/>
          <w:lang w:bidi="ar-JO"/>
        </w:rPr>
        <w:t>)</w:t>
      </w:r>
      <w:r w:rsidR="001951E2" w:rsidRPr="00AE6F49">
        <w:rPr>
          <w:rFonts w:ascii="Arabic Transparent" w:hAnsi="Arabic Transparent" w:cs="Arabic Transparent" w:hint="cs"/>
          <w:sz w:val="28"/>
          <w:szCs w:val="28"/>
          <w:rtl/>
          <w:lang w:bidi="ar-JO"/>
        </w:rPr>
        <w:t>.</w:t>
      </w:r>
    </w:p>
    <w:p w14:paraId="5EAC513C" w14:textId="77777777" w:rsidR="006E7F99" w:rsidRDefault="006E7F99">
      <w:pPr>
        <w:bidi w:val="0"/>
        <w:spacing w:after="0" w:line="240" w:lineRule="auto"/>
        <w:rPr>
          <w:rFonts w:ascii="Arabic Transparent" w:hAnsi="Arabic Transparent" w:cs="Arabic Transparent"/>
          <w:sz w:val="28"/>
          <w:szCs w:val="28"/>
          <w:rtl/>
          <w:lang w:bidi="ar-JO"/>
        </w:rPr>
      </w:pPr>
      <w:r>
        <w:rPr>
          <w:rFonts w:ascii="Arabic Transparent" w:hAnsi="Arabic Transparent" w:cs="Arabic Transparent"/>
          <w:sz w:val="28"/>
          <w:szCs w:val="28"/>
          <w:rtl/>
          <w:lang w:bidi="ar-JO"/>
        </w:rPr>
        <w:br w:type="page"/>
      </w:r>
    </w:p>
    <w:p w14:paraId="2AE787A5" w14:textId="6275C8F4" w:rsidR="000C523A" w:rsidRPr="00D2015A" w:rsidRDefault="001951E2" w:rsidP="00514C65">
      <w:pPr>
        <w:spacing w:after="0" w:line="360" w:lineRule="auto"/>
        <w:ind w:firstLine="332"/>
        <w:jc w:val="both"/>
        <w:rPr>
          <w:rFonts w:ascii="Arabic Transparent" w:hAnsi="Arabic Transparent" w:cs="Arabic Transparent"/>
          <w:sz w:val="28"/>
          <w:szCs w:val="28"/>
          <w:rtl/>
          <w:lang w:val="en-AE" w:bidi="ar-JO"/>
        </w:rPr>
      </w:pPr>
      <w:r w:rsidRPr="00AE6F49">
        <w:rPr>
          <w:rFonts w:ascii="Arabic Transparent" w:hAnsi="Arabic Transparent" w:cs="Arabic Transparent" w:hint="cs"/>
          <w:sz w:val="28"/>
          <w:szCs w:val="28"/>
          <w:rtl/>
          <w:lang w:val="en-AE" w:bidi="ar-JO"/>
        </w:rPr>
        <w:t>وقد صرح الشاطبي ب</w:t>
      </w:r>
      <w:r w:rsidR="006E7F99">
        <w:rPr>
          <w:rFonts w:ascii="Arabic Transparent" w:hAnsi="Arabic Transparent" w:cs="Arabic Transparent" w:hint="cs"/>
          <w:sz w:val="28"/>
          <w:szCs w:val="28"/>
          <w:rtl/>
          <w:lang w:val="en-AE" w:bidi="ar-JO"/>
        </w:rPr>
        <w:t xml:space="preserve">أهمية مراعاة خصوصية المناط، </w:t>
      </w:r>
      <w:r w:rsidRPr="00AE6F49">
        <w:rPr>
          <w:rFonts w:ascii="Arabic Transparent" w:hAnsi="Arabic Transparent" w:cs="Arabic Transparent" w:hint="cs"/>
          <w:sz w:val="28"/>
          <w:szCs w:val="28"/>
          <w:rtl/>
          <w:lang w:val="en-AE" w:bidi="ar-JO"/>
        </w:rPr>
        <w:t>حيث قال:</w:t>
      </w:r>
      <w:r w:rsidR="00151AED">
        <w:rPr>
          <w:rFonts w:ascii="Arabic Transparent" w:hAnsi="Arabic Transparent" w:cs="Arabic Transparent" w:hint="cs"/>
          <w:sz w:val="28"/>
          <w:szCs w:val="28"/>
          <w:rtl/>
          <w:lang w:val="en-AE" w:bidi="ar-JO"/>
        </w:rPr>
        <w:t xml:space="preserve"> </w:t>
      </w:r>
      <w:r w:rsidR="00151AED">
        <w:rPr>
          <w:rFonts w:ascii="Arabic Transparent" w:hAnsi="Arabic Transparent" w:cs="Arabic Transparent"/>
          <w:sz w:val="28"/>
          <w:szCs w:val="28"/>
          <w:rtl/>
          <w:lang w:val="en-AE" w:bidi="ar-JO"/>
        </w:rPr>
        <w:t>"</w:t>
      </w:r>
      <w:r w:rsidRPr="00AE6F49">
        <w:rPr>
          <w:rFonts w:ascii="Arabic Transparent" w:hAnsi="Arabic Transparent" w:cs="Arabic Transparent" w:hint="cs"/>
          <w:sz w:val="28"/>
          <w:szCs w:val="28"/>
          <w:rtl/>
          <w:lang w:val="en-AE" w:bidi="ar-JO"/>
        </w:rPr>
        <w:t>وعند ذلك لا يصح للعالِم إذا سئل عن أمرٍ كيف يحصل في الواقع إلا أن يجيب بحسب الواقع، فإن أجاب على غير ذلك أخطأ في عدم اعتبار المناط المسؤول عن حكمه؛ لأنه سُئل عن مناطِ مُعَيَّنٍ فأجاب عن مناطِ غير مُعَيّن....</w:t>
      </w:r>
      <w:r w:rsidR="0039675F" w:rsidRPr="00AE6F49">
        <w:rPr>
          <w:rFonts w:ascii="Arabic Transparent" w:hAnsi="Arabic Transparent" w:cs="Arabic Transparent" w:hint="cs"/>
          <w:sz w:val="28"/>
          <w:szCs w:val="28"/>
          <w:rtl/>
          <w:lang w:val="en-AE" w:bidi="ar-JO"/>
        </w:rPr>
        <w:t>وقال:</w:t>
      </w:r>
      <w:r w:rsidR="00AE6F49">
        <w:rPr>
          <w:rFonts w:ascii="Arabic Transparent" w:hAnsi="Arabic Transparent" w:cs="Arabic Transparent" w:hint="cs"/>
          <w:sz w:val="28"/>
          <w:szCs w:val="28"/>
          <w:rtl/>
          <w:lang w:val="en-AE" w:bidi="ar-JO"/>
        </w:rPr>
        <w:t xml:space="preserve"> </w:t>
      </w:r>
      <w:r w:rsidRPr="00AE6F49">
        <w:rPr>
          <w:rFonts w:ascii="Arabic Transparent" w:hAnsi="Arabic Transparent" w:cs="Arabic Transparent" w:hint="cs"/>
          <w:sz w:val="28"/>
          <w:szCs w:val="28"/>
          <w:rtl/>
          <w:lang w:val="en-AE" w:bidi="ar-JO"/>
        </w:rPr>
        <w:t>ومن اعتبر الأقضية والفتاوى الموجودة في القرآن والسنة وجدها وفق هذا الأصل"</w:t>
      </w:r>
      <w:r w:rsidR="0039675F" w:rsidRPr="00AE6F49">
        <w:rPr>
          <w:rFonts w:ascii="Arabic Transparent" w:hAnsi="Arabic Transparent" w:cs="Arabic Transparent" w:hint="cs"/>
          <w:sz w:val="28"/>
          <w:szCs w:val="28"/>
          <w:vertAlign w:val="superscript"/>
          <w:rtl/>
          <w:lang w:val="en-AE" w:bidi="ar-JO"/>
        </w:rPr>
        <w:t>(</w:t>
      </w:r>
      <w:r w:rsidR="0039675F" w:rsidRPr="00AE6F49">
        <w:rPr>
          <w:rStyle w:val="FootnoteReference"/>
          <w:rFonts w:ascii="Arabic Transparent" w:hAnsi="Arabic Transparent" w:cs="Arabic Transparent" w:hint="cs"/>
          <w:sz w:val="28"/>
          <w:szCs w:val="28"/>
          <w:rtl/>
          <w:lang w:val="en-AE" w:bidi="ar-JO"/>
        </w:rPr>
        <w:footnoteReference w:id="170"/>
      </w:r>
      <w:r w:rsidR="0039675F" w:rsidRPr="00AE6F49">
        <w:rPr>
          <w:rFonts w:ascii="Arabic Transparent" w:hAnsi="Arabic Transparent" w:cs="Arabic Transparent" w:hint="cs"/>
          <w:sz w:val="28"/>
          <w:szCs w:val="28"/>
          <w:vertAlign w:val="superscript"/>
          <w:rtl/>
          <w:lang w:val="en-AE" w:bidi="ar-JO"/>
        </w:rPr>
        <w:t>)</w:t>
      </w:r>
      <w:r w:rsidR="00B770E0" w:rsidRPr="00AE6F49">
        <w:rPr>
          <w:rFonts w:ascii="Arabic Transparent" w:hAnsi="Arabic Transparent" w:cs="Arabic Transparent" w:hint="cs"/>
          <w:sz w:val="28"/>
          <w:szCs w:val="28"/>
          <w:vertAlign w:val="superscript"/>
          <w:rtl/>
          <w:lang w:val="en-AE" w:bidi="ar-JO"/>
        </w:rPr>
        <w:t xml:space="preserve"> </w:t>
      </w:r>
      <w:r w:rsidR="00B770E0" w:rsidRPr="00AE6F49">
        <w:rPr>
          <w:rFonts w:ascii="Arabic Transparent" w:hAnsi="Arabic Transparent" w:cs="Arabic Transparent" w:hint="cs"/>
          <w:sz w:val="28"/>
          <w:szCs w:val="28"/>
          <w:rtl/>
          <w:lang w:val="en-AE" w:bidi="ar-JO"/>
        </w:rPr>
        <w:t>ومما ذ</w:t>
      </w:r>
      <w:r w:rsidR="00D2015A">
        <w:rPr>
          <w:rFonts w:ascii="Arabic Transparent" w:hAnsi="Arabic Transparent" w:cs="Arabic Transparent" w:hint="cs"/>
          <w:sz w:val="28"/>
          <w:szCs w:val="28"/>
          <w:rtl/>
          <w:lang w:val="en-AE" w:bidi="ar-JO"/>
        </w:rPr>
        <w:t>ُ</w:t>
      </w:r>
      <w:r w:rsidR="00B770E0" w:rsidRPr="00AE6F49">
        <w:rPr>
          <w:rFonts w:ascii="Arabic Transparent" w:hAnsi="Arabic Transparent" w:cs="Arabic Transparent" w:hint="cs"/>
          <w:sz w:val="28"/>
          <w:szCs w:val="28"/>
          <w:rtl/>
          <w:lang w:val="en-AE" w:bidi="ar-JO"/>
        </w:rPr>
        <w:t>ك</w:t>
      </w:r>
      <w:r w:rsidR="00D2015A">
        <w:rPr>
          <w:rFonts w:ascii="Arabic Transparent" w:hAnsi="Arabic Transparent" w:cs="Arabic Transparent" w:hint="cs"/>
          <w:sz w:val="28"/>
          <w:szCs w:val="28"/>
          <w:rtl/>
          <w:lang w:val="en-AE" w:bidi="ar-JO"/>
        </w:rPr>
        <w:t>ِ</w:t>
      </w:r>
      <w:r w:rsidR="00B770E0" w:rsidRPr="00AE6F49">
        <w:rPr>
          <w:rFonts w:ascii="Arabic Transparent" w:hAnsi="Arabic Transparent" w:cs="Arabic Transparent" w:hint="cs"/>
          <w:sz w:val="28"/>
          <w:szCs w:val="28"/>
          <w:rtl/>
          <w:lang w:val="en-AE" w:bidi="ar-JO"/>
        </w:rPr>
        <w:t>ر تخريجاً على هذا البيان في مراعاة الأحوال وأن</w:t>
      </w:r>
      <w:r w:rsidR="00D2015A">
        <w:rPr>
          <w:rFonts w:ascii="Arabic Transparent" w:hAnsi="Arabic Transparent" w:cs="Arabic Transparent" w:hint="cs"/>
          <w:sz w:val="28"/>
          <w:szCs w:val="28"/>
          <w:rtl/>
          <w:lang w:val="en-AE" w:bidi="ar-JO"/>
        </w:rPr>
        <w:t>َّ</w:t>
      </w:r>
      <w:r w:rsidR="00B770E0" w:rsidRPr="00AE6F49">
        <w:rPr>
          <w:rFonts w:ascii="Arabic Transparent" w:hAnsi="Arabic Transparent" w:cs="Arabic Transparent" w:hint="cs"/>
          <w:sz w:val="28"/>
          <w:szCs w:val="28"/>
          <w:rtl/>
          <w:lang w:val="en-AE" w:bidi="ar-JO"/>
        </w:rPr>
        <w:t xml:space="preserve"> الحاجة تنزل في</w:t>
      </w:r>
      <w:r w:rsidR="00C05626">
        <w:rPr>
          <w:rFonts w:ascii="Arabic Transparent" w:hAnsi="Arabic Transparent" w:cs="Arabic Transparent" w:hint="cs"/>
          <w:sz w:val="28"/>
          <w:szCs w:val="28"/>
          <w:rtl/>
          <w:lang w:val="en-AE" w:bidi="ar-JO"/>
        </w:rPr>
        <w:t>ه</w:t>
      </w:r>
      <w:r w:rsidR="00B770E0" w:rsidRPr="00AE6F49">
        <w:rPr>
          <w:rFonts w:ascii="Arabic Transparent" w:hAnsi="Arabic Transparent" w:cs="Arabic Transparent" w:hint="cs"/>
          <w:sz w:val="28"/>
          <w:szCs w:val="28"/>
          <w:rtl/>
          <w:lang w:val="en-AE" w:bidi="ar-JO"/>
        </w:rPr>
        <w:t xml:space="preserve"> منزلة الضرورة أحياناً ما قاله إمام الحرمين: "إن</w:t>
      </w:r>
      <w:r w:rsidR="00D2015A">
        <w:rPr>
          <w:rFonts w:ascii="Arabic Transparent" w:hAnsi="Arabic Transparent" w:cs="Arabic Transparent" w:hint="cs"/>
          <w:sz w:val="28"/>
          <w:szCs w:val="28"/>
          <w:rtl/>
          <w:lang w:val="en-AE" w:bidi="ar-JO"/>
        </w:rPr>
        <w:t>َّ</w:t>
      </w:r>
      <w:r w:rsidR="00B770E0" w:rsidRPr="00AE6F49">
        <w:rPr>
          <w:rFonts w:ascii="Arabic Transparent" w:hAnsi="Arabic Transparent" w:cs="Arabic Transparent" w:hint="cs"/>
          <w:sz w:val="28"/>
          <w:szCs w:val="28"/>
          <w:rtl/>
          <w:lang w:val="en-AE" w:bidi="ar-JO"/>
        </w:rPr>
        <w:t xml:space="preserve"> </w:t>
      </w:r>
      <w:r w:rsidR="00C05626" w:rsidRPr="00C05626">
        <w:rPr>
          <w:rFonts w:ascii="Arabic Transparent" w:hAnsi="Arabic Transparent" w:cs="Arabic Transparent"/>
          <w:sz w:val="28"/>
          <w:szCs w:val="28"/>
          <w:rtl/>
          <w:lang w:val="en-AE" w:bidi="ar-JO"/>
        </w:rPr>
        <w:t>الحرام إذا طبق الزمان وأهله، ولم يجدوا إلى طلب الحلال سبيلا، فلهم أن يأخذوا منه قدر الحاجة، ولا تشترط الضرورة التي نرعاها في إحلال الميتة في حقوق آحاد الناس، بل الحاجة في حق الناس كافة</w:t>
      </w:r>
      <w:r w:rsidR="00C05626" w:rsidRPr="00C05626">
        <w:rPr>
          <w:rFonts w:ascii="Arabic Transparent" w:hAnsi="Arabic Transparent" w:cs="Arabic Transparent" w:hint="cs"/>
          <w:sz w:val="28"/>
          <w:szCs w:val="28"/>
          <w:rtl/>
          <w:lang w:val="en-AE" w:bidi="ar-JO"/>
        </w:rPr>
        <w:t xml:space="preserve"> </w:t>
      </w:r>
      <w:r w:rsidR="00C05626" w:rsidRPr="00C05626">
        <w:rPr>
          <w:rFonts w:ascii="Arabic Transparent" w:hAnsi="Arabic Transparent" w:cs="Arabic Transparent"/>
          <w:sz w:val="28"/>
          <w:szCs w:val="28"/>
          <w:rtl/>
          <w:lang w:val="en-AE" w:bidi="ar-JO"/>
        </w:rPr>
        <w:t>تنزل منزلة الضرورة، في حق الواحد المضطر، فإن الواحد المضطر لو صابر ضرورته، ولم يتعاط الميتة، لهلك. ولو صابر الناس حاجاتهم، وتعدوها إلى الضرورة، لهلك الناس قاطبة</w:t>
      </w:r>
      <w:r w:rsidR="00B770E0" w:rsidRPr="000531CE">
        <w:rPr>
          <w:rFonts w:ascii="Arabic Transparent" w:hAnsi="Arabic Transparent" w:cs="Arabic Transparent" w:hint="cs"/>
          <w:sz w:val="28"/>
          <w:szCs w:val="28"/>
          <w:rtl/>
          <w:lang w:val="en-AE" w:bidi="ar-JO"/>
        </w:rPr>
        <w:t>"</w:t>
      </w:r>
      <w:r w:rsidR="00B770E0" w:rsidRPr="00D2015A">
        <w:rPr>
          <w:rFonts w:ascii="Arabic Transparent" w:hAnsi="Arabic Transparent" w:cs="Arabic Transparent" w:hint="cs"/>
          <w:sz w:val="28"/>
          <w:szCs w:val="28"/>
          <w:vertAlign w:val="superscript"/>
          <w:rtl/>
          <w:lang w:val="en-AE" w:bidi="ar-JO"/>
        </w:rPr>
        <w:t>(</w:t>
      </w:r>
      <w:r w:rsidR="00B770E0" w:rsidRPr="00D2015A">
        <w:rPr>
          <w:rStyle w:val="FootnoteReference"/>
          <w:rFonts w:ascii="Arabic Transparent" w:hAnsi="Arabic Transparent" w:cs="Arabic Transparent" w:hint="cs"/>
          <w:sz w:val="28"/>
          <w:szCs w:val="28"/>
          <w:rtl/>
          <w:lang w:val="en-AE" w:bidi="ar-JO"/>
        </w:rPr>
        <w:footnoteReference w:id="171"/>
      </w:r>
      <w:r w:rsidR="00B770E0" w:rsidRPr="00D2015A">
        <w:rPr>
          <w:rFonts w:ascii="Arabic Transparent" w:hAnsi="Arabic Transparent" w:cs="Arabic Transparent" w:hint="cs"/>
          <w:sz w:val="28"/>
          <w:szCs w:val="28"/>
          <w:vertAlign w:val="superscript"/>
          <w:rtl/>
          <w:lang w:val="en-AE" w:bidi="ar-JO"/>
        </w:rPr>
        <w:t>)</w:t>
      </w:r>
      <w:r w:rsidR="00514C65">
        <w:rPr>
          <w:rFonts w:ascii="Arabic Transparent" w:hAnsi="Arabic Transparent" w:cs="Arabic Transparent" w:hint="cs"/>
          <w:sz w:val="28"/>
          <w:szCs w:val="28"/>
          <w:rtl/>
          <w:lang w:val="en-AE" w:bidi="ar-JO"/>
        </w:rPr>
        <w:t>.</w:t>
      </w:r>
    </w:p>
    <w:p w14:paraId="426D2DCF" w14:textId="77777777" w:rsidR="006E7F99" w:rsidRDefault="00B770E0" w:rsidP="00D8093F">
      <w:pPr>
        <w:spacing w:after="0" w:line="360" w:lineRule="auto"/>
        <w:ind w:firstLine="332"/>
        <w:jc w:val="both"/>
        <w:rPr>
          <w:rFonts w:ascii="Arabic Transparent" w:hAnsi="Arabic Transparent" w:cs="Arabic Transparent"/>
          <w:sz w:val="28"/>
          <w:szCs w:val="28"/>
          <w:rtl/>
          <w:lang w:val="en-AE" w:bidi="ar-JO"/>
        </w:rPr>
      </w:pPr>
      <w:r w:rsidRPr="00D2015A">
        <w:rPr>
          <w:rFonts w:ascii="Arabic Transparent" w:hAnsi="Arabic Transparent" w:cs="Arabic Transparent" w:hint="cs"/>
          <w:sz w:val="28"/>
          <w:szCs w:val="28"/>
          <w:rtl/>
          <w:lang w:val="en-AE" w:bidi="ar-JO"/>
        </w:rPr>
        <w:t xml:space="preserve">وفي جانب تغير العرف يجب اعتبار تغيّر عوائد الناس وأعرافهم حيث قال ابن خلدون: "إن أحوال العالم والأمم وعوائدهم </w:t>
      </w:r>
      <w:r w:rsidR="00DD7FF1" w:rsidRPr="00D2015A">
        <w:rPr>
          <w:rFonts w:ascii="Arabic Transparent" w:hAnsi="Arabic Transparent" w:cs="Arabic Transparent" w:hint="cs"/>
          <w:sz w:val="28"/>
          <w:szCs w:val="28"/>
          <w:rtl/>
          <w:lang w:val="en-AE" w:bidi="ar-JO"/>
        </w:rPr>
        <w:t>ونحلهم لا تدوم على وتيرة واحدة ومنهاج مستقر، إنما هو الاختلاف على الأيام والأزمنة</w:t>
      </w:r>
      <w:r w:rsidR="00D2015A" w:rsidRPr="00D2015A">
        <w:rPr>
          <w:rFonts w:ascii="Arabic Transparent" w:hAnsi="Arabic Transparent" w:cs="Arabic Transparent" w:hint="cs"/>
          <w:sz w:val="28"/>
          <w:szCs w:val="28"/>
          <w:rtl/>
          <w:lang w:val="en-AE" w:bidi="ar-JO"/>
        </w:rPr>
        <w:t>،</w:t>
      </w:r>
      <w:r w:rsidR="00DD7FF1" w:rsidRPr="00D2015A">
        <w:rPr>
          <w:rFonts w:ascii="Arabic Transparent" w:hAnsi="Arabic Transparent" w:cs="Arabic Transparent" w:hint="cs"/>
          <w:sz w:val="28"/>
          <w:szCs w:val="28"/>
          <w:rtl/>
          <w:lang w:val="en-AE" w:bidi="ar-JO"/>
        </w:rPr>
        <w:t xml:space="preserve"> وانتقال من حال إلى حال</w:t>
      </w:r>
      <w:r w:rsidRPr="00D2015A">
        <w:rPr>
          <w:rFonts w:ascii="Arabic Transparent" w:hAnsi="Arabic Transparent" w:cs="Arabic Transparent" w:hint="cs"/>
          <w:sz w:val="28"/>
          <w:szCs w:val="28"/>
          <w:rtl/>
          <w:lang w:val="en-AE" w:bidi="ar-JO"/>
        </w:rPr>
        <w:t>"</w:t>
      </w:r>
      <w:r w:rsidR="00DD7FF1" w:rsidRPr="00D2015A">
        <w:rPr>
          <w:rFonts w:ascii="Arabic Transparent" w:hAnsi="Arabic Transparent" w:cs="Arabic Transparent" w:hint="cs"/>
          <w:sz w:val="28"/>
          <w:szCs w:val="28"/>
          <w:vertAlign w:val="superscript"/>
          <w:rtl/>
          <w:lang w:val="en-AE" w:bidi="ar-JO"/>
        </w:rPr>
        <w:t>(</w:t>
      </w:r>
      <w:r w:rsidR="00DD7FF1" w:rsidRPr="00D2015A">
        <w:rPr>
          <w:rStyle w:val="FootnoteReference"/>
          <w:rFonts w:ascii="Arabic Transparent" w:hAnsi="Arabic Transparent" w:cs="Arabic Transparent" w:hint="cs"/>
          <w:sz w:val="28"/>
          <w:szCs w:val="28"/>
          <w:rtl/>
          <w:lang w:val="en-AE" w:bidi="ar-JO"/>
        </w:rPr>
        <w:footnoteReference w:id="172"/>
      </w:r>
      <w:r w:rsidR="00DD7FF1" w:rsidRPr="00D2015A">
        <w:rPr>
          <w:rFonts w:ascii="Arabic Transparent" w:hAnsi="Arabic Transparent" w:cs="Arabic Transparent" w:hint="cs"/>
          <w:sz w:val="28"/>
          <w:szCs w:val="28"/>
          <w:vertAlign w:val="superscript"/>
          <w:rtl/>
          <w:lang w:val="en-AE" w:bidi="ar-JO"/>
        </w:rPr>
        <w:t>)</w:t>
      </w:r>
      <w:r w:rsidR="00DD7FF1" w:rsidRPr="00D2015A">
        <w:rPr>
          <w:rFonts w:ascii="Arabic Transparent" w:hAnsi="Arabic Transparent" w:cs="Arabic Transparent" w:hint="cs"/>
          <w:sz w:val="28"/>
          <w:szCs w:val="28"/>
          <w:rtl/>
          <w:lang w:val="en-AE" w:bidi="ar-JO"/>
        </w:rPr>
        <w:t xml:space="preserve"> وهو ما جعل الفقهاء يقرروا القاعدة الفقهية "لا ينكر تغيّر الأحكام بتغيّر الزمان والمكان والحال"</w:t>
      </w:r>
      <w:r w:rsidR="00F81129" w:rsidRPr="00D2015A">
        <w:rPr>
          <w:rFonts w:ascii="Arabic Transparent" w:hAnsi="Arabic Transparent" w:cs="Arabic Transparent" w:hint="cs"/>
          <w:sz w:val="28"/>
          <w:szCs w:val="28"/>
          <w:vertAlign w:val="superscript"/>
          <w:rtl/>
          <w:lang w:val="en-AE" w:bidi="ar-JO"/>
        </w:rPr>
        <w:t>(</w:t>
      </w:r>
      <w:r w:rsidR="00F81129" w:rsidRPr="00D2015A">
        <w:rPr>
          <w:rStyle w:val="FootnoteReference"/>
          <w:rFonts w:ascii="Arabic Transparent" w:hAnsi="Arabic Transparent" w:cs="Arabic Transparent" w:hint="cs"/>
          <w:sz w:val="28"/>
          <w:szCs w:val="28"/>
          <w:rtl/>
          <w:lang w:val="en-AE" w:bidi="ar-JO"/>
        </w:rPr>
        <w:footnoteReference w:id="173"/>
      </w:r>
      <w:r w:rsidR="00F81129" w:rsidRPr="00D2015A">
        <w:rPr>
          <w:rFonts w:ascii="Arabic Transparent" w:hAnsi="Arabic Transparent" w:cs="Arabic Transparent" w:hint="cs"/>
          <w:sz w:val="28"/>
          <w:szCs w:val="28"/>
          <w:vertAlign w:val="superscript"/>
          <w:rtl/>
          <w:lang w:val="en-AE" w:bidi="ar-JO"/>
        </w:rPr>
        <w:t>)</w:t>
      </w:r>
      <w:r w:rsidR="00F81129" w:rsidRPr="00D2015A">
        <w:rPr>
          <w:rFonts w:ascii="Arabic Transparent" w:hAnsi="Arabic Transparent" w:cs="Arabic Transparent" w:hint="cs"/>
          <w:sz w:val="28"/>
          <w:szCs w:val="28"/>
          <w:rtl/>
          <w:lang w:val="en-AE" w:bidi="ar-JO"/>
        </w:rPr>
        <w:t xml:space="preserve"> واعتبر القرافي عدم مراعاة اختلاف العوائد في الاجتهاد خلاف الإجماع، ومن الجهالة في الدِّين حيث قال: "إن إجراء الأحكام التي مدركها العوائد مع تغيُّر تلك العوائد خلاف الإجماع، وجهالةٌ في الدين، بل كلُّ ما هو في الشريعة يتبع العوائد يتغيُّر</w:t>
      </w:r>
      <w:r w:rsidR="00F81129" w:rsidRPr="00196BEB">
        <w:rPr>
          <w:rFonts w:ascii="Arabic Transparent" w:hAnsi="Arabic Transparent" w:cs="Arabic Transparent" w:hint="cs"/>
          <w:sz w:val="28"/>
          <w:szCs w:val="28"/>
          <w:rtl/>
          <w:lang w:val="en-AE" w:bidi="ar-JO"/>
        </w:rPr>
        <w:t xml:space="preserve"> الحُكم فيه عند تغيُّر العادة إلى ما تقتضيه العادة المتجدِّدة"</w:t>
      </w:r>
      <w:r w:rsidR="00F81129" w:rsidRPr="00196BEB">
        <w:rPr>
          <w:rFonts w:ascii="Arabic Transparent" w:hAnsi="Arabic Transparent" w:cs="Arabic Transparent" w:hint="cs"/>
          <w:sz w:val="28"/>
          <w:szCs w:val="28"/>
          <w:vertAlign w:val="superscript"/>
          <w:rtl/>
          <w:lang w:val="en-AE" w:bidi="ar-JO"/>
        </w:rPr>
        <w:t>(</w:t>
      </w:r>
      <w:r w:rsidR="00F81129" w:rsidRPr="00196BEB">
        <w:rPr>
          <w:rStyle w:val="FootnoteReference"/>
          <w:rFonts w:ascii="Arabic Transparent" w:hAnsi="Arabic Transparent" w:cs="Arabic Transparent" w:hint="cs"/>
          <w:sz w:val="28"/>
          <w:szCs w:val="28"/>
          <w:rtl/>
          <w:lang w:val="en-AE" w:bidi="ar-JO"/>
        </w:rPr>
        <w:footnoteReference w:id="174"/>
      </w:r>
      <w:r w:rsidR="00F81129" w:rsidRPr="00196BEB">
        <w:rPr>
          <w:rFonts w:ascii="Arabic Transparent" w:hAnsi="Arabic Transparent" w:cs="Arabic Transparent" w:hint="cs"/>
          <w:sz w:val="28"/>
          <w:szCs w:val="28"/>
          <w:vertAlign w:val="superscript"/>
          <w:rtl/>
          <w:lang w:val="en-AE" w:bidi="ar-JO"/>
        </w:rPr>
        <w:t>)</w:t>
      </w:r>
      <w:r w:rsidR="002C631C">
        <w:rPr>
          <w:rFonts w:ascii="Arabic Transparent" w:hAnsi="Arabic Transparent" w:cs="Arabic Transparent" w:hint="cs"/>
          <w:sz w:val="28"/>
          <w:szCs w:val="28"/>
          <w:vertAlign w:val="superscript"/>
          <w:rtl/>
          <w:lang w:val="en-AE" w:bidi="ar-JO"/>
        </w:rPr>
        <w:t>،</w:t>
      </w:r>
      <w:r w:rsidR="00F81129" w:rsidRPr="00196BEB">
        <w:rPr>
          <w:rFonts w:ascii="Arabic Transparent" w:hAnsi="Arabic Transparent" w:cs="Arabic Transparent" w:hint="cs"/>
          <w:sz w:val="28"/>
          <w:szCs w:val="28"/>
          <w:vertAlign w:val="superscript"/>
          <w:rtl/>
          <w:lang w:val="en-AE" w:bidi="ar-JO"/>
        </w:rPr>
        <w:t xml:space="preserve"> </w:t>
      </w:r>
      <w:r w:rsidR="00F81129" w:rsidRPr="00196BEB">
        <w:rPr>
          <w:rFonts w:ascii="Arabic Transparent" w:hAnsi="Arabic Transparent" w:cs="Arabic Transparent" w:hint="cs"/>
          <w:sz w:val="28"/>
          <w:szCs w:val="28"/>
          <w:rtl/>
          <w:lang w:val="en-AE" w:bidi="ar-JO"/>
        </w:rPr>
        <w:t>وبناء على ذلك فقد قرر مجمع الفقه الإسلامي في دورته السابعة عشر</w:t>
      </w:r>
      <w:r w:rsidR="006E7F99">
        <w:rPr>
          <w:rFonts w:ascii="Arabic Transparent" w:hAnsi="Arabic Transparent" w:cs="Arabic Transparent" w:hint="cs"/>
          <w:sz w:val="28"/>
          <w:szCs w:val="28"/>
          <w:rtl/>
          <w:lang w:val="en-AE" w:bidi="ar-JO"/>
        </w:rPr>
        <w:t xml:space="preserve">، </w:t>
      </w:r>
      <w:r w:rsidR="00F81129" w:rsidRPr="00196BEB">
        <w:rPr>
          <w:rFonts w:ascii="Arabic Transparent" w:hAnsi="Arabic Transparent" w:cs="Arabic Transparent" w:hint="cs"/>
          <w:sz w:val="28"/>
          <w:szCs w:val="28"/>
          <w:rtl/>
          <w:lang w:val="en-AE" w:bidi="ar-JO"/>
        </w:rPr>
        <w:t xml:space="preserve">أن من شروط الإفتاء: "المعرفة بأحوال الناس </w:t>
      </w:r>
    </w:p>
    <w:p w14:paraId="50DEB6C1" w14:textId="77777777" w:rsidR="006E7F99" w:rsidRDefault="006E7F99">
      <w:pPr>
        <w:bidi w:val="0"/>
        <w:spacing w:after="0" w:line="240" w:lineRule="auto"/>
        <w:rPr>
          <w:rFonts w:ascii="Arabic Transparent" w:hAnsi="Arabic Transparent" w:cs="Arabic Transparent"/>
          <w:sz w:val="28"/>
          <w:szCs w:val="28"/>
          <w:rtl/>
          <w:lang w:val="en-AE" w:bidi="ar-JO"/>
        </w:rPr>
      </w:pPr>
      <w:r>
        <w:rPr>
          <w:rFonts w:ascii="Arabic Transparent" w:hAnsi="Arabic Transparent" w:cs="Arabic Transparent"/>
          <w:sz w:val="28"/>
          <w:szCs w:val="28"/>
          <w:rtl/>
          <w:lang w:val="en-AE" w:bidi="ar-JO"/>
        </w:rPr>
        <w:br w:type="page"/>
      </w:r>
    </w:p>
    <w:p w14:paraId="413FF907" w14:textId="7183303E" w:rsidR="00EE1CAB" w:rsidRDefault="00F81129" w:rsidP="006E7F99">
      <w:pPr>
        <w:spacing w:after="0" w:line="360" w:lineRule="auto"/>
        <w:ind w:hanging="1"/>
        <w:jc w:val="both"/>
        <w:rPr>
          <w:rFonts w:ascii="Arabic Transparent" w:hAnsi="Arabic Transparent" w:cs="Arabic Transparent"/>
          <w:sz w:val="28"/>
          <w:szCs w:val="28"/>
          <w:rtl/>
          <w:lang w:val="en-AE" w:bidi="ar-JO"/>
        </w:rPr>
      </w:pPr>
      <w:r w:rsidRPr="00196BEB">
        <w:rPr>
          <w:rFonts w:ascii="Arabic Transparent" w:hAnsi="Arabic Transparent" w:cs="Arabic Transparent" w:hint="cs"/>
          <w:sz w:val="28"/>
          <w:szCs w:val="28"/>
          <w:rtl/>
          <w:lang w:val="en-AE" w:bidi="ar-JO"/>
        </w:rPr>
        <w:t>وأعرافهم وأوضاع العصر ومستجداته، ومراعاة تغيُّرها فيما بُنِيَ على العرف المعتبر الذي لا يصادم النصّ"</w:t>
      </w:r>
      <w:r w:rsidR="00AE6F49" w:rsidRPr="00196BEB">
        <w:rPr>
          <w:rFonts w:ascii="Arabic Transparent" w:hAnsi="Arabic Transparent" w:cs="Arabic Transparent" w:hint="cs"/>
          <w:sz w:val="28"/>
          <w:szCs w:val="28"/>
          <w:vertAlign w:val="superscript"/>
          <w:rtl/>
          <w:lang w:val="en-AE" w:bidi="ar-JO"/>
        </w:rPr>
        <w:t>(</w:t>
      </w:r>
      <w:r w:rsidR="00AE6F49" w:rsidRPr="00196BEB">
        <w:rPr>
          <w:rStyle w:val="FootnoteReference"/>
          <w:rFonts w:ascii="Arabic Transparent" w:hAnsi="Arabic Transparent" w:cs="Arabic Transparent" w:hint="cs"/>
          <w:sz w:val="28"/>
          <w:szCs w:val="28"/>
          <w:rtl/>
          <w:lang w:val="en-AE" w:bidi="ar-JO"/>
        </w:rPr>
        <w:footnoteReference w:id="175"/>
      </w:r>
      <w:r w:rsidR="00AE6F49" w:rsidRPr="00196BEB">
        <w:rPr>
          <w:rFonts w:ascii="Arabic Transparent" w:hAnsi="Arabic Transparent" w:cs="Arabic Transparent" w:hint="cs"/>
          <w:sz w:val="28"/>
          <w:szCs w:val="28"/>
          <w:vertAlign w:val="superscript"/>
          <w:rtl/>
          <w:lang w:val="en-AE" w:bidi="ar-JO"/>
        </w:rPr>
        <w:t>)</w:t>
      </w:r>
      <w:r w:rsidR="00514C65">
        <w:rPr>
          <w:rFonts w:ascii="Arabic Transparent" w:hAnsi="Arabic Transparent" w:cs="Arabic Transparent" w:hint="cs"/>
          <w:sz w:val="28"/>
          <w:szCs w:val="28"/>
          <w:rtl/>
          <w:lang w:val="en-AE" w:bidi="ar-JO"/>
        </w:rPr>
        <w:t>.</w:t>
      </w:r>
    </w:p>
    <w:p w14:paraId="3F02627C" w14:textId="365E4732" w:rsidR="00E312F1" w:rsidRDefault="00D8093F" w:rsidP="00E312F1">
      <w:pPr>
        <w:spacing w:after="0" w:line="360" w:lineRule="auto"/>
        <w:jc w:val="both"/>
        <w:rPr>
          <w:rFonts w:ascii="Arabic Transparent" w:hAnsi="Arabic Transparent" w:cs="Arabic Transparent"/>
          <w:sz w:val="28"/>
          <w:szCs w:val="28"/>
          <w:rtl/>
          <w:lang w:val="en-AE" w:bidi="ar-JO"/>
        </w:rPr>
      </w:pPr>
      <w:r>
        <w:rPr>
          <w:rFonts w:ascii="Arabic Transparent" w:hAnsi="Arabic Transparent" w:cs="Arabic Transparent" w:hint="cs"/>
          <w:sz w:val="28"/>
          <w:szCs w:val="28"/>
          <w:rtl/>
          <w:lang w:val="en-AE" w:bidi="ar-JO"/>
        </w:rPr>
        <w:t xml:space="preserve">      </w:t>
      </w:r>
      <w:r w:rsidR="005E6420" w:rsidRPr="00196BEB">
        <w:rPr>
          <w:rFonts w:ascii="Arabic Transparent" w:hAnsi="Arabic Transparent" w:cs="Arabic Transparent" w:hint="cs"/>
          <w:sz w:val="28"/>
          <w:szCs w:val="28"/>
          <w:rtl/>
          <w:lang w:val="en-AE" w:bidi="ar-JO"/>
        </w:rPr>
        <w:t xml:space="preserve">ومن أهم الأصول التي يجب أن يراعيها المجتهد؛ اعتبار مآلات الأفعال والأقوال الصادرة عن المكلفين عند تحقيق المناط الخاص، قال </w:t>
      </w:r>
      <w:r w:rsidR="00305834" w:rsidRPr="00196BEB">
        <w:rPr>
          <w:rFonts w:ascii="Arabic Transparent" w:hAnsi="Arabic Transparent" w:cs="Arabic Transparent" w:hint="cs"/>
          <w:sz w:val="28"/>
          <w:szCs w:val="28"/>
          <w:rtl/>
          <w:lang w:val="en-AE" w:bidi="ar-JO"/>
        </w:rPr>
        <w:t>الشاطبي</w:t>
      </w:r>
      <w:r w:rsidR="00305834">
        <w:rPr>
          <w:rFonts w:ascii="Arabic Transparent" w:hAnsi="Arabic Transparent" w:cs="Arabic Transparent" w:hint="cs"/>
          <w:sz w:val="28"/>
          <w:szCs w:val="28"/>
          <w:rtl/>
          <w:lang w:val="en-AE" w:bidi="ar-JO"/>
        </w:rPr>
        <w:t>:</w:t>
      </w:r>
      <w:r w:rsidR="00305834" w:rsidRPr="00196BEB">
        <w:rPr>
          <w:rFonts w:ascii="Arabic Transparent" w:hAnsi="Arabic Transparent" w:cs="Arabic Transparent" w:hint="cs"/>
          <w:sz w:val="28"/>
          <w:szCs w:val="28"/>
          <w:rtl/>
          <w:lang w:val="en-AE" w:bidi="ar-JO"/>
        </w:rPr>
        <w:t xml:space="preserve"> "النظ</w:t>
      </w:r>
      <w:r w:rsidR="00305834" w:rsidRPr="00196BEB">
        <w:rPr>
          <w:rFonts w:ascii="Arabic Transparent" w:hAnsi="Arabic Transparent" w:cs="Arabic Transparent" w:hint="eastAsia"/>
          <w:sz w:val="28"/>
          <w:szCs w:val="28"/>
          <w:rtl/>
          <w:lang w:val="en-AE" w:bidi="ar-JO"/>
        </w:rPr>
        <w:t>ر</w:t>
      </w:r>
      <w:r w:rsidR="005E6420" w:rsidRPr="00196BEB">
        <w:rPr>
          <w:rFonts w:ascii="Arabic Transparent" w:hAnsi="Arabic Transparent" w:cs="Arabic Transparent" w:hint="cs"/>
          <w:sz w:val="28"/>
          <w:szCs w:val="28"/>
          <w:rtl/>
          <w:lang w:val="en-AE" w:bidi="ar-JO"/>
        </w:rPr>
        <w:t xml:space="preserve"> في مآلات الأفعال مع</w:t>
      </w:r>
      <w:r w:rsidR="00D2015A">
        <w:rPr>
          <w:rFonts w:ascii="Arabic Transparent" w:hAnsi="Arabic Transparent" w:cs="Arabic Transparent" w:hint="cs"/>
          <w:sz w:val="28"/>
          <w:szCs w:val="28"/>
          <w:rtl/>
          <w:lang w:val="en-AE" w:bidi="ar-JO"/>
        </w:rPr>
        <w:t>ت</w:t>
      </w:r>
      <w:r w:rsidR="005E6420" w:rsidRPr="00196BEB">
        <w:rPr>
          <w:rFonts w:ascii="Arabic Transparent" w:hAnsi="Arabic Transparent" w:cs="Arabic Transparent" w:hint="cs"/>
          <w:sz w:val="28"/>
          <w:szCs w:val="28"/>
          <w:rtl/>
          <w:lang w:val="en-AE" w:bidi="ar-JO"/>
        </w:rPr>
        <w:t>برٌ مقصودٌ شرعاً، كانت الأفعال موافقة أو مخالفة، وذلك أن المجتهد لا يحكم على فعل من الأفعال الصادرة عن المكلفين بالإقدام أو الإحجام إلا بعد نظره إلى ما يؤول إليه ذلك الفعل"</w:t>
      </w:r>
      <w:r w:rsidR="005E6420" w:rsidRPr="00196BEB">
        <w:rPr>
          <w:rFonts w:ascii="Arabic Transparent" w:hAnsi="Arabic Transparent" w:cs="Arabic Transparent" w:hint="cs"/>
          <w:sz w:val="28"/>
          <w:szCs w:val="28"/>
          <w:vertAlign w:val="superscript"/>
          <w:rtl/>
          <w:lang w:val="en-AE" w:bidi="ar-JO"/>
        </w:rPr>
        <w:t>(</w:t>
      </w:r>
      <w:r w:rsidR="005E6420" w:rsidRPr="00196BEB">
        <w:rPr>
          <w:rStyle w:val="FootnoteReference"/>
          <w:rFonts w:ascii="Arabic Transparent" w:hAnsi="Arabic Transparent" w:cs="Arabic Transparent" w:hint="cs"/>
          <w:sz w:val="28"/>
          <w:szCs w:val="28"/>
          <w:rtl/>
          <w:lang w:val="en-AE" w:bidi="ar-JO"/>
        </w:rPr>
        <w:footnoteReference w:id="176"/>
      </w:r>
      <w:r w:rsidR="005E6420" w:rsidRPr="00196BEB">
        <w:rPr>
          <w:rFonts w:ascii="Arabic Transparent" w:hAnsi="Arabic Transparent" w:cs="Arabic Transparent" w:hint="cs"/>
          <w:sz w:val="28"/>
          <w:szCs w:val="28"/>
          <w:vertAlign w:val="superscript"/>
          <w:rtl/>
          <w:lang w:val="en-AE" w:bidi="ar-JO"/>
        </w:rPr>
        <w:t>)</w:t>
      </w:r>
      <w:r w:rsidR="00514C65">
        <w:rPr>
          <w:rFonts w:ascii="Arabic Transparent" w:hAnsi="Arabic Transparent" w:cs="Arabic Transparent" w:hint="cs"/>
          <w:sz w:val="28"/>
          <w:szCs w:val="28"/>
          <w:rtl/>
          <w:lang w:val="en-AE" w:bidi="ar-JO"/>
        </w:rPr>
        <w:t>.</w:t>
      </w:r>
    </w:p>
    <w:p w14:paraId="1D54532E" w14:textId="495B14FD" w:rsidR="005E6420" w:rsidRPr="00D2015A" w:rsidRDefault="005E6420" w:rsidP="00D2015A">
      <w:pPr>
        <w:spacing w:after="0" w:line="360" w:lineRule="auto"/>
        <w:ind w:firstLine="332"/>
        <w:jc w:val="both"/>
        <w:rPr>
          <w:rFonts w:ascii="Arabic Transparent" w:hAnsi="Arabic Transparent" w:cs="Arabic Transparent"/>
          <w:sz w:val="28"/>
          <w:szCs w:val="28"/>
          <w:rtl/>
          <w:lang w:val="en-AE" w:bidi="ar-JO"/>
        </w:rPr>
      </w:pPr>
      <w:r>
        <w:rPr>
          <w:rFonts w:ascii="Arabic Transparent" w:hAnsi="Arabic Transparent" w:cs="Arabic Transparent" w:hint="cs"/>
          <w:sz w:val="28"/>
          <w:szCs w:val="28"/>
          <w:rtl/>
          <w:lang w:val="en-AE" w:bidi="ar-JO"/>
        </w:rPr>
        <w:t>وقد وج</w:t>
      </w:r>
      <w:r w:rsidR="00D2015A">
        <w:rPr>
          <w:rFonts w:ascii="Arabic Transparent" w:hAnsi="Arabic Transparent" w:cs="Arabic Transparent" w:hint="cs"/>
          <w:sz w:val="28"/>
          <w:szCs w:val="28"/>
          <w:rtl/>
          <w:lang w:val="en-AE" w:bidi="ar-JO"/>
        </w:rPr>
        <w:t>َّ</w:t>
      </w:r>
      <w:r>
        <w:rPr>
          <w:rFonts w:ascii="Arabic Transparent" w:hAnsi="Arabic Transparent" w:cs="Arabic Transparent" w:hint="cs"/>
          <w:sz w:val="28"/>
          <w:szCs w:val="28"/>
          <w:rtl/>
          <w:lang w:val="en-AE" w:bidi="ar-JO"/>
        </w:rPr>
        <w:t xml:space="preserve">ه القرآن الكريم إلى النظر في المآلات حيث قال تعالى: </w:t>
      </w:r>
      <w:r w:rsidR="00196BEB" w:rsidRPr="00196BEB">
        <w:rPr>
          <w:rFonts w:ascii="KFGQPC HAFS Uthmanic Script" w:hAnsi="Times New Roman" w:cs="KFGQPC HAFS Uthmanic Script" w:hint="cs"/>
          <w:color w:val="000000"/>
          <w:sz w:val="28"/>
          <w:szCs w:val="28"/>
          <w:rtl/>
        </w:rPr>
        <w:t>ﵟ وَلَا تَسُبُّواْ ٱلَّذِينَ يَدۡعُونَ مِن دُونِ ٱللَّهِ فَيَسُبُّواْ ٱللَّهَ عَدۡوَۢا بِغَيۡرِ عِلۡمٖۗ كَذَٰلِكَ زَيَّنَّا لِكُلِّ أُمَّةٍ عَمَلَهُمۡ ثُمَّ إِلَىٰ رَبِّهِم مَّرۡجِعُهُمۡ فَيُنَبِّئُهُم بِمَا كَانُواْ يَعۡمَلُونَ ١٠٨ﵞ</w:t>
      </w:r>
      <w:r w:rsidR="00196BEB" w:rsidRPr="00196BEB">
        <w:rPr>
          <w:rFonts w:ascii="KFGQPC HAFS Uthmanic Script" w:hAnsi="Times New Roman" w:cs="KFGQPC HAFS Uthmanic Script"/>
          <w:color w:val="000000"/>
          <w:sz w:val="28"/>
          <w:szCs w:val="28"/>
          <w:rtl/>
        </w:rPr>
        <w:t xml:space="preserve"> </w:t>
      </w:r>
      <w:r w:rsidR="00196BEB" w:rsidRPr="00196BEB">
        <w:rPr>
          <w:rFonts w:ascii="KFGQPC HAFS Uthmanic Script" w:hAnsi="Times New Roman" w:cs="KFGQPC HAFS Uthmanic Script" w:hint="cs"/>
          <w:color w:val="000000"/>
          <w:sz w:val="28"/>
          <w:szCs w:val="28"/>
          <w:rtl/>
        </w:rPr>
        <w:t>ﵝالأَنۡعَام</w:t>
      </w:r>
      <w:r w:rsidR="005D7B91">
        <w:rPr>
          <w:rFonts w:ascii="KFGQPC HAFS Uthmanic Script" w:hAnsi="Times New Roman" w:cs="KFGQPC HAFS Uthmanic Script"/>
          <w:color w:val="000000"/>
          <w:sz w:val="28"/>
          <w:szCs w:val="28"/>
          <w:rtl/>
        </w:rPr>
        <w:t xml:space="preserve">: </w:t>
      </w:r>
      <w:r w:rsidR="00196BEB" w:rsidRPr="00196BEB">
        <w:rPr>
          <w:rFonts w:ascii="KFGQPC HAFS Uthmanic Script" w:hAnsi="Times New Roman" w:cs="KFGQPC HAFS Uthmanic Script" w:hint="cs"/>
          <w:color w:val="000000"/>
          <w:sz w:val="28"/>
          <w:szCs w:val="28"/>
          <w:rtl/>
        </w:rPr>
        <w:t>ﵘﵐﵑﵜ</w:t>
      </w:r>
      <w:r w:rsidR="00196BEB">
        <w:rPr>
          <w:rFonts w:ascii="Arabic Transparent" w:hAnsi="Arabic Transparent" w:cs="Arabic Transparent" w:hint="cs"/>
          <w:sz w:val="28"/>
          <w:szCs w:val="28"/>
          <w:rtl/>
          <w:lang w:val="en-AE" w:bidi="ar-JO"/>
        </w:rPr>
        <w:t xml:space="preserve"> </w:t>
      </w:r>
      <w:r w:rsidR="00196BEB" w:rsidRPr="00196BEB">
        <w:rPr>
          <w:rFonts w:ascii="Arabic Transparent" w:hAnsi="Arabic Transparent" w:cs="Arabic Transparent" w:hint="cs"/>
          <w:b/>
          <w:bCs/>
          <w:sz w:val="28"/>
          <w:szCs w:val="28"/>
          <w:rtl/>
          <w:lang w:val="en-AE" w:bidi="ar-JO"/>
        </w:rPr>
        <w:t>وج</w:t>
      </w:r>
      <w:r w:rsidR="00196BEB" w:rsidRPr="007D6911">
        <w:rPr>
          <w:rFonts w:ascii="Arabic Transparent" w:hAnsi="Arabic Transparent" w:cs="Arabic Transparent" w:hint="cs"/>
          <w:b/>
          <w:bCs/>
          <w:sz w:val="28"/>
          <w:szCs w:val="28"/>
          <w:rtl/>
          <w:lang w:val="en-AE" w:bidi="ar-JO"/>
        </w:rPr>
        <w:t>ه الدلالة:</w:t>
      </w:r>
      <w:r w:rsidR="00196BEB" w:rsidRPr="007D6911">
        <w:rPr>
          <w:rFonts w:ascii="Arabic Transparent" w:hAnsi="Arabic Transparent" w:cs="Arabic Transparent" w:hint="cs"/>
          <w:sz w:val="28"/>
          <w:szCs w:val="28"/>
          <w:rtl/>
          <w:lang w:val="en-AE" w:bidi="ar-JO"/>
        </w:rPr>
        <w:t xml:space="preserve"> سبّ الأوثان سبب في ردّ المشركين، وتوهين أمر الشرك، وإذلال أهله، </w:t>
      </w:r>
      <w:r w:rsidR="00196BEB" w:rsidRPr="00D2015A">
        <w:rPr>
          <w:rFonts w:ascii="Arabic Transparent" w:hAnsi="Arabic Transparent" w:cs="Arabic Transparent" w:hint="cs"/>
          <w:sz w:val="28"/>
          <w:szCs w:val="28"/>
          <w:rtl/>
          <w:lang w:val="en-AE" w:bidi="ar-JO"/>
        </w:rPr>
        <w:t xml:space="preserve">ولكن لما وجد له </w:t>
      </w:r>
      <w:r w:rsidR="007D6911" w:rsidRPr="00D2015A">
        <w:rPr>
          <w:rFonts w:ascii="Arabic Transparent" w:hAnsi="Arabic Transparent" w:cs="Arabic Transparent" w:hint="cs"/>
          <w:sz w:val="28"/>
          <w:szCs w:val="28"/>
          <w:rtl/>
          <w:lang w:val="en-AE" w:bidi="ar-JO"/>
        </w:rPr>
        <w:t>مآل آخر تعتبر مراعاته أرجح وهو خشية سبهم الله تعالى، نهي عن هذا العمل كونه عملاً واعتبارً للمآل الذي أشارت إليه الآية الكريمة</w:t>
      </w:r>
      <w:r w:rsidR="007D6911" w:rsidRPr="00D2015A">
        <w:rPr>
          <w:rFonts w:ascii="Arabic Transparent" w:hAnsi="Arabic Transparent" w:cs="Arabic Transparent" w:hint="cs"/>
          <w:sz w:val="28"/>
          <w:szCs w:val="28"/>
          <w:vertAlign w:val="superscript"/>
          <w:rtl/>
          <w:lang w:val="en-AE" w:bidi="ar-JO"/>
        </w:rPr>
        <w:t>(</w:t>
      </w:r>
      <w:r w:rsidR="007D6911" w:rsidRPr="00D2015A">
        <w:rPr>
          <w:rStyle w:val="FootnoteReference"/>
          <w:rFonts w:ascii="Arabic Transparent" w:hAnsi="Arabic Transparent" w:cs="Arabic Transparent" w:hint="cs"/>
          <w:sz w:val="28"/>
          <w:szCs w:val="28"/>
          <w:rtl/>
          <w:lang w:val="en-AE" w:bidi="ar-JO"/>
        </w:rPr>
        <w:footnoteReference w:id="177"/>
      </w:r>
      <w:r w:rsidR="007D6911" w:rsidRPr="00D2015A">
        <w:rPr>
          <w:rFonts w:ascii="Arabic Transparent" w:hAnsi="Arabic Transparent" w:cs="Arabic Transparent" w:hint="cs"/>
          <w:sz w:val="28"/>
          <w:szCs w:val="28"/>
          <w:vertAlign w:val="superscript"/>
          <w:rtl/>
          <w:lang w:val="en-AE" w:bidi="ar-JO"/>
        </w:rPr>
        <w:t>)</w:t>
      </w:r>
      <w:r w:rsidR="007D6911" w:rsidRPr="00D2015A">
        <w:rPr>
          <w:rFonts w:ascii="Arabic Transparent" w:hAnsi="Arabic Transparent" w:cs="Arabic Transparent" w:hint="cs"/>
          <w:sz w:val="28"/>
          <w:szCs w:val="28"/>
          <w:rtl/>
          <w:lang w:val="en-AE" w:bidi="ar-JO"/>
        </w:rPr>
        <w:t>.</w:t>
      </w:r>
    </w:p>
    <w:p w14:paraId="40307AF0" w14:textId="1EE90E80" w:rsidR="00A064DF" w:rsidRDefault="007D6911" w:rsidP="00A064DF">
      <w:pPr>
        <w:spacing w:after="0" w:line="360" w:lineRule="auto"/>
        <w:ind w:firstLine="332"/>
        <w:jc w:val="both"/>
        <w:rPr>
          <w:rFonts w:ascii="Arabic Transparent" w:hAnsi="Arabic Transparent" w:cs="Arabic Transparent"/>
          <w:sz w:val="28"/>
          <w:szCs w:val="28"/>
          <w:rtl/>
          <w:lang w:val="en-AE" w:bidi="ar-JO"/>
        </w:rPr>
      </w:pPr>
      <w:r w:rsidRPr="00D2015A">
        <w:rPr>
          <w:rFonts w:ascii="Arabic Transparent" w:hAnsi="Arabic Transparent" w:cs="Arabic Transparent" w:hint="cs"/>
          <w:sz w:val="28"/>
          <w:szCs w:val="28"/>
          <w:rtl/>
          <w:lang w:val="en-AE" w:bidi="ar-JO"/>
        </w:rPr>
        <w:t>وكذلك من مراعاة خصوصيات المناط أن يراعي المجتهد اختلاف مقاصد المكلفين في تصرفاتهم</w:t>
      </w:r>
      <w:r w:rsidRPr="00975B0C">
        <w:rPr>
          <w:rFonts w:ascii="Arabic Transparent" w:hAnsi="Arabic Transparent" w:cs="Arabic Transparent" w:hint="cs"/>
          <w:sz w:val="28"/>
          <w:szCs w:val="28"/>
          <w:rtl/>
          <w:lang w:val="en-AE" w:bidi="ar-JO"/>
        </w:rPr>
        <w:t xml:space="preserve"> وأفعالهم قال ابن القيم</w:t>
      </w:r>
      <w:r w:rsidR="000176CF" w:rsidRPr="00975B0C">
        <w:rPr>
          <w:rFonts w:ascii="Arabic Transparent" w:hAnsi="Arabic Transparent" w:cs="Arabic Transparent" w:hint="cs"/>
          <w:sz w:val="28"/>
          <w:szCs w:val="28"/>
          <w:rtl/>
          <w:lang w:val="en-AE" w:bidi="ar-JO"/>
        </w:rPr>
        <w:t>: "وقاعدة الشريعة التي لا يجوز هدمها أنَّ المقاصد والاعتقادات مُعتَبرةٌ في التصرُّفات والعبارات كما هي مُعتَبرةٌ في التقرُّبات والعبادات، فالقصد والنيَّة والاعتقاد يجعل الشيء حلالاً أو حراماً، وصحيحاً أو فاسداً، وطاعةً أو معصية، كما أن القصد في العبادة يجعلها واجبةً</w:t>
      </w:r>
      <w:r w:rsidR="00D2015A">
        <w:rPr>
          <w:rFonts w:ascii="Arabic Transparent" w:hAnsi="Arabic Transparent" w:cs="Arabic Transparent" w:hint="cs"/>
          <w:sz w:val="28"/>
          <w:szCs w:val="28"/>
          <w:rtl/>
          <w:lang w:val="en-AE" w:bidi="ar-JO"/>
        </w:rPr>
        <w:t>،</w:t>
      </w:r>
      <w:r w:rsidR="000176CF" w:rsidRPr="00975B0C">
        <w:rPr>
          <w:rFonts w:ascii="Arabic Transparent" w:hAnsi="Arabic Transparent" w:cs="Arabic Transparent" w:hint="cs"/>
          <w:sz w:val="28"/>
          <w:szCs w:val="28"/>
          <w:rtl/>
          <w:lang w:val="en-AE" w:bidi="ar-JO"/>
        </w:rPr>
        <w:t xml:space="preserve"> أو مستحبةً</w:t>
      </w:r>
      <w:r w:rsidR="00D2015A">
        <w:rPr>
          <w:rFonts w:ascii="Arabic Transparent" w:hAnsi="Arabic Transparent" w:cs="Arabic Transparent" w:hint="cs"/>
          <w:sz w:val="28"/>
          <w:szCs w:val="28"/>
          <w:rtl/>
          <w:lang w:val="en-AE" w:bidi="ar-JO"/>
        </w:rPr>
        <w:t>،</w:t>
      </w:r>
      <w:r w:rsidR="000176CF" w:rsidRPr="00975B0C">
        <w:rPr>
          <w:rFonts w:ascii="Arabic Transparent" w:hAnsi="Arabic Transparent" w:cs="Arabic Transparent" w:hint="cs"/>
          <w:sz w:val="28"/>
          <w:szCs w:val="28"/>
          <w:rtl/>
          <w:lang w:val="en-AE" w:bidi="ar-JO"/>
        </w:rPr>
        <w:t xml:space="preserve"> أو محُرَّمَةً</w:t>
      </w:r>
      <w:r w:rsidR="00D2015A">
        <w:rPr>
          <w:rFonts w:ascii="Arabic Transparent" w:hAnsi="Arabic Transparent" w:cs="Arabic Transparent" w:hint="cs"/>
          <w:sz w:val="28"/>
          <w:szCs w:val="28"/>
          <w:rtl/>
          <w:lang w:val="en-AE" w:bidi="ar-JO"/>
        </w:rPr>
        <w:t>،</w:t>
      </w:r>
      <w:r w:rsidR="000176CF" w:rsidRPr="00975B0C">
        <w:rPr>
          <w:rFonts w:ascii="Arabic Transparent" w:hAnsi="Arabic Transparent" w:cs="Arabic Transparent" w:hint="cs"/>
          <w:sz w:val="28"/>
          <w:szCs w:val="28"/>
          <w:rtl/>
          <w:lang w:val="en-AE" w:bidi="ar-JO"/>
        </w:rPr>
        <w:t xml:space="preserve"> أو صحيحةً</w:t>
      </w:r>
      <w:r w:rsidR="00D2015A">
        <w:rPr>
          <w:rFonts w:ascii="Arabic Transparent" w:hAnsi="Arabic Transparent" w:cs="Arabic Transparent" w:hint="cs"/>
          <w:sz w:val="28"/>
          <w:szCs w:val="28"/>
          <w:rtl/>
          <w:lang w:val="en-AE" w:bidi="ar-JO"/>
        </w:rPr>
        <w:t>،</w:t>
      </w:r>
      <w:r w:rsidR="000176CF" w:rsidRPr="00975B0C">
        <w:rPr>
          <w:rFonts w:ascii="Arabic Transparent" w:hAnsi="Arabic Transparent" w:cs="Arabic Transparent" w:hint="cs"/>
          <w:sz w:val="28"/>
          <w:szCs w:val="28"/>
          <w:rtl/>
          <w:lang w:val="en-AE" w:bidi="ar-JO"/>
        </w:rPr>
        <w:t xml:space="preserve"> أو فاسدةً"</w:t>
      </w:r>
      <w:r w:rsidR="000176CF" w:rsidRPr="00975B0C">
        <w:rPr>
          <w:rFonts w:ascii="Arabic Transparent" w:hAnsi="Arabic Transparent" w:cs="Arabic Transparent" w:hint="cs"/>
          <w:sz w:val="28"/>
          <w:szCs w:val="28"/>
          <w:vertAlign w:val="superscript"/>
          <w:rtl/>
          <w:lang w:val="en-AE" w:bidi="ar-JO"/>
        </w:rPr>
        <w:t>(</w:t>
      </w:r>
      <w:r w:rsidR="000176CF" w:rsidRPr="00975B0C">
        <w:rPr>
          <w:rStyle w:val="FootnoteReference"/>
          <w:rFonts w:ascii="Arabic Transparent" w:hAnsi="Arabic Transparent" w:cs="Arabic Transparent" w:hint="cs"/>
          <w:sz w:val="28"/>
          <w:szCs w:val="28"/>
          <w:rtl/>
          <w:lang w:val="en-AE" w:bidi="ar-JO"/>
        </w:rPr>
        <w:footnoteReference w:id="178"/>
      </w:r>
      <w:r w:rsidR="000176CF" w:rsidRPr="00975B0C">
        <w:rPr>
          <w:rFonts w:ascii="Arabic Transparent" w:hAnsi="Arabic Transparent" w:cs="Arabic Transparent" w:hint="cs"/>
          <w:sz w:val="28"/>
          <w:szCs w:val="28"/>
          <w:vertAlign w:val="superscript"/>
          <w:rtl/>
          <w:lang w:val="en-AE" w:bidi="ar-JO"/>
        </w:rPr>
        <w:t>)</w:t>
      </w:r>
      <w:r w:rsidR="000176CF" w:rsidRPr="00975B0C">
        <w:rPr>
          <w:rFonts w:ascii="Arabic Transparent" w:hAnsi="Arabic Transparent" w:cs="Arabic Transparent" w:hint="cs"/>
          <w:sz w:val="28"/>
          <w:szCs w:val="28"/>
          <w:rtl/>
          <w:lang w:val="en-AE" w:bidi="ar-JO"/>
        </w:rPr>
        <w:t xml:space="preserve"> وقد بنى العلماء على هذا الأصل قاعدة</w:t>
      </w:r>
      <w:r w:rsidR="00151AED">
        <w:rPr>
          <w:rFonts w:ascii="Arabic Transparent" w:hAnsi="Arabic Transparent" w:cs="Arabic Transparent" w:hint="cs"/>
          <w:sz w:val="28"/>
          <w:szCs w:val="28"/>
          <w:rtl/>
          <w:lang w:val="en-AE" w:bidi="ar-JO"/>
        </w:rPr>
        <w:t xml:space="preserve"> </w:t>
      </w:r>
      <w:r w:rsidR="00151AED">
        <w:rPr>
          <w:rFonts w:ascii="Arabic Transparent" w:hAnsi="Arabic Transparent" w:cs="Arabic Transparent"/>
          <w:sz w:val="28"/>
          <w:szCs w:val="28"/>
          <w:rtl/>
          <w:lang w:val="en-AE" w:bidi="ar-JO"/>
        </w:rPr>
        <w:t>"</w:t>
      </w:r>
      <w:r w:rsidR="000176CF" w:rsidRPr="00975B0C">
        <w:rPr>
          <w:rFonts w:ascii="Arabic Transparent" w:hAnsi="Arabic Transparent" w:cs="Arabic Transparent" w:hint="cs"/>
          <w:sz w:val="28"/>
          <w:szCs w:val="28"/>
          <w:rtl/>
          <w:lang w:val="en-AE" w:bidi="ar-JO"/>
        </w:rPr>
        <w:t>الأمور بمقاصدها"</w:t>
      </w:r>
      <w:r w:rsidR="000176CF" w:rsidRPr="00975B0C">
        <w:rPr>
          <w:rFonts w:ascii="Arabic Transparent" w:hAnsi="Arabic Transparent" w:cs="Arabic Transparent" w:hint="cs"/>
          <w:sz w:val="28"/>
          <w:szCs w:val="28"/>
          <w:vertAlign w:val="superscript"/>
          <w:rtl/>
          <w:lang w:val="en-AE" w:bidi="ar-JO"/>
        </w:rPr>
        <w:t>(</w:t>
      </w:r>
      <w:r w:rsidR="000176CF" w:rsidRPr="00975B0C">
        <w:rPr>
          <w:rStyle w:val="FootnoteReference"/>
          <w:rFonts w:ascii="Arabic Transparent" w:hAnsi="Arabic Transparent" w:cs="Arabic Transparent" w:hint="cs"/>
          <w:sz w:val="28"/>
          <w:szCs w:val="28"/>
          <w:rtl/>
          <w:lang w:val="en-AE" w:bidi="ar-JO"/>
        </w:rPr>
        <w:footnoteReference w:id="179"/>
      </w:r>
      <w:r w:rsidR="000176CF" w:rsidRPr="00975B0C">
        <w:rPr>
          <w:rFonts w:ascii="Arabic Transparent" w:hAnsi="Arabic Transparent" w:cs="Arabic Transparent" w:hint="cs"/>
          <w:sz w:val="28"/>
          <w:szCs w:val="28"/>
          <w:vertAlign w:val="superscript"/>
          <w:rtl/>
          <w:lang w:val="en-AE" w:bidi="ar-JO"/>
        </w:rPr>
        <w:t xml:space="preserve">) </w:t>
      </w:r>
      <w:r w:rsidR="000176CF" w:rsidRPr="00975B0C">
        <w:rPr>
          <w:rFonts w:ascii="Arabic Transparent" w:hAnsi="Arabic Transparent" w:cs="Arabic Transparent" w:hint="cs"/>
          <w:sz w:val="28"/>
          <w:szCs w:val="28"/>
          <w:rtl/>
          <w:lang w:val="en-AE" w:bidi="ar-JO"/>
        </w:rPr>
        <w:t>ولو كان الفعل واحداً ينظر إلى المقاصد التي تكون سبباً في اختلاف الحكم</w:t>
      </w:r>
      <w:r w:rsidR="00514C65">
        <w:rPr>
          <w:rFonts w:ascii="Arabic Transparent" w:hAnsi="Arabic Transparent" w:cs="Arabic Transparent" w:hint="cs"/>
          <w:sz w:val="28"/>
          <w:szCs w:val="28"/>
          <w:rtl/>
          <w:lang w:val="en-AE" w:bidi="ar-JO"/>
        </w:rPr>
        <w:t xml:space="preserve">، </w:t>
      </w:r>
      <w:r w:rsidR="000176CF" w:rsidRPr="00975B0C">
        <w:rPr>
          <w:rFonts w:ascii="Arabic Transparent" w:hAnsi="Arabic Transparent" w:cs="Arabic Transparent" w:hint="cs"/>
          <w:sz w:val="28"/>
          <w:szCs w:val="28"/>
          <w:rtl/>
          <w:lang w:val="en-AE" w:bidi="ar-JO"/>
        </w:rPr>
        <w:t xml:space="preserve">ومن الأمثلة على ذلك </w:t>
      </w:r>
      <w:r w:rsidR="00A064DF">
        <w:rPr>
          <w:rFonts w:ascii="Arabic Transparent" w:hAnsi="Arabic Transparent" w:cs="Arabic Transparent" w:hint="cs"/>
          <w:sz w:val="28"/>
          <w:szCs w:val="28"/>
          <w:rtl/>
          <w:lang w:val="en-AE" w:bidi="ar-JO"/>
        </w:rPr>
        <w:t>"</w:t>
      </w:r>
      <w:r w:rsidR="000176CF" w:rsidRPr="00975B0C">
        <w:rPr>
          <w:rFonts w:ascii="Arabic Transparent" w:hAnsi="Arabic Transparent" w:cs="Arabic Transparent" w:hint="cs"/>
          <w:sz w:val="28"/>
          <w:szCs w:val="28"/>
          <w:rtl/>
          <w:lang w:val="en-AE" w:bidi="ar-JO"/>
        </w:rPr>
        <w:t xml:space="preserve">عصر العنب بنية أن </w:t>
      </w:r>
      <w:r w:rsidR="00BF6AB8" w:rsidRPr="00975B0C">
        <w:rPr>
          <w:rFonts w:ascii="Arabic Transparent" w:hAnsi="Arabic Transparent" w:cs="Arabic Transparent" w:hint="cs"/>
          <w:sz w:val="28"/>
          <w:szCs w:val="28"/>
          <w:rtl/>
          <w:lang w:val="en-AE" w:bidi="ar-JO"/>
        </w:rPr>
        <w:t>يكون خمراً معصية</w:t>
      </w:r>
      <w:r w:rsidR="00C05626">
        <w:rPr>
          <w:rFonts w:ascii="Arabic Transparent" w:hAnsi="Arabic Transparent" w:cs="Arabic Transparent" w:hint="cs"/>
          <w:sz w:val="28"/>
          <w:szCs w:val="28"/>
          <w:rtl/>
          <w:lang w:val="en-AE" w:bidi="ar-JO"/>
        </w:rPr>
        <w:t>،</w:t>
      </w:r>
      <w:r w:rsidR="00BF6AB8" w:rsidRPr="00975B0C">
        <w:rPr>
          <w:rFonts w:ascii="Arabic Transparent" w:hAnsi="Arabic Transparent" w:cs="Arabic Transparent" w:hint="cs"/>
          <w:sz w:val="28"/>
          <w:szCs w:val="28"/>
          <w:rtl/>
          <w:lang w:val="en-AE" w:bidi="ar-JO"/>
        </w:rPr>
        <w:t xml:space="preserve"> وعصره بنية أن يكون خلاً جائز، </w:t>
      </w:r>
      <w:r w:rsidR="00C05626">
        <w:rPr>
          <w:rFonts w:ascii="Arabic Transparent" w:hAnsi="Arabic Transparent" w:cs="Arabic Transparent" w:hint="cs"/>
          <w:sz w:val="28"/>
          <w:szCs w:val="28"/>
          <w:rtl/>
          <w:lang w:val="en-AE" w:bidi="ar-JO"/>
        </w:rPr>
        <w:t>ول</w:t>
      </w:r>
      <w:r w:rsidR="00BF6AB8" w:rsidRPr="00975B0C">
        <w:rPr>
          <w:rFonts w:ascii="Arabic Transparent" w:hAnsi="Arabic Transparent" w:cs="Arabic Transparent" w:hint="cs"/>
          <w:sz w:val="28"/>
          <w:szCs w:val="28"/>
          <w:rtl/>
          <w:lang w:val="en-AE" w:bidi="ar-JO"/>
        </w:rPr>
        <w:t>و</w:t>
      </w:r>
      <w:r w:rsidR="00305834">
        <w:rPr>
          <w:rFonts w:ascii="Arabic Transparent" w:hAnsi="Arabic Transparent" w:cs="Arabic Transparent" w:hint="cs"/>
          <w:sz w:val="28"/>
          <w:szCs w:val="28"/>
          <w:rtl/>
          <w:lang w:val="en-AE" w:bidi="ar-JO"/>
        </w:rPr>
        <w:t xml:space="preserve"> </w:t>
      </w:r>
      <w:r w:rsidR="00BF6AB8" w:rsidRPr="00975B0C">
        <w:rPr>
          <w:rFonts w:ascii="Arabic Transparent" w:hAnsi="Arabic Transparent" w:cs="Arabic Transparent" w:hint="cs"/>
          <w:sz w:val="28"/>
          <w:szCs w:val="28"/>
          <w:rtl/>
          <w:lang w:val="en-AE" w:bidi="ar-JO"/>
        </w:rPr>
        <w:t>قال لزوجته الحقي بأهلك ونوى الطلاق يقع ول</w:t>
      </w:r>
      <w:r w:rsidR="00C05626">
        <w:rPr>
          <w:rFonts w:ascii="Arabic Transparent" w:hAnsi="Arabic Transparent" w:cs="Arabic Transparent" w:hint="cs"/>
          <w:sz w:val="28"/>
          <w:szCs w:val="28"/>
          <w:rtl/>
          <w:lang w:val="en-AE" w:bidi="ar-JO"/>
        </w:rPr>
        <w:t>و</w:t>
      </w:r>
      <w:r w:rsidR="00A064DF">
        <w:rPr>
          <w:rFonts w:ascii="Arabic Transparent" w:hAnsi="Arabic Transparent" w:cs="Arabic Transparent" w:hint="cs"/>
          <w:sz w:val="28"/>
          <w:szCs w:val="28"/>
          <w:rtl/>
          <w:lang w:val="en-AE" w:bidi="ar-JO"/>
        </w:rPr>
        <w:t xml:space="preserve"> </w:t>
      </w:r>
      <w:r w:rsidR="00C05626">
        <w:rPr>
          <w:rFonts w:ascii="Arabic Transparent" w:hAnsi="Arabic Transparent" w:cs="Arabic Transparent" w:hint="cs"/>
          <w:sz w:val="28"/>
          <w:szCs w:val="28"/>
          <w:rtl/>
          <w:lang w:val="en-AE" w:bidi="ar-JO"/>
        </w:rPr>
        <w:t>ل</w:t>
      </w:r>
      <w:r w:rsidR="00BF6AB8" w:rsidRPr="00975B0C">
        <w:rPr>
          <w:rFonts w:ascii="Arabic Transparent" w:hAnsi="Arabic Transparent" w:cs="Arabic Transparent" w:hint="cs"/>
          <w:sz w:val="28"/>
          <w:szCs w:val="28"/>
          <w:rtl/>
          <w:lang w:val="en-AE" w:bidi="ar-JO"/>
        </w:rPr>
        <w:t xml:space="preserve">م </w:t>
      </w:r>
      <w:r w:rsidR="00C61F85" w:rsidRPr="00975B0C">
        <w:rPr>
          <w:rFonts w:ascii="Arabic Transparent" w:hAnsi="Arabic Transparent" w:cs="Arabic Transparent" w:hint="cs"/>
          <w:sz w:val="28"/>
          <w:szCs w:val="28"/>
          <w:rtl/>
          <w:lang w:val="en-AE" w:bidi="ar-JO"/>
        </w:rPr>
        <w:t>ينو</w:t>
      </w:r>
      <w:r w:rsidR="00C61F85">
        <w:rPr>
          <w:rFonts w:ascii="Arabic Transparent" w:hAnsi="Arabic Transparent" w:cs="Arabic Transparent" w:hint="cs"/>
          <w:sz w:val="28"/>
          <w:szCs w:val="28"/>
          <w:rtl/>
          <w:lang w:val="en-AE" w:bidi="ar-JO"/>
        </w:rPr>
        <w:t>ِ</w:t>
      </w:r>
      <w:r w:rsidR="00BF6AB8" w:rsidRPr="00975B0C">
        <w:rPr>
          <w:rFonts w:ascii="Arabic Transparent" w:hAnsi="Arabic Transparent" w:cs="Arabic Transparent" w:hint="cs"/>
          <w:sz w:val="28"/>
          <w:szCs w:val="28"/>
          <w:rtl/>
          <w:lang w:val="en-AE" w:bidi="ar-JO"/>
        </w:rPr>
        <w:t xml:space="preserve"> الطلاق وإنما الزيارة لا يقع</w:t>
      </w:r>
      <w:r w:rsidR="00A064DF">
        <w:rPr>
          <w:rFonts w:ascii="Arabic Transparent" w:hAnsi="Arabic Transparent" w:cs="Arabic Transparent" w:hint="cs"/>
          <w:sz w:val="28"/>
          <w:szCs w:val="28"/>
          <w:rtl/>
          <w:lang w:val="en-AE" w:bidi="ar-JO"/>
        </w:rPr>
        <w:t>"</w:t>
      </w:r>
      <w:r w:rsidR="00BF6AB8" w:rsidRPr="00975B0C">
        <w:rPr>
          <w:rFonts w:ascii="Arabic Transparent" w:hAnsi="Arabic Transparent" w:cs="Arabic Transparent" w:hint="cs"/>
          <w:sz w:val="28"/>
          <w:szCs w:val="28"/>
          <w:vertAlign w:val="superscript"/>
          <w:rtl/>
          <w:lang w:val="en-AE" w:bidi="ar-JO"/>
        </w:rPr>
        <w:t>(</w:t>
      </w:r>
      <w:r w:rsidR="00BF6AB8" w:rsidRPr="00975B0C">
        <w:rPr>
          <w:rStyle w:val="FootnoteReference"/>
          <w:rFonts w:ascii="Arabic Transparent" w:hAnsi="Arabic Transparent" w:cs="Arabic Transparent" w:hint="cs"/>
          <w:sz w:val="28"/>
          <w:szCs w:val="28"/>
          <w:rtl/>
          <w:lang w:val="en-AE" w:bidi="ar-JO"/>
        </w:rPr>
        <w:footnoteReference w:id="180"/>
      </w:r>
      <w:r w:rsidR="00BF6AB8" w:rsidRPr="00975B0C">
        <w:rPr>
          <w:rFonts w:ascii="Arabic Transparent" w:hAnsi="Arabic Transparent" w:cs="Arabic Transparent" w:hint="cs"/>
          <w:sz w:val="28"/>
          <w:szCs w:val="28"/>
          <w:vertAlign w:val="superscript"/>
          <w:rtl/>
          <w:lang w:val="en-AE" w:bidi="ar-JO"/>
        </w:rPr>
        <w:t>)</w:t>
      </w:r>
      <w:r w:rsidR="00BF6AB8" w:rsidRPr="00975B0C">
        <w:rPr>
          <w:rFonts w:ascii="Arabic Transparent" w:hAnsi="Arabic Transparent" w:cs="Arabic Transparent" w:hint="cs"/>
          <w:sz w:val="28"/>
          <w:szCs w:val="28"/>
          <w:rtl/>
          <w:lang w:val="en-AE" w:bidi="ar-JO"/>
        </w:rPr>
        <w:t>.</w:t>
      </w:r>
      <w:r w:rsidR="00A064DF">
        <w:rPr>
          <w:rFonts w:ascii="Arabic Transparent" w:hAnsi="Arabic Transparent" w:cs="Arabic Transparent"/>
          <w:sz w:val="28"/>
          <w:szCs w:val="28"/>
          <w:rtl/>
          <w:lang w:val="en-AE" w:bidi="ar-JO"/>
        </w:rPr>
        <w:br w:type="page"/>
      </w:r>
    </w:p>
    <w:p w14:paraId="1A8F100A" w14:textId="3C1C531E" w:rsidR="00EE1CAB" w:rsidRDefault="008770F2" w:rsidP="00E312F1">
      <w:pPr>
        <w:spacing w:after="0" w:line="360" w:lineRule="auto"/>
        <w:jc w:val="both"/>
        <w:rPr>
          <w:rFonts w:ascii="Arabic Transparent" w:hAnsi="Arabic Transparent" w:cs="Arabic Transparent"/>
          <w:b/>
          <w:bCs/>
          <w:sz w:val="28"/>
          <w:szCs w:val="28"/>
          <w:rtl/>
          <w:lang w:val="en-AE" w:bidi="ar-JO"/>
        </w:rPr>
      </w:pPr>
      <w:r>
        <w:rPr>
          <w:rFonts w:ascii="Arabic Transparent" w:hAnsi="Arabic Transparent" w:cs="Arabic Transparent" w:hint="cs"/>
          <w:b/>
          <w:bCs/>
          <w:sz w:val="28"/>
          <w:szCs w:val="28"/>
          <w:rtl/>
          <w:lang w:val="en-AE" w:bidi="ar-JO"/>
        </w:rPr>
        <w:t>الفرع الثالث</w:t>
      </w:r>
      <w:r w:rsidR="00BF6AB8" w:rsidRPr="00975B0C">
        <w:rPr>
          <w:rFonts w:ascii="Arabic Transparent" w:hAnsi="Arabic Transparent" w:cs="Arabic Transparent" w:hint="cs"/>
          <w:b/>
          <w:bCs/>
          <w:sz w:val="28"/>
          <w:szCs w:val="28"/>
          <w:rtl/>
          <w:lang w:val="en-AE" w:bidi="ar-JO"/>
        </w:rPr>
        <w:t xml:space="preserve">: </w:t>
      </w:r>
      <w:r w:rsidR="00715FCF" w:rsidRPr="00975B0C">
        <w:rPr>
          <w:rFonts w:ascii="Arabic Transparent" w:hAnsi="Arabic Transparent" w:cs="Arabic Transparent" w:hint="cs"/>
          <w:b/>
          <w:bCs/>
          <w:sz w:val="28"/>
          <w:szCs w:val="28"/>
          <w:rtl/>
          <w:lang w:val="en-AE" w:bidi="ar-JO"/>
        </w:rPr>
        <w:t>الرجوع إلى أصحاب الاختصاص:</w:t>
      </w:r>
    </w:p>
    <w:p w14:paraId="7B7C45B9" w14:textId="77777777" w:rsidR="000F4DC2" w:rsidRDefault="00715FCF" w:rsidP="00B72075">
      <w:pPr>
        <w:spacing w:after="0" w:line="336" w:lineRule="auto"/>
        <w:jc w:val="both"/>
        <w:rPr>
          <w:rFonts w:ascii="Arabic Transparent" w:hAnsi="Arabic Transparent" w:cs="Arabic Transparent"/>
          <w:sz w:val="28"/>
          <w:szCs w:val="28"/>
          <w:rtl/>
          <w:lang w:val="en-AE" w:bidi="ar-JO"/>
        </w:rPr>
      </w:pPr>
      <w:r w:rsidRPr="00975B0C">
        <w:rPr>
          <w:rFonts w:ascii="Arabic Transparent" w:hAnsi="Arabic Transparent" w:cs="Arabic Transparent" w:hint="cs"/>
          <w:b/>
          <w:bCs/>
          <w:sz w:val="28"/>
          <w:szCs w:val="28"/>
          <w:rtl/>
          <w:lang w:val="en-AE" w:bidi="ar-JO"/>
        </w:rPr>
        <w:t xml:space="preserve"> </w:t>
      </w:r>
      <w:r w:rsidR="00514C65">
        <w:rPr>
          <w:rFonts w:ascii="Arabic Transparent" w:hAnsi="Arabic Transparent" w:cs="Arabic Transparent" w:hint="cs"/>
          <w:b/>
          <w:bCs/>
          <w:sz w:val="28"/>
          <w:szCs w:val="28"/>
          <w:rtl/>
          <w:lang w:val="en-AE" w:bidi="ar-JO"/>
        </w:rPr>
        <w:t xml:space="preserve">    </w:t>
      </w:r>
      <w:r w:rsidRPr="00975B0C">
        <w:rPr>
          <w:rFonts w:ascii="Arabic Transparent" w:hAnsi="Arabic Transparent" w:cs="Arabic Transparent" w:hint="cs"/>
          <w:sz w:val="28"/>
          <w:szCs w:val="28"/>
          <w:rtl/>
          <w:lang w:val="en-AE" w:bidi="ar-JO"/>
        </w:rPr>
        <w:t xml:space="preserve">تحدثنا عن الرجوع إلى أهل الخبرة والاختصاص عند التصور الشامل للمسألة أما هنا فإن المقصود فيه الرجوع إلى أهل الخبرة والاختصاص عند تنزيل مناط الحكم على مسألة من المسائل المعاصرة والمراد هو التشخيص الصحيح من أهل الاختصاص قبل أن </w:t>
      </w:r>
      <w:r w:rsidR="007A14B5" w:rsidRPr="00975B0C">
        <w:rPr>
          <w:rFonts w:ascii="Arabic Transparent" w:hAnsi="Arabic Transparent" w:cs="Arabic Transparent" w:hint="cs"/>
          <w:sz w:val="28"/>
          <w:szCs w:val="28"/>
          <w:rtl/>
          <w:lang w:val="en-AE" w:bidi="ar-JO"/>
        </w:rPr>
        <w:t>يستعمل</w:t>
      </w:r>
      <w:r w:rsidRPr="00975B0C">
        <w:rPr>
          <w:rFonts w:ascii="Arabic Transparent" w:hAnsi="Arabic Transparent" w:cs="Arabic Transparent" w:hint="cs"/>
          <w:sz w:val="28"/>
          <w:szCs w:val="28"/>
          <w:rtl/>
          <w:lang w:val="en-AE" w:bidi="ar-JO"/>
        </w:rPr>
        <w:t xml:space="preserve"> المجتهد وصفاً لا يصلح لتعليق الحرمة عليه،</w:t>
      </w:r>
      <w:r w:rsidR="00514C65">
        <w:rPr>
          <w:rFonts w:ascii="Arabic Transparent" w:hAnsi="Arabic Transparent" w:cs="Arabic Transparent" w:hint="cs"/>
          <w:sz w:val="28"/>
          <w:szCs w:val="28"/>
          <w:rtl/>
          <w:lang w:val="en-AE" w:bidi="ar-JO"/>
        </w:rPr>
        <w:t xml:space="preserve"> </w:t>
      </w:r>
      <w:r w:rsidR="001E656C" w:rsidRPr="00975B0C">
        <w:rPr>
          <w:rFonts w:ascii="Arabic Transparent" w:hAnsi="Arabic Transparent" w:cs="Arabic Transparent" w:hint="cs"/>
          <w:sz w:val="28"/>
          <w:szCs w:val="28"/>
          <w:rtl/>
          <w:lang w:val="en-AE" w:bidi="ar-JO"/>
        </w:rPr>
        <w:t>حيث يقول ابن القيم: "الخبرة بما يحكم به شرط في سائر الأحكام"</w:t>
      </w:r>
      <w:r w:rsidR="001E656C" w:rsidRPr="00975B0C">
        <w:rPr>
          <w:rFonts w:ascii="Arabic Transparent" w:hAnsi="Arabic Transparent" w:cs="Arabic Transparent" w:hint="cs"/>
          <w:sz w:val="28"/>
          <w:szCs w:val="28"/>
          <w:vertAlign w:val="superscript"/>
          <w:rtl/>
          <w:lang w:val="en-AE" w:bidi="ar-JO"/>
        </w:rPr>
        <w:t>(</w:t>
      </w:r>
      <w:r w:rsidR="001E656C" w:rsidRPr="00975B0C">
        <w:rPr>
          <w:rStyle w:val="FootnoteReference"/>
          <w:rFonts w:ascii="Arabic Transparent" w:hAnsi="Arabic Transparent" w:cs="Arabic Transparent" w:hint="cs"/>
          <w:sz w:val="28"/>
          <w:szCs w:val="28"/>
          <w:rtl/>
          <w:lang w:val="en-AE" w:bidi="ar-JO"/>
        </w:rPr>
        <w:footnoteReference w:id="181"/>
      </w:r>
      <w:r w:rsidR="001E656C" w:rsidRPr="00975B0C">
        <w:rPr>
          <w:rFonts w:ascii="Arabic Transparent" w:hAnsi="Arabic Transparent" w:cs="Arabic Transparent" w:hint="cs"/>
          <w:sz w:val="28"/>
          <w:szCs w:val="28"/>
          <w:vertAlign w:val="superscript"/>
          <w:rtl/>
          <w:lang w:val="en-AE" w:bidi="ar-JO"/>
        </w:rPr>
        <w:t>)</w:t>
      </w:r>
      <w:r w:rsidR="000F4DC2">
        <w:rPr>
          <w:rFonts w:ascii="Arabic Transparent" w:hAnsi="Arabic Transparent" w:cs="Arabic Transparent" w:hint="cs"/>
          <w:sz w:val="28"/>
          <w:szCs w:val="28"/>
          <w:rtl/>
          <w:lang w:val="en-AE" w:bidi="ar-JO"/>
        </w:rPr>
        <w:t>.</w:t>
      </w:r>
    </w:p>
    <w:p w14:paraId="5C1A0942" w14:textId="77777777" w:rsidR="000F4DC2" w:rsidRDefault="000F4DC2" w:rsidP="00B72075">
      <w:pPr>
        <w:spacing w:after="0" w:line="336" w:lineRule="auto"/>
        <w:jc w:val="both"/>
        <w:rPr>
          <w:rFonts w:ascii="Arabic Transparent" w:hAnsi="Arabic Transparent" w:cs="Arabic Transparent"/>
          <w:sz w:val="28"/>
          <w:szCs w:val="28"/>
          <w:rtl/>
          <w:lang w:val="en-AE" w:bidi="ar-JO"/>
        </w:rPr>
      </w:pPr>
      <w:r>
        <w:rPr>
          <w:rFonts w:ascii="Arabic Transparent" w:hAnsi="Arabic Transparent" w:cs="Arabic Transparent" w:hint="cs"/>
          <w:sz w:val="28"/>
          <w:szCs w:val="28"/>
          <w:rtl/>
          <w:lang w:val="en-AE" w:bidi="ar-JO"/>
        </w:rPr>
        <w:t xml:space="preserve">    </w:t>
      </w:r>
      <w:r w:rsidR="00284556" w:rsidRPr="00975B0C">
        <w:rPr>
          <w:rFonts w:ascii="Arabic Transparent" w:hAnsi="Arabic Transparent" w:cs="Arabic Transparent" w:hint="cs"/>
          <w:sz w:val="28"/>
          <w:szCs w:val="28"/>
          <w:rtl/>
          <w:lang w:val="en-AE" w:bidi="ar-JO"/>
        </w:rPr>
        <w:t xml:space="preserve"> وهنا نضرب مثالاً حتى يتضح المقام فإذا توصل المجتهد أن مناط تحريم شراب جديد كثرة الإقبال عليه من قبل الشباب إلى حد الإدمان والمبالغة في شربه وتبين من التحاليل المخبرية أنه لا يحوي على مواد كحولية مسكرة فيكون تحقيق المناط وفق مقتضى رأي أهل الاختصاص وليس الواقع المشاهد وشدة الإقبال على هذا الشراب الجديد</w:t>
      </w:r>
      <w:r>
        <w:rPr>
          <w:rFonts w:ascii="Arabic Transparent" w:hAnsi="Arabic Transparent" w:cs="Arabic Transparent" w:hint="cs"/>
          <w:sz w:val="28"/>
          <w:szCs w:val="28"/>
          <w:rtl/>
          <w:lang w:val="en-AE" w:bidi="ar-JO"/>
        </w:rPr>
        <w:t>.</w:t>
      </w:r>
    </w:p>
    <w:p w14:paraId="428DB52E" w14:textId="77777777" w:rsidR="00211C19" w:rsidRDefault="000F4DC2" w:rsidP="00B72075">
      <w:pPr>
        <w:spacing w:after="0" w:line="336" w:lineRule="auto"/>
        <w:jc w:val="both"/>
        <w:rPr>
          <w:rFonts w:ascii="Arabic Transparent" w:hAnsi="Arabic Transparent" w:cs="Arabic Transparent"/>
          <w:sz w:val="28"/>
          <w:szCs w:val="28"/>
          <w:rtl/>
          <w:lang w:val="en-AE" w:bidi="ar-JO"/>
        </w:rPr>
      </w:pPr>
      <w:r>
        <w:rPr>
          <w:rFonts w:ascii="Arabic Transparent" w:hAnsi="Arabic Transparent" w:cs="Arabic Transparent" w:hint="cs"/>
          <w:sz w:val="28"/>
          <w:szCs w:val="28"/>
          <w:rtl/>
          <w:lang w:val="en-AE" w:bidi="ar-JO"/>
        </w:rPr>
        <w:t xml:space="preserve">    </w:t>
      </w:r>
      <w:r w:rsidR="00284556" w:rsidRPr="00975B0C">
        <w:rPr>
          <w:rFonts w:ascii="Arabic Transparent" w:hAnsi="Arabic Transparent" w:cs="Arabic Transparent" w:hint="cs"/>
          <w:sz w:val="28"/>
          <w:szCs w:val="28"/>
          <w:rtl/>
          <w:lang w:val="en-AE" w:bidi="ar-JO"/>
        </w:rPr>
        <w:t xml:space="preserve"> ونقل ابن عقيل إجماع العلماء على الأخذ برأي أهل الاختصاص عند </w:t>
      </w:r>
      <w:r w:rsidR="00975B0C" w:rsidRPr="00975B0C">
        <w:rPr>
          <w:rFonts w:ascii="Arabic Transparent" w:hAnsi="Arabic Transparent" w:cs="Arabic Transparent" w:hint="cs"/>
          <w:sz w:val="28"/>
          <w:szCs w:val="28"/>
          <w:rtl/>
          <w:lang w:val="en-AE" w:bidi="ar-JO"/>
        </w:rPr>
        <w:t>اشتباه المجتهد وعدم تيقنه من المناط الذي نزله على المسألة حيث يقول:</w:t>
      </w:r>
      <w:r w:rsidR="00151AED">
        <w:rPr>
          <w:rFonts w:ascii="Arabic Transparent" w:hAnsi="Arabic Transparent" w:cs="Arabic Transparent" w:hint="cs"/>
          <w:sz w:val="28"/>
          <w:szCs w:val="28"/>
          <w:rtl/>
          <w:lang w:val="en-AE" w:bidi="ar-JO"/>
        </w:rPr>
        <w:t xml:space="preserve"> </w:t>
      </w:r>
      <w:r w:rsidR="00151AED">
        <w:rPr>
          <w:rFonts w:ascii="Arabic Transparent" w:hAnsi="Arabic Transparent" w:cs="Arabic Transparent"/>
          <w:sz w:val="28"/>
          <w:szCs w:val="28"/>
          <w:rtl/>
          <w:lang w:val="en-AE" w:bidi="ar-JO"/>
        </w:rPr>
        <w:t>"</w:t>
      </w:r>
      <w:r w:rsidR="00975B0C" w:rsidRPr="00975B0C">
        <w:rPr>
          <w:rFonts w:ascii="Arabic Transparent" w:hAnsi="Arabic Transparent" w:cs="Arabic Transparent" w:hint="cs"/>
          <w:sz w:val="28"/>
          <w:szCs w:val="28"/>
          <w:rtl/>
          <w:lang w:val="en-AE" w:bidi="ar-JO"/>
        </w:rPr>
        <w:t>إنا أجمعنا على أن كل علم من هذه العلوم لا يرجع عند اعتراض الشبهة فيه،</w:t>
      </w:r>
      <w:r w:rsidR="00975B0C">
        <w:rPr>
          <w:rFonts w:ascii="Arabic Transparent" w:hAnsi="Arabic Transparent" w:cs="Arabic Transparent" w:hint="cs"/>
          <w:sz w:val="28"/>
          <w:szCs w:val="28"/>
          <w:rtl/>
          <w:lang w:val="en-AE" w:bidi="ar-JO"/>
        </w:rPr>
        <w:t xml:space="preserve"> </w:t>
      </w:r>
      <w:r w:rsidR="00975B0C" w:rsidRPr="00975B0C">
        <w:rPr>
          <w:rFonts w:ascii="Arabic Transparent" w:hAnsi="Arabic Transparent" w:cs="Arabic Transparent" w:hint="cs"/>
          <w:sz w:val="28"/>
          <w:szCs w:val="28"/>
          <w:rtl/>
          <w:lang w:val="en-AE" w:bidi="ar-JO"/>
        </w:rPr>
        <w:t>والاختلاف إلى غير أهله، ولا يعتد بقول فقيه لا معرفة له باللغة والحساب والنحو في شيء من</w:t>
      </w:r>
      <w:r w:rsidR="00975B0C">
        <w:rPr>
          <w:rFonts w:ascii="Arabic Transparent" w:hAnsi="Arabic Transparent" w:cs="Arabic Transparent" w:hint="cs"/>
          <w:sz w:val="28"/>
          <w:szCs w:val="28"/>
          <w:rtl/>
          <w:lang w:val="en-AE" w:bidi="ar-JO"/>
        </w:rPr>
        <w:t xml:space="preserve"> </w:t>
      </w:r>
      <w:r w:rsidR="00975B0C" w:rsidRPr="00975B0C">
        <w:rPr>
          <w:rFonts w:ascii="Arabic Transparent" w:hAnsi="Arabic Transparent" w:cs="Arabic Transparent" w:hint="cs"/>
          <w:sz w:val="28"/>
          <w:szCs w:val="28"/>
          <w:rtl/>
          <w:lang w:val="en-AE" w:bidi="ar-JO"/>
        </w:rPr>
        <w:t>ذلك، وكذلك أهل التقويم للسلع، يرجع في تقويم كل شيء عند التغريم إلى أهل الخبرة بالب</w:t>
      </w:r>
      <w:r w:rsidR="00C325D2">
        <w:rPr>
          <w:rFonts w:ascii="Arabic Transparent" w:hAnsi="Arabic Transparent" w:cs="Arabic Transparent" w:hint="cs"/>
          <w:sz w:val="28"/>
          <w:szCs w:val="28"/>
          <w:rtl/>
          <w:lang w:val="en-AE" w:bidi="ar-JO"/>
        </w:rPr>
        <w:t>َ</w:t>
      </w:r>
      <w:r w:rsidR="00975B0C" w:rsidRPr="00975B0C">
        <w:rPr>
          <w:rFonts w:ascii="Arabic Transparent" w:hAnsi="Arabic Transparent" w:cs="Arabic Transparent" w:hint="cs"/>
          <w:sz w:val="28"/>
          <w:szCs w:val="28"/>
          <w:rtl/>
          <w:lang w:val="en-AE" w:bidi="ar-JO"/>
        </w:rPr>
        <w:t>ز، وإلى</w:t>
      </w:r>
      <w:r w:rsidR="00975B0C">
        <w:rPr>
          <w:rFonts w:ascii="Arabic Transparent" w:hAnsi="Arabic Transparent" w:cs="Arabic Transparent" w:hint="cs"/>
          <w:sz w:val="28"/>
          <w:szCs w:val="28"/>
          <w:rtl/>
          <w:lang w:val="en-AE" w:bidi="ar-JO"/>
        </w:rPr>
        <w:t xml:space="preserve"> </w:t>
      </w:r>
      <w:r w:rsidR="00975B0C" w:rsidRPr="00975B0C">
        <w:rPr>
          <w:rFonts w:ascii="Arabic Transparent" w:hAnsi="Arabic Transparent" w:cs="Arabic Transparent" w:hint="cs"/>
          <w:sz w:val="28"/>
          <w:szCs w:val="28"/>
          <w:rtl/>
          <w:lang w:val="en-AE" w:bidi="ar-JO"/>
        </w:rPr>
        <w:t>تقويم الأقوات إلى التجار فيها، والخبراء بقيمتها، وإلى أمثال ذلك، فلا وجه لإدخال أرباب العلوم</w:t>
      </w:r>
      <w:r w:rsidR="00975B0C">
        <w:rPr>
          <w:rFonts w:ascii="Arabic Transparent" w:hAnsi="Arabic Transparent" w:cs="Arabic Transparent" w:hint="cs"/>
          <w:sz w:val="28"/>
          <w:szCs w:val="28"/>
          <w:rtl/>
          <w:lang w:val="en-AE" w:bidi="ar-JO"/>
        </w:rPr>
        <w:t xml:space="preserve"> </w:t>
      </w:r>
      <w:r w:rsidR="00975B0C" w:rsidRPr="00975B0C">
        <w:rPr>
          <w:rFonts w:ascii="Arabic Transparent" w:hAnsi="Arabic Transparent" w:cs="Arabic Transparent" w:hint="cs"/>
          <w:sz w:val="28"/>
          <w:szCs w:val="28"/>
          <w:rtl/>
          <w:lang w:val="en-AE" w:bidi="ar-JO"/>
        </w:rPr>
        <w:t>في علم الفقه، وكما لا يرجع إلى الفقهاء في علوم غيرهم على ما بينا"</w:t>
      </w:r>
      <w:r w:rsidR="00975B0C" w:rsidRPr="00975B0C">
        <w:rPr>
          <w:rFonts w:ascii="Arabic Transparent" w:hAnsi="Arabic Transparent" w:cs="Simplified Arabic" w:hint="cs"/>
          <w:sz w:val="28"/>
          <w:szCs w:val="28"/>
          <w:vertAlign w:val="superscript"/>
          <w:rtl/>
          <w:lang w:val="en-AE" w:bidi="ar-JO"/>
        </w:rPr>
        <w:t>(</w:t>
      </w:r>
      <w:r w:rsidR="00975B0C" w:rsidRPr="00975B0C">
        <w:rPr>
          <w:rStyle w:val="FootnoteReference"/>
          <w:rFonts w:ascii="Arabic Transparent" w:hAnsi="Arabic Transparent" w:cs="Simplified Arabic"/>
          <w:sz w:val="28"/>
          <w:szCs w:val="28"/>
          <w:rtl/>
          <w:lang w:val="en-AE" w:bidi="ar-JO"/>
        </w:rPr>
        <w:footnoteReference w:id="182"/>
      </w:r>
      <w:r w:rsidR="00975B0C" w:rsidRPr="00975B0C">
        <w:rPr>
          <w:rFonts w:ascii="Arabic Transparent" w:hAnsi="Arabic Transparent" w:cs="Simplified Arabic" w:hint="cs"/>
          <w:sz w:val="28"/>
          <w:szCs w:val="28"/>
          <w:vertAlign w:val="superscript"/>
          <w:rtl/>
          <w:lang w:val="en-AE" w:bidi="ar-JO"/>
        </w:rPr>
        <w:t>)</w:t>
      </w:r>
      <w:r w:rsidR="00211C19">
        <w:rPr>
          <w:rFonts w:ascii="Arabic Transparent" w:hAnsi="Arabic Transparent" w:cs="Arabic Transparent" w:hint="cs"/>
          <w:sz w:val="28"/>
          <w:szCs w:val="28"/>
          <w:rtl/>
          <w:lang w:val="en-AE" w:bidi="ar-JO"/>
        </w:rPr>
        <w:t>.</w:t>
      </w:r>
    </w:p>
    <w:p w14:paraId="6E04AD4B" w14:textId="76BCB24D" w:rsidR="00211C19" w:rsidRDefault="00211C19" w:rsidP="00B72075">
      <w:pPr>
        <w:spacing w:after="0" w:line="336" w:lineRule="auto"/>
        <w:jc w:val="both"/>
        <w:rPr>
          <w:rFonts w:ascii="Arabic Transparent" w:hAnsi="Arabic Transparent" w:cs="Simplified Arabic"/>
          <w:sz w:val="28"/>
          <w:szCs w:val="28"/>
          <w:vertAlign w:val="superscript"/>
          <w:rtl/>
          <w:lang w:val="en-AE" w:bidi="ar-JO"/>
        </w:rPr>
      </w:pPr>
      <w:r>
        <w:rPr>
          <w:rFonts w:ascii="Arabic Transparent" w:hAnsi="Arabic Transparent" w:cs="Arabic Transparent" w:hint="cs"/>
          <w:sz w:val="28"/>
          <w:szCs w:val="28"/>
          <w:rtl/>
          <w:lang w:val="en-AE" w:bidi="ar-JO"/>
        </w:rPr>
        <w:t xml:space="preserve">     </w:t>
      </w:r>
      <w:r w:rsidR="00420A2D">
        <w:rPr>
          <w:rFonts w:ascii="Arabic Transparent" w:hAnsi="Arabic Transparent" w:cs="Arabic Transparent" w:hint="cs"/>
          <w:sz w:val="28"/>
          <w:szCs w:val="28"/>
          <w:rtl/>
          <w:lang w:val="en-AE" w:bidi="ar-JO"/>
        </w:rPr>
        <w:t>وجرت عادة مجمع الفقه الإسلامي الدولي على الاستنارة برأي الخبراء إذ ترفق القرارات عادةً بصيغة منهجية، "بعد الاطلاع على البحوث المقدمة..، أو</w:t>
      </w:r>
      <w:r w:rsidR="00536363">
        <w:rPr>
          <w:rFonts w:ascii="Arabic Transparent" w:hAnsi="Arabic Transparent" w:cs="Arabic Transparent" w:hint="cs"/>
          <w:sz w:val="28"/>
          <w:szCs w:val="28"/>
          <w:rtl/>
          <w:lang w:val="en-AE" w:bidi="ar-JO"/>
        </w:rPr>
        <w:t xml:space="preserve"> </w:t>
      </w:r>
      <w:r w:rsidR="00420A2D">
        <w:rPr>
          <w:rFonts w:ascii="Arabic Transparent" w:hAnsi="Arabic Transparent" w:cs="Arabic Transparent" w:hint="cs"/>
          <w:sz w:val="28"/>
          <w:szCs w:val="28"/>
          <w:rtl/>
          <w:lang w:val="en-AE" w:bidi="ar-JO"/>
        </w:rPr>
        <w:t>بعد الاستماع إلى المناقشات بمشاركة أعضاء المجمع وخبرائه</w:t>
      </w:r>
      <w:r>
        <w:rPr>
          <w:rFonts w:ascii="Arabic Transparent" w:hAnsi="Arabic Transparent" w:cs="Arabic Transparent" w:hint="cs"/>
          <w:sz w:val="28"/>
          <w:szCs w:val="28"/>
          <w:rtl/>
          <w:lang w:val="en-AE" w:bidi="ar-JO"/>
        </w:rPr>
        <w:t xml:space="preserve">، </w:t>
      </w:r>
      <w:r w:rsidR="00420A2D">
        <w:rPr>
          <w:rFonts w:ascii="Arabic Transparent" w:hAnsi="Arabic Transparent" w:cs="Arabic Transparent" w:hint="cs"/>
          <w:sz w:val="28"/>
          <w:szCs w:val="28"/>
          <w:rtl/>
          <w:lang w:val="en-AE" w:bidi="ar-JO"/>
        </w:rPr>
        <w:t>قرر ما ي</w:t>
      </w:r>
      <w:r w:rsidR="00BF1052">
        <w:rPr>
          <w:rFonts w:ascii="Arabic Transparent" w:hAnsi="Arabic Transparent" w:cs="Arabic Transparent" w:hint="cs"/>
          <w:sz w:val="28"/>
          <w:szCs w:val="28"/>
          <w:rtl/>
          <w:lang w:val="en-AE" w:bidi="ar-JO"/>
        </w:rPr>
        <w:t>أتي</w:t>
      </w:r>
      <w:r>
        <w:rPr>
          <w:rFonts w:ascii="Arabic Transparent" w:hAnsi="Arabic Transparent" w:cs="Arabic Transparent" w:hint="cs"/>
          <w:sz w:val="28"/>
          <w:szCs w:val="28"/>
          <w:rtl/>
          <w:lang w:val="en-AE" w:bidi="ar-JO"/>
        </w:rPr>
        <w:t>:..</w:t>
      </w:r>
      <w:r w:rsidR="00420A2D">
        <w:rPr>
          <w:rFonts w:ascii="Arabic Transparent" w:hAnsi="Arabic Transparent" w:cs="Arabic Transparent" w:hint="cs"/>
          <w:sz w:val="28"/>
          <w:szCs w:val="28"/>
          <w:rtl/>
          <w:lang w:val="en-AE" w:bidi="ar-JO"/>
        </w:rPr>
        <w:t>"</w:t>
      </w:r>
      <w:r w:rsidR="00420A2D" w:rsidRPr="00420A2D">
        <w:rPr>
          <w:rFonts w:ascii="Arabic Transparent" w:hAnsi="Arabic Transparent" w:cs="Simplified Arabic" w:hint="cs"/>
          <w:sz w:val="28"/>
          <w:szCs w:val="28"/>
          <w:vertAlign w:val="superscript"/>
          <w:rtl/>
          <w:lang w:val="en-AE" w:bidi="ar-JO"/>
        </w:rPr>
        <w:t>(</w:t>
      </w:r>
      <w:r w:rsidR="00420A2D" w:rsidRPr="00420A2D">
        <w:rPr>
          <w:rStyle w:val="FootnoteReference"/>
          <w:rFonts w:ascii="Arabic Transparent" w:hAnsi="Arabic Transparent" w:cs="Simplified Arabic"/>
          <w:sz w:val="28"/>
          <w:szCs w:val="28"/>
          <w:rtl/>
          <w:lang w:val="en-AE" w:bidi="ar-JO"/>
        </w:rPr>
        <w:footnoteReference w:id="183"/>
      </w:r>
      <w:r w:rsidR="00420A2D" w:rsidRPr="00420A2D">
        <w:rPr>
          <w:rFonts w:ascii="Arabic Transparent" w:hAnsi="Arabic Transparent" w:cs="Simplified Arabic" w:hint="cs"/>
          <w:sz w:val="28"/>
          <w:szCs w:val="28"/>
          <w:vertAlign w:val="superscript"/>
          <w:rtl/>
          <w:lang w:val="en-AE" w:bidi="ar-JO"/>
        </w:rPr>
        <w:t>)</w:t>
      </w:r>
    </w:p>
    <w:p w14:paraId="0EF29618" w14:textId="77777777" w:rsidR="00211C19" w:rsidRDefault="00211C19">
      <w:pPr>
        <w:bidi w:val="0"/>
        <w:spacing w:after="0" w:line="240" w:lineRule="auto"/>
        <w:rPr>
          <w:rFonts w:ascii="Arabic Transparent" w:hAnsi="Arabic Transparent" w:cs="Simplified Arabic"/>
          <w:sz w:val="28"/>
          <w:szCs w:val="28"/>
          <w:vertAlign w:val="superscript"/>
          <w:rtl/>
          <w:lang w:val="en-AE" w:bidi="ar-JO"/>
        </w:rPr>
      </w:pPr>
      <w:r>
        <w:rPr>
          <w:rFonts w:ascii="Arabic Transparent" w:hAnsi="Arabic Transparent" w:cs="Simplified Arabic"/>
          <w:sz w:val="28"/>
          <w:szCs w:val="28"/>
          <w:vertAlign w:val="superscript"/>
          <w:rtl/>
          <w:lang w:val="en-AE" w:bidi="ar-JO"/>
        </w:rPr>
        <w:br w:type="page"/>
      </w:r>
    </w:p>
    <w:p w14:paraId="1B992DF9" w14:textId="7E637C66" w:rsidR="00B72075" w:rsidRDefault="00420A2D" w:rsidP="00211C19">
      <w:pPr>
        <w:spacing w:after="0" w:line="336" w:lineRule="auto"/>
        <w:jc w:val="both"/>
        <w:rPr>
          <w:rFonts w:ascii="Arabic Transparent" w:hAnsi="Arabic Transparent" w:cs="Arabic Transparent"/>
          <w:sz w:val="28"/>
          <w:szCs w:val="28"/>
          <w:rtl/>
          <w:lang w:val="en-AE" w:bidi="ar-JO"/>
        </w:rPr>
      </w:pPr>
      <w:r>
        <w:rPr>
          <w:rFonts w:ascii="Arabic Transparent" w:hAnsi="Arabic Transparent" w:cs="Simplified Arabic" w:hint="cs"/>
          <w:sz w:val="28"/>
          <w:szCs w:val="28"/>
          <w:vertAlign w:val="superscript"/>
          <w:rtl/>
          <w:lang w:val="en-AE" w:bidi="ar-JO"/>
        </w:rPr>
        <w:t xml:space="preserve"> </w:t>
      </w:r>
      <w:r>
        <w:rPr>
          <w:rFonts w:ascii="Arabic Transparent" w:hAnsi="Arabic Transparent" w:cs="Simplified Arabic" w:hint="cs"/>
          <w:sz w:val="28"/>
          <w:szCs w:val="28"/>
          <w:rtl/>
          <w:lang w:val="en-AE" w:bidi="ar-JO"/>
        </w:rPr>
        <w:t>وتظهر هذه الصيغة في جلّ النوازل الفقهية الطبية والتقنية والاقتصادية مثل العقود الذكية، خِفاض الإناث</w:t>
      </w:r>
      <w:r w:rsidR="00CD6519" w:rsidRPr="00CD6519">
        <w:rPr>
          <w:rFonts w:ascii="Arabic Transparent" w:hAnsi="Arabic Transparent" w:cs="Arabic Transparent" w:hint="cs"/>
          <w:sz w:val="28"/>
          <w:szCs w:val="28"/>
          <w:vertAlign w:val="superscript"/>
          <w:rtl/>
          <w:lang w:val="en-AE" w:bidi="ar-JO"/>
        </w:rPr>
        <w:t>(</w:t>
      </w:r>
      <w:r w:rsidR="00CD6519" w:rsidRPr="00CD6519">
        <w:rPr>
          <w:rStyle w:val="FootnoteReference"/>
          <w:rFonts w:ascii="Arabic Transparent" w:hAnsi="Arabic Transparent" w:cs="Arabic Transparent" w:hint="cs"/>
          <w:sz w:val="28"/>
          <w:szCs w:val="28"/>
          <w:rtl/>
          <w:lang w:val="en-AE" w:bidi="ar-JO"/>
        </w:rPr>
        <w:footnoteReference w:id="184"/>
      </w:r>
      <w:r w:rsidR="00CD6519" w:rsidRPr="00CD6519">
        <w:rPr>
          <w:rFonts w:ascii="Arabic Transparent" w:hAnsi="Arabic Transparent" w:cs="Arabic Transparent" w:hint="cs"/>
          <w:sz w:val="28"/>
          <w:szCs w:val="28"/>
          <w:vertAlign w:val="superscript"/>
          <w:rtl/>
          <w:lang w:val="en-AE" w:bidi="ar-JO"/>
        </w:rPr>
        <w:t>)</w:t>
      </w:r>
      <w:r>
        <w:rPr>
          <w:rFonts w:ascii="Arabic Transparent" w:hAnsi="Arabic Transparent" w:cs="Simplified Arabic" w:hint="cs"/>
          <w:sz w:val="28"/>
          <w:szCs w:val="28"/>
          <w:rtl/>
          <w:lang w:val="en-AE" w:bidi="ar-JO"/>
        </w:rPr>
        <w:t xml:space="preserve">، التداوي المفطّر وغيرها، </w:t>
      </w:r>
      <w:r w:rsidR="002273BC" w:rsidRPr="00C153A8">
        <w:rPr>
          <w:rFonts w:ascii="Arabic Transparent" w:hAnsi="Arabic Transparent" w:cs="Simplified Arabic" w:hint="cs"/>
          <w:sz w:val="28"/>
          <w:szCs w:val="28"/>
          <w:rtl/>
          <w:lang w:val="en-AE" w:bidi="ar-JO"/>
        </w:rPr>
        <w:t>"</w:t>
      </w:r>
      <w:r w:rsidRPr="00420A2D">
        <w:rPr>
          <w:rFonts w:ascii="Arabic Transparent" w:hAnsi="Arabic Transparent" w:cs="Arabic Transparent"/>
          <w:sz w:val="28"/>
          <w:szCs w:val="28"/>
          <w:rtl/>
          <w:lang w:val="en-AE" w:bidi="ar-JO"/>
        </w:rPr>
        <w:t xml:space="preserve">ويؤكِّد النظامُ الأساس للمجمع حضورَ الخبراء والمراسلين للمناقشات من غير حقّ </w:t>
      </w:r>
    </w:p>
    <w:p w14:paraId="45CFB863" w14:textId="4BDA9529" w:rsidR="002273BC" w:rsidRPr="002273BC" w:rsidRDefault="00420A2D" w:rsidP="00B72075">
      <w:pPr>
        <w:spacing w:after="0" w:line="336" w:lineRule="auto"/>
        <w:jc w:val="both"/>
        <w:rPr>
          <w:rFonts w:ascii="Arabic Transparent" w:hAnsi="Arabic Transparent" w:cs="Simplified Arabic"/>
          <w:sz w:val="28"/>
          <w:szCs w:val="28"/>
          <w:rtl/>
          <w:lang w:val="en-AE" w:bidi="ar-JO"/>
        </w:rPr>
      </w:pPr>
      <w:r w:rsidRPr="00420A2D">
        <w:rPr>
          <w:rFonts w:ascii="Arabic Transparent" w:hAnsi="Arabic Transparent" w:cs="Arabic Transparent"/>
          <w:sz w:val="28"/>
          <w:szCs w:val="28"/>
          <w:rtl/>
          <w:lang w:val="en-AE" w:bidi="ar-JO"/>
        </w:rPr>
        <w:t xml:space="preserve">التصويت، ويشير إلى منح صفة </w:t>
      </w:r>
      <w:r w:rsidR="00C153A8">
        <w:rPr>
          <w:rFonts w:ascii="Arabic Transparent" w:hAnsi="Arabic Transparent" w:cs="Arabic Transparent" w:hint="cs"/>
          <w:sz w:val="28"/>
          <w:szCs w:val="28"/>
          <w:rtl/>
          <w:lang w:val="en-AE" w:bidi="ar-JO"/>
        </w:rPr>
        <w:t>(</w:t>
      </w:r>
      <w:r w:rsidRPr="00420A2D">
        <w:rPr>
          <w:rFonts w:ascii="Arabic Transparent" w:hAnsi="Arabic Transparent" w:cs="Arabic Transparent"/>
          <w:sz w:val="28"/>
          <w:szCs w:val="28"/>
          <w:rtl/>
          <w:lang w:val="en-AE" w:bidi="ar-JO"/>
        </w:rPr>
        <w:t>خبير</w:t>
      </w:r>
      <w:r w:rsidR="00C153A8">
        <w:rPr>
          <w:rFonts w:ascii="Arabic Transparent" w:hAnsi="Arabic Transparent" w:cs="Arabic Transparent" w:hint="cs"/>
          <w:sz w:val="28"/>
          <w:szCs w:val="28"/>
          <w:rtl/>
          <w:lang w:val="en-AE" w:bidi="ar-JO"/>
        </w:rPr>
        <w:t>)</w:t>
      </w:r>
      <w:r w:rsidRPr="00420A2D">
        <w:rPr>
          <w:rFonts w:ascii="Arabic Transparent" w:hAnsi="Arabic Transparent" w:cs="Arabic Transparent"/>
          <w:sz w:val="28"/>
          <w:szCs w:val="28"/>
          <w:rtl/>
          <w:lang w:val="en-AE" w:bidi="ar-JO"/>
        </w:rPr>
        <w:t xml:space="preserve"> بعد المشاركة البحثية لمددٍ معيّنة؛ وهو تنظيمٌ يُبرِز مكانةَ أهل الاختصاص في التكميل المعرفي قبل تنزيل الحكم</w:t>
      </w:r>
      <w:r w:rsidR="002273BC">
        <w:rPr>
          <w:rFonts w:ascii="Arabic Transparent" w:hAnsi="Arabic Transparent" w:cs="Arabic Transparent" w:hint="cs"/>
          <w:sz w:val="28"/>
          <w:szCs w:val="28"/>
          <w:rtl/>
          <w:lang w:val="en-AE" w:bidi="ar-JO"/>
        </w:rPr>
        <w:t>"</w:t>
      </w:r>
      <w:r w:rsidR="00367EBB" w:rsidRPr="00367EBB">
        <w:rPr>
          <w:rFonts w:ascii="Arabic Transparent" w:hAnsi="Arabic Transparent" w:cs="Simplified Arabic" w:hint="cs"/>
          <w:sz w:val="28"/>
          <w:szCs w:val="28"/>
          <w:vertAlign w:val="superscript"/>
          <w:rtl/>
          <w:lang w:val="en-AE" w:bidi="ar-JO"/>
        </w:rPr>
        <w:t>(</w:t>
      </w:r>
      <w:r w:rsidR="00367EBB" w:rsidRPr="00367EBB">
        <w:rPr>
          <w:rStyle w:val="FootnoteReference"/>
          <w:rFonts w:ascii="Arabic Transparent" w:hAnsi="Arabic Transparent" w:cs="Simplified Arabic"/>
          <w:sz w:val="28"/>
          <w:szCs w:val="28"/>
          <w:rtl/>
          <w:lang w:val="en-AE" w:bidi="ar-JO"/>
        </w:rPr>
        <w:footnoteReference w:id="185"/>
      </w:r>
      <w:r w:rsidR="00367EBB" w:rsidRPr="00367EBB">
        <w:rPr>
          <w:rFonts w:ascii="Arabic Transparent" w:hAnsi="Arabic Transparent" w:cs="Simplified Arabic" w:hint="cs"/>
          <w:sz w:val="28"/>
          <w:szCs w:val="28"/>
          <w:vertAlign w:val="superscript"/>
          <w:rtl/>
          <w:lang w:val="en-AE" w:bidi="ar-JO"/>
        </w:rPr>
        <w:t>)</w:t>
      </w:r>
      <w:r w:rsidR="002273BC">
        <w:rPr>
          <w:rFonts w:ascii="Arabic Transparent" w:hAnsi="Arabic Transparent" w:cs="Simplified Arabic" w:hint="cs"/>
          <w:sz w:val="28"/>
          <w:szCs w:val="28"/>
          <w:rtl/>
          <w:lang w:val="en-AE" w:bidi="ar-JO"/>
        </w:rPr>
        <w:t>.</w:t>
      </w:r>
    </w:p>
    <w:p w14:paraId="55562D81" w14:textId="4CE1766C" w:rsidR="00EE1CAB" w:rsidRDefault="00EE1CAB" w:rsidP="002273BC">
      <w:pPr>
        <w:spacing w:after="0" w:line="360" w:lineRule="auto"/>
        <w:jc w:val="both"/>
        <w:rPr>
          <w:rFonts w:ascii="Arabic Transparent" w:hAnsi="Arabic Transparent" w:cs="Arabic Transparent"/>
          <w:sz w:val="28"/>
          <w:szCs w:val="28"/>
          <w:lang w:bidi="ar-JO"/>
        </w:rPr>
      </w:pPr>
      <w:r>
        <w:rPr>
          <w:rFonts w:ascii="Arabic Transparent" w:hAnsi="Arabic Transparent" w:cs="Arabic Transparent"/>
          <w:sz w:val="28"/>
          <w:szCs w:val="28"/>
          <w:lang w:bidi="ar-JO"/>
        </w:rPr>
        <w:br w:type="page"/>
      </w:r>
    </w:p>
    <w:p w14:paraId="4058C479" w14:textId="77777777" w:rsidR="00925CED" w:rsidRPr="00001A51" w:rsidRDefault="00925CED" w:rsidP="00925CED">
      <w:pPr>
        <w:spacing w:after="0" w:line="360" w:lineRule="auto"/>
        <w:jc w:val="center"/>
        <w:rPr>
          <w:rFonts w:ascii="Arabic Transparent" w:hAnsi="Arabic Transparent" w:cs="Arabic Transparent"/>
          <w:b/>
          <w:bCs/>
          <w:sz w:val="32"/>
          <w:szCs w:val="32"/>
          <w:rtl/>
          <w:lang w:bidi="ar-JO"/>
        </w:rPr>
      </w:pPr>
      <w:r w:rsidRPr="00001A51">
        <w:rPr>
          <w:rFonts w:ascii="Arabic Transparent" w:hAnsi="Arabic Transparent" w:cs="Arabic Transparent"/>
          <w:b/>
          <w:bCs/>
          <w:sz w:val="32"/>
          <w:szCs w:val="32"/>
          <w:rtl/>
          <w:lang w:bidi="ar-JO"/>
        </w:rPr>
        <w:t>الفصل الثاني:</w:t>
      </w:r>
    </w:p>
    <w:p w14:paraId="28761A98" w14:textId="77777777" w:rsidR="00925CED" w:rsidRPr="00001A51" w:rsidRDefault="00925CED" w:rsidP="00925CED">
      <w:pPr>
        <w:spacing w:after="0" w:line="360" w:lineRule="auto"/>
        <w:jc w:val="center"/>
        <w:rPr>
          <w:rFonts w:ascii="Arabic Transparent" w:hAnsi="Arabic Transparent" w:cs="Arabic Transparent"/>
          <w:b/>
          <w:bCs/>
          <w:sz w:val="32"/>
          <w:szCs w:val="32"/>
          <w:rtl/>
          <w:lang w:bidi="ar-JO"/>
        </w:rPr>
      </w:pPr>
      <w:r w:rsidRPr="00001A51">
        <w:rPr>
          <w:rFonts w:ascii="Arabic Transparent" w:hAnsi="Arabic Transparent" w:cs="Arabic Transparent"/>
          <w:b/>
          <w:bCs/>
          <w:sz w:val="32"/>
          <w:szCs w:val="32"/>
          <w:rtl/>
          <w:lang w:bidi="ar-JO"/>
        </w:rPr>
        <w:t xml:space="preserve">التَّفاوت في المعاملات المالية تعريفاً وتأصيلاً </w:t>
      </w:r>
    </w:p>
    <w:p w14:paraId="55E6FB61" w14:textId="77777777" w:rsidR="00925CED" w:rsidRPr="00001A51" w:rsidRDefault="00925CED" w:rsidP="00925CED">
      <w:pPr>
        <w:spacing w:after="0" w:line="360" w:lineRule="auto"/>
        <w:jc w:val="center"/>
        <w:rPr>
          <w:rFonts w:ascii="Arabic Transparent" w:hAnsi="Arabic Transparent" w:cs="Arabic Transparent"/>
          <w:b/>
          <w:bCs/>
          <w:sz w:val="32"/>
          <w:szCs w:val="32"/>
          <w:rtl/>
          <w:lang w:bidi="ar-JO"/>
        </w:rPr>
      </w:pPr>
      <w:r w:rsidRPr="00001A51">
        <w:rPr>
          <w:rFonts w:ascii="Arabic Transparent" w:hAnsi="Arabic Transparent" w:cs="Arabic Transparent"/>
          <w:b/>
          <w:bCs/>
          <w:sz w:val="32"/>
          <w:szCs w:val="32"/>
          <w:rtl/>
          <w:lang w:bidi="ar-JO"/>
        </w:rPr>
        <w:t>المبحث الأول:</w:t>
      </w:r>
    </w:p>
    <w:p w14:paraId="1946A0FE" w14:textId="77777777" w:rsidR="00925CED" w:rsidRPr="00001A51" w:rsidRDefault="00925CED" w:rsidP="00925CED">
      <w:pPr>
        <w:spacing w:after="0" w:line="360" w:lineRule="auto"/>
        <w:jc w:val="center"/>
        <w:rPr>
          <w:rFonts w:ascii="Arabic Transparent" w:hAnsi="Arabic Transparent" w:cs="Arabic Transparent"/>
          <w:b/>
          <w:bCs/>
          <w:sz w:val="32"/>
          <w:szCs w:val="32"/>
          <w:rtl/>
          <w:lang w:bidi="ar-JO"/>
        </w:rPr>
      </w:pPr>
      <w:r w:rsidRPr="00001A51">
        <w:rPr>
          <w:rFonts w:ascii="Arabic Transparent" w:hAnsi="Arabic Transparent" w:cs="Arabic Transparent"/>
          <w:b/>
          <w:bCs/>
          <w:sz w:val="32"/>
          <w:szCs w:val="32"/>
          <w:rtl/>
          <w:lang w:bidi="ar-JO"/>
        </w:rPr>
        <w:t>تعريف التَّفاوت والألفاظ ذات الصلة</w:t>
      </w:r>
    </w:p>
    <w:p w14:paraId="459AE134" w14:textId="77777777" w:rsidR="00925CED" w:rsidRPr="00001A51" w:rsidRDefault="00925CED" w:rsidP="00925CED">
      <w:pPr>
        <w:spacing w:after="0" w:line="360" w:lineRule="auto"/>
        <w:ind w:firstLine="332"/>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يمكن التعرَّف على حقيقة التَّفاوت من خلال تعريف التَّفاوت لغةً واصطلاحاً، وتعريف التَّفاوت في تحقيق المناط الخاص باعتباره لقباً، وبيان الفرق بين مصطلح التَّفاوت والمصطلحات ذات الصلة كالفروق الفقهية والاختلاف والتعارض. </w:t>
      </w:r>
    </w:p>
    <w:p w14:paraId="61BE52D1" w14:textId="77777777" w:rsidR="00925CED" w:rsidRPr="00001A51" w:rsidRDefault="00925CED" w:rsidP="00925CED">
      <w:pPr>
        <w:spacing w:after="0" w:line="360" w:lineRule="auto"/>
        <w:jc w:val="both"/>
        <w:rPr>
          <w:rFonts w:ascii="Arabic Transparent" w:hAnsi="Arabic Transparent" w:cs="Arabic Transparent"/>
          <w:b/>
          <w:bCs/>
          <w:sz w:val="32"/>
          <w:szCs w:val="32"/>
          <w:rtl/>
          <w:lang w:bidi="ar-JO"/>
        </w:rPr>
      </w:pPr>
      <w:r w:rsidRPr="00001A51">
        <w:rPr>
          <w:rFonts w:ascii="Arabic Transparent" w:hAnsi="Arabic Transparent" w:cs="Arabic Transparent"/>
          <w:b/>
          <w:bCs/>
          <w:sz w:val="32"/>
          <w:szCs w:val="32"/>
          <w:rtl/>
          <w:lang w:bidi="ar-JO"/>
        </w:rPr>
        <w:t>المطلب الأول: تعريف التَّفاوت لغةً واصطلاحاً.</w:t>
      </w:r>
    </w:p>
    <w:p w14:paraId="5D7C0E57" w14:textId="77777777" w:rsidR="00925CED" w:rsidRPr="00001A51" w:rsidRDefault="00925CED" w:rsidP="00925CE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b/>
          <w:bCs/>
          <w:sz w:val="32"/>
          <w:szCs w:val="32"/>
          <w:rtl/>
          <w:lang w:bidi="ar-JO"/>
        </w:rPr>
        <w:t>الفرع الأول: التَّفاوت لغةً</w:t>
      </w:r>
      <w:r w:rsidRPr="00001A51">
        <w:rPr>
          <w:rFonts w:ascii="Arabic Transparent" w:hAnsi="Arabic Transparent" w:cs="Arabic Transparent"/>
          <w:sz w:val="28"/>
          <w:szCs w:val="28"/>
          <w:rtl/>
          <w:lang w:bidi="ar-JO"/>
        </w:rPr>
        <w:t xml:space="preserve">. </w:t>
      </w:r>
    </w:p>
    <w:p w14:paraId="7B3F0774" w14:textId="5B3CA5AE" w:rsidR="00925CED" w:rsidRPr="00001A51" w:rsidRDefault="005D7B91" w:rsidP="00925CE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925CED" w:rsidRPr="00001A51">
        <w:rPr>
          <w:rFonts w:ascii="Arabic Transparent" w:hAnsi="Arabic Transparent" w:cs="Arabic Transparent"/>
          <w:sz w:val="28"/>
          <w:szCs w:val="28"/>
          <w:rtl/>
          <w:lang w:bidi="ar-JO"/>
        </w:rPr>
        <w:t xml:space="preserve">  مصدر فَات يَفوت فوتاً، وله استعمالات متعددة عند أهل اللغة: </w:t>
      </w:r>
    </w:p>
    <w:p w14:paraId="3C0DE3E7" w14:textId="6171EB14" w:rsidR="00925CED" w:rsidRPr="00001A51" w:rsidRDefault="00925CED" w:rsidP="00925CE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1- </w:t>
      </w:r>
      <w:r w:rsidRPr="00001A51">
        <w:rPr>
          <w:rFonts w:ascii="Arabic Transparent" w:hAnsi="Arabic Transparent" w:cs="Arabic Transparent"/>
          <w:b/>
          <w:bCs/>
          <w:sz w:val="28"/>
          <w:szCs w:val="28"/>
          <w:rtl/>
          <w:lang w:bidi="ar-JO"/>
        </w:rPr>
        <w:t>التباعد أو المهرب</w:t>
      </w:r>
      <w:r w:rsidRPr="00001A51">
        <w:rPr>
          <w:rFonts w:ascii="Arabic Transparent" w:hAnsi="Arabic Transparent" w:cs="Arabic Transparent"/>
          <w:sz w:val="28"/>
          <w:szCs w:val="28"/>
          <w:rtl/>
          <w:lang w:bidi="ar-JO"/>
        </w:rPr>
        <w:t xml:space="preserve">: </w:t>
      </w:r>
      <w:r w:rsidR="00FF4EE2" w:rsidRPr="00001A51">
        <w:rPr>
          <w:rFonts w:ascii="Arabic Transparent" w:hAnsi="Arabic Transparent" w:cs="Arabic Transparent" w:hint="cs"/>
          <w:sz w:val="28"/>
          <w:szCs w:val="28"/>
          <w:rtl/>
          <w:lang w:bidi="ar-JO"/>
        </w:rPr>
        <w:t>"</w:t>
      </w:r>
      <w:r w:rsidRPr="00001A51">
        <w:rPr>
          <w:rFonts w:ascii="Arabic Transparent" w:hAnsi="Arabic Transparent" w:cs="Arabic Transparent"/>
          <w:sz w:val="28"/>
          <w:szCs w:val="28"/>
          <w:rtl/>
          <w:lang w:bidi="ar-JO"/>
        </w:rPr>
        <w:t xml:space="preserve">بالنسبة للمسافة المقدَّرة، وذلك كما في قوله تعالى: </w:t>
      </w:r>
      <w:r w:rsidRPr="00001A51">
        <w:rPr>
          <w:rFonts w:ascii="KFGQPC HAFS Uthmanic Script" w:hAnsi="Times New Roman" w:cs="KFGQPC HAFS Uthmanic Script"/>
          <w:color w:val="000000"/>
          <w:sz w:val="28"/>
          <w:szCs w:val="28"/>
          <w:rtl/>
        </w:rPr>
        <w:t xml:space="preserve">ﵟ وَلَوۡ تَرَىٰٓ إِذۡ فَزِعُواْ فَلَا فَوۡتَ وَأُخِذُواْ مِن مَّكَانٖ قَرِيبٖ ٥١ﵞ ﵝسَبَأ:ﵑﵕﵜ </w:t>
      </w:r>
      <w:r w:rsidRPr="00001A51">
        <w:rPr>
          <w:rFonts w:ascii="Arabic Transparent" w:hAnsi="Arabic Transparent" w:cs="Arabic Transparent"/>
          <w:sz w:val="28"/>
          <w:szCs w:val="28"/>
          <w:rtl/>
          <w:lang w:bidi="ar-JO"/>
        </w:rPr>
        <w:t>أي: لا مَهرب ولا بُعد عن أخذ الله إلى محل العذاب الأليم</w:t>
      </w:r>
      <w:r w:rsidR="00FF4EE2" w:rsidRPr="00001A51">
        <w:rPr>
          <w:rFonts w:ascii="Arabic Transparent" w:hAnsi="Arabic Transparent" w:cs="Arabic Transparent" w:hint="cs"/>
          <w:sz w:val="28"/>
          <w:szCs w:val="28"/>
          <w:rtl/>
          <w:lang w:bidi="ar-JO"/>
        </w:rPr>
        <w:t>"</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186"/>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w:t>
      </w:r>
    </w:p>
    <w:p w14:paraId="7BECEB02" w14:textId="6DCE45E3" w:rsidR="00925CED" w:rsidRPr="00001A51" w:rsidRDefault="00925CED" w:rsidP="00925CED">
      <w:pPr>
        <w:spacing w:after="0" w:line="360" w:lineRule="auto"/>
        <w:jc w:val="both"/>
        <w:rPr>
          <w:rFonts w:ascii="Arabic Transparent" w:hAnsi="Arabic Transparent" w:cs="Arabic Transparent"/>
          <w:sz w:val="28"/>
          <w:szCs w:val="28"/>
          <w:rtl/>
          <w:lang w:val="en-AE"/>
        </w:rPr>
      </w:pPr>
      <w:r w:rsidRPr="00001A51">
        <w:rPr>
          <w:rFonts w:ascii="Arabic Transparent" w:hAnsi="Arabic Transparent" w:cs="Arabic Transparent"/>
          <w:sz w:val="28"/>
          <w:szCs w:val="28"/>
          <w:rtl/>
          <w:lang w:bidi="ar-JO"/>
        </w:rPr>
        <w:t xml:space="preserve">2- </w:t>
      </w:r>
      <w:r w:rsidRPr="00001A51">
        <w:rPr>
          <w:rFonts w:ascii="Arabic Transparent" w:hAnsi="Arabic Transparent" w:cs="Arabic Transparent"/>
          <w:b/>
          <w:bCs/>
          <w:sz w:val="28"/>
          <w:szCs w:val="28"/>
          <w:rtl/>
          <w:lang w:bidi="ar-JO"/>
        </w:rPr>
        <w:t>الاختلاف والاضطراب</w:t>
      </w:r>
      <w:r w:rsidRPr="00001A51">
        <w:rPr>
          <w:rFonts w:ascii="Arabic Transparent" w:hAnsi="Arabic Transparent" w:cs="Arabic Transparent"/>
          <w:sz w:val="28"/>
          <w:szCs w:val="28"/>
          <w:rtl/>
          <w:lang w:bidi="ar-JO"/>
        </w:rPr>
        <w:t xml:space="preserve">: وردت في قوله تعالى: </w:t>
      </w:r>
      <w:r w:rsidRPr="00001A51">
        <w:rPr>
          <w:rFonts w:ascii="KFGQPC HAFS Uthmanic Script" w:hAnsi="Times New Roman" w:cs="KFGQPC HAFS Uthmanic Script"/>
          <w:color w:val="000000"/>
          <w:sz w:val="28"/>
          <w:szCs w:val="28"/>
          <w:rtl/>
        </w:rPr>
        <w:t xml:space="preserve">ﵟ ٱلَّذِي خَلَقَ سَبۡعَ سَمَٰوَٰتٖ طِبَاقٗاۖ مَّا تَرَىٰ فِي خَلۡقِ ٱلرَّحۡمَٰنِ مِن تَفَٰوُتٖۖ فَٱرۡجِعِ ٱلۡبَصَرَ هَلۡ تَرَىٰ مِن فُطُورٖ ٣ﵞﵝالمُلۡك:ﵓﵜ </w:t>
      </w:r>
      <w:r w:rsidRPr="00001A51">
        <w:rPr>
          <w:rFonts w:ascii="Arabic Transparent" w:hAnsi="Arabic Transparent" w:cs="Arabic Transparent"/>
          <w:sz w:val="28"/>
          <w:szCs w:val="28"/>
          <w:rtl/>
          <w:lang w:val="en-AE" w:bidi="ar-JO"/>
        </w:rPr>
        <w:t>أي: "اختلاف واضطراب"</w:t>
      </w:r>
      <w:r w:rsidRPr="00001A51">
        <w:rPr>
          <w:rFonts w:ascii="Arabic Transparent" w:hAnsi="Arabic Transparent" w:cs="Arabic Transparent"/>
          <w:sz w:val="28"/>
          <w:szCs w:val="28"/>
          <w:vertAlign w:val="superscript"/>
          <w:rtl/>
          <w:lang w:val="en-AE" w:bidi="ar-JO"/>
        </w:rPr>
        <w:t>(</w:t>
      </w:r>
      <w:r w:rsidRPr="00001A51">
        <w:rPr>
          <w:rFonts w:ascii="Arabic Transparent" w:hAnsi="Arabic Transparent" w:cs="Arabic Transparent"/>
          <w:sz w:val="28"/>
          <w:szCs w:val="28"/>
          <w:vertAlign w:val="superscript"/>
          <w:rtl/>
          <w:lang w:val="en-AE" w:bidi="ar-JO"/>
        </w:rPr>
        <w:footnoteReference w:id="187"/>
      </w:r>
      <w:r w:rsidRPr="00001A51">
        <w:rPr>
          <w:rFonts w:ascii="Arabic Transparent" w:hAnsi="Arabic Transparent" w:cs="Arabic Transparent"/>
          <w:sz w:val="28"/>
          <w:szCs w:val="28"/>
          <w:vertAlign w:val="superscript"/>
          <w:rtl/>
          <w:lang w:val="en-AE" w:bidi="ar-JO"/>
        </w:rPr>
        <w:t>)</w:t>
      </w:r>
      <w:r w:rsidRPr="00001A51">
        <w:rPr>
          <w:rFonts w:ascii="Arabic Transparent" w:hAnsi="Arabic Transparent" w:cs="Arabic Transparent"/>
          <w:sz w:val="28"/>
          <w:szCs w:val="28"/>
          <w:rtl/>
          <w:lang w:val="en-AE"/>
        </w:rPr>
        <w:t>، وقال</w:t>
      </w:r>
      <w:r w:rsidRPr="00001A51">
        <w:rPr>
          <w:rFonts w:ascii="Arabic Transparent" w:hAnsi="Arabic Transparent" w:cs="Arabic Transparent"/>
          <w:sz w:val="28"/>
          <w:szCs w:val="28"/>
          <w:rtl/>
        </w:rPr>
        <w:t xml:space="preserve"> </w:t>
      </w:r>
      <w:r w:rsidRPr="00001A51">
        <w:rPr>
          <w:rFonts w:ascii="Arabic Transparent" w:hAnsi="Arabic Transparent" w:cs="Arabic Transparent"/>
          <w:sz w:val="28"/>
          <w:szCs w:val="28"/>
          <w:rtl/>
          <w:lang w:val="en-AE"/>
        </w:rPr>
        <w:t>الفيروزآبادى هي بمعنى: "عَيب، يقولُ النَّاظِر: لو كانَ كذا لكانَ أحسَنَ"</w:t>
      </w:r>
      <w:r w:rsidRPr="00001A51">
        <w:rPr>
          <w:rFonts w:ascii="Arabic Transparent" w:hAnsi="Arabic Transparent" w:cs="Arabic Transparent"/>
          <w:sz w:val="28"/>
          <w:szCs w:val="28"/>
          <w:vertAlign w:val="superscript"/>
          <w:rtl/>
          <w:lang w:val="en-AE"/>
        </w:rPr>
        <w:t>(</w:t>
      </w:r>
      <w:r w:rsidRPr="00001A51">
        <w:rPr>
          <w:rFonts w:ascii="Arabic Transparent" w:hAnsi="Arabic Transparent" w:cs="Arabic Transparent"/>
          <w:sz w:val="28"/>
          <w:szCs w:val="28"/>
          <w:vertAlign w:val="superscript"/>
          <w:rtl/>
          <w:lang w:val="en-AE"/>
        </w:rPr>
        <w:footnoteReference w:id="188"/>
      </w:r>
      <w:r w:rsidRPr="00001A51">
        <w:rPr>
          <w:rFonts w:ascii="Arabic Transparent" w:hAnsi="Arabic Transparent" w:cs="Arabic Transparent"/>
          <w:sz w:val="28"/>
          <w:szCs w:val="28"/>
          <w:vertAlign w:val="superscript"/>
          <w:rtl/>
          <w:lang w:val="en-AE"/>
        </w:rPr>
        <w:t>)</w:t>
      </w:r>
      <w:r w:rsidRPr="00001A51">
        <w:rPr>
          <w:rFonts w:ascii="Arabic Transparent" w:hAnsi="Arabic Transparent" w:cs="Arabic Transparent"/>
          <w:sz w:val="28"/>
          <w:szCs w:val="28"/>
          <w:rtl/>
          <w:lang w:val="en-AE"/>
        </w:rPr>
        <w:t>.</w:t>
      </w:r>
      <w:r w:rsidRPr="00001A51">
        <w:rPr>
          <w:rFonts w:ascii="Arabic Transparent" w:hAnsi="Arabic Transparent" w:cs="Arabic Transparent"/>
          <w:sz w:val="28"/>
          <w:szCs w:val="28"/>
          <w:rtl/>
          <w:lang w:val="en-AE"/>
        </w:rPr>
        <w:br w:type="page"/>
      </w:r>
    </w:p>
    <w:p w14:paraId="4B00A09D" w14:textId="42DFA1FB" w:rsidR="00925CED" w:rsidRPr="00001A51" w:rsidRDefault="00925CED" w:rsidP="00925CE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val="en-AE" w:bidi="ar-JO"/>
        </w:rPr>
        <w:t xml:space="preserve">3- </w:t>
      </w:r>
      <w:r w:rsidRPr="00001A51">
        <w:rPr>
          <w:rFonts w:ascii="Arabic Transparent" w:hAnsi="Arabic Transparent" w:cs="Arabic Transparent"/>
          <w:b/>
          <w:bCs/>
          <w:sz w:val="28"/>
          <w:szCs w:val="28"/>
          <w:rtl/>
          <w:lang w:val="en-AE" w:bidi="ar-JO"/>
        </w:rPr>
        <w:t>التَباين والتفاضل</w:t>
      </w:r>
      <w:r w:rsidRPr="00001A51">
        <w:rPr>
          <w:rFonts w:ascii="Arabic Transparent" w:hAnsi="Arabic Transparent" w:cs="Arabic Transparent"/>
          <w:sz w:val="28"/>
          <w:szCs w:val="28"/>
          <w:rtl/>
          <w:lang w:val="en-AE" w:bidi="ar-JO"/>
        </w:rPr>
        <w:t xml:space="preserve">: عدم التناسب، وعدم الانتظام مع التفاضل مثل: </w:t>
      </w:r>
      <w:r w:rsidR="00FF4EE2" w:rsidRPr="00001A51">
        <w:rPr>
          <w:rFonts w:ascii="Arabic Transparent" w:hAnsi="Arabic Transparent" w:cs="Arabic Transparent"/>
          <w:sz w:val="28"/>
          <w:szCs w:val="28"/>
          <w:rtl/>
          <w:lang w:val="en-AE" w:bidi="ar-JO"/>
        </w:rPr>
        <w:t>"</w:t>
      </w:r>
      <w:r w:rsidRPr="00001A51">
        <w:rPr>
          <w:rFonts w:ascii="Arabic Transparent" w:hAnsi="Arabic Transparent" w:cs="Arabic Transparent"/>
          <w:sz w:val="28"/>
          <w:szCs w:val="28"/>
          <w:rtl/>
          <w:lang w:val="en-AE" w:bidi="ar-JO"/>
        </w:rPr>
        <w:t>العدديات المتفاوتة، التي يكون بين أفرادها، وآحادها تفاوت (عدم تساوٍ) في القيمة فجميعها قيميّات</w:t>
      </w:r>
      <w:r w:rsidR="00FF4EE2" w:rsidRPr="00001A51">
        <w:rPr>
          <w:rFonts w:ascii="Arabic Transparent" w:hAnsi="Arabic Transparent" w:cs="Arabic Transparent" w:hint="cs"/>
          <w:sz w:val="28"/>
          <w:szCs w:val="28"/>
          <w:vertAlign w:val="superscript"/>
          <w:rtl/>
          <w:lang w:val="en-AE" w:bidi="ar-JO"/>
        </w:rPr>
        <w:t>"</w:t>
      </w:r>
      <w:r w:rsidRPr="00001A51">
        <w:rPr>
          <w:rFonts w:ascii="Arabic Transparent" w:hAnsi="Arabic Transparent" w:cs="Arabic Transparent"/>
          <w:sz w:val="28"/>
          <w:szCs w:val="28"/>
          <w:vertAlign w:val="superscript"/>
          <w:rtl/>
          <w:lang w:val="en-AE" w:bidi="ar-JO"/>
        </w:rPr>
        <w:t>(</w:t>
      </w:r>
      <w:r w:rsidRPr="00001A51">
        <w:rPr>
          <w:rFonts w:ascii="Arabic Transparent" w:hAnsi="Arabic Transparent" w:cs="Arabic Transparent"/>
          <w:sz w:val="28"/>
          <w:szCs w:val="28"/>
          <w:vertAlign w:val="superscript"/>
          <w:rtl/>
          <w:lang w:val="en-AE" w:bidi="ar-JO"/>
        </w:rPr>
        <w:footnoteReference w:id="189"/>
      </w:r>
      <w:r w:rsidRPr="00001A51">
        <w:rPr>
          <w:rFonts w:ascii="Arabic Transparent" w:hAnsi="Arabic Transparent" w:cs="Arabic Transparent"/>
          <w:sz w:val="28"/>
          <w:szCs w:val="28"/>
          <w:vertAlign w:val="superscript"/>
          <w:rtl/>
          <w:lang w:val="en-AE" w:bidi="ar-JO"/>
        </w:rPr>
        <w:t>)</w:t>
      </w:r>
      <w:r w:rsidRPr="00001A51">
        <w:rPr>
          <w:rFonts w:ascii="Arabic Transparent" w:hAnsi="Arabic Transparent" w:cs="Arabic Transparent"/>
          <w:sz w:val="28"/>
          <w:szCs w:val="28"/>
          <w:rtl/>
          <w:lang w:bidi="ar-JO"/>
        </w:rPr>
        <w:t xml:space="preserve"> حيث إنَّ "الشيئين اختلفَا فِي التَّقدِير، وَيُقَال ‌تفَاوت الرّجلانِ تباينا فِي الفضل والخلق".</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190"/>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ويشير هذا المفهوم إلى أوصاف بينها تباين بين شيئين، بسبب زيادة في الصفة، أو الهيئة، فيُنسب لهما التفاوت لذلك السبب</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191"/>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w:t>
      </w:r>
    </w:p>
    <w:p w14:paraId="721E8EA9" w14:textId="46EB7B10" w:rsidR="00925CED" w:rsidRPr="00001A51" w:rsidRDefault="005D7B91" w:rsidP="00925CE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925CED" w:rsidRPr="00001A51">
        <w:rPr>
          <w:rFonts w:ascii="Arabic Transparent" w:hAnsi="Arabic Transparent" w:cs="Arabic Transparent"/>
          <w:sz w:val="28"/>
          <w:szCs w:val="28"/>
          <w:rtl/>
          <w:lang w:bidi="ar-JO"/>
        </w:rPr>
        <w:t xml:space="preserve"> وأكثر هذه المعاني اتساقًا، وأوضحها دلالًة على المراد في سياق موضوع الدراسة، هو المعنى الثالث: التباين</w:t>
      </w:r>
      <w:r w:rsidR="00925CED" w:rsidRPr="00001A51">
        <w:rPr>
          <w:rFonts w:ascii="Arabic Transparent" w:hAnsi="Arabic Transparent" w:cs="Arabic Transparent"/>
          <w:sz w:val="28"/>
          <w:szCs w:val="28"/>
          <w:vertAlign w:val="superscript"/>
          <w:rtl/>
          <w:lang w:bidi="ar-JO"/>
        </w:rPr>
        <w:t>(</w:t>
      </w:r>
      <w:r w:rsidR="00925CED" w:rsidRPr="00001A51">
        <w:rPr>
          <w:rFonts w:ascii="Arabic Transparent" w:hAnsi="Arabic Transparent" w:cs="Arabic Transparent"/>
          <w:sz w:val="28"/>
          <w:szCs w:val="28"/>
          <w:vertAlign w:val="superscript"/>
          <w:rtl/>
          <w:lang w:bidi="ar-JO"/>
        </w:rPr>
        <w:footnoteReference w:id="192"/>
      </w:r>
      <w:r w:rsidR="00925CED" w:rsidRPr="00001A51">
        <w:rPr>
          <w:rFonts w:ascii="Arabic Transparent" w:hAnsi="Arabic Transparent" w:cs="Arabic Transparent"/>
          <w:sz w:val="28"/>
          <w:szCs w:val="28"/>
          <w:vertAlign w:val="superscript"/>
          <w:rtl/>
          <w:lang w:bidi="ar-JO"/>
        </w:rPr>
        <w:t>)</w:t>
      </w:r>
      <w:r w:rsidR="00925CED" w:rsidRPr="00001A51">
        <w:rPr>
          <w:rFonts w:ascii="Arabic Transparent" w:hAnsi="Arabic Transparent" w:cs="Arabic Transparent"/>
          <w:sz w:val="28"/>
          <w:szCs w:val="28"/>
          <w:rtl/>
          <w:lang w:bidi="ar-JO"/>
        </w:rPr>
        <w:t xml:space="preserve"> والتفاضل وعدم التساوي، فهو المراد من التَّفاوت.</w:t>
      </w:r>
    </w:p>
    <w:p w14:paraId="1953CB41" w14:textId="77777777" w:rsidR="00925CED" w:rsidRPr="00001A51" w:rsidRDefault="00925CED" w:rsidP="00925CED">
      <w:pPr>
        <w:spacing w:after="0" w:line="360" w:lineRule="auto"/>
        <w:jc w:val="both"/>
        <w:rPr>
          <w:rFonts w:ascii="Arabic Transparent" w:hAnsi="Arabic Transparent" w:cs="Arabic Transparent"/>
          <w:b/>
          <w:bCs/>
          <w:sz w:val="32"/>
          <w:szCs w:val="32"/>
          <w:rtl/>
          <w:lang w:bidi="ar-JO"/>
        </w:rPr>
      </w:pPr>
      <w:r w:rsidRPr="00001A51">
        <w:rPr>
          <w:rFonts w:ascii="Arabic Transparent" w:hAnsi="Arabic Transparent" w:cs="Arabic Transparent"/>
          <w:b/>
          <w:bCs/>
          <w:sz w:val="32"/>
          <w:szCs w:val="32"/>
          <w:rtl/>
          <w:lang w:bidi="ar-JO"/>
        </w:rPr>
        <w:t>الفرع الثاني: التَّفاوت اصطلاحاً.</w:t>
      </w:r>
    </w:p>
    <w:p w14:paraId="3EA938C8" w14:textId="7ED96410" w:rsidR="00925CED" w:rsidRPr="00001A51" w:rsidRDefault="005D7B91" w:rsidP="00925CE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925CED" w:rsidRPr="00001A51">
        <w:rPr>
          <w:rFonts w:ascii="Arabic Transparent" w:hAnsi="Arabic Transparent" w:cs="Arabic Transparent"/>
          <w:sz w:val="28"/>
          <w:szCs w:val="28"/>
          <w:rtl/>
          <w:lang w:bidi="ar-JO"/>
        </w:rPr>
        <w:t xml:space="preserve"> لم يجد الباحث إلا النزر اليسير من التعريفات لمفهوم التَّفاوت اصطلاحاً وهي: </w:t>
      </w:r>
    </w:p>
    <w:p w14:paraId="7CF42506" w14:textId="77777777" w:rsidR="00925CED" w:rsidRPr="00001A51" w:rsidRDefault="00925CED" w:rsidP="00925CE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1- عرَّفه المنّاوي، والأصفهاني بأنَّه: "الاختلاف في الأوصاف كأنه يفوّت وصف أحدهما الآخر، أو وصف كل منهما الآخر، وأصله عدم التناسب"</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193"/>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w:t>
      </w:r>
    </w:p>
    <w:p w14:paraId="3D3D4540" w14:textId="77777777" w:rsidR="00925CED" w:rsidRPr="00001A51" w:rsidRDefault="00925CED" w:rsidP="00925CED">
      <w:pPr>
        <w:spacing w:after="0" w:line="360" w:lineRule="auto"/>
        <w:jc w:val="both"/>
        <w:rPr>
          <w:rFonts w:ascii="Arabic Transparent" w:hAnsi="Arabic Transparent" w:cs="Arabic Transparent"/>
          <w:sz w:val="28"/>
          <w:szCs w:val="28"/>
          <w:rtl/>
        </w:rPr>
      </w:pPr>
      <w:r w:rsidRPr="00001A51">
        <w:rPr>
          <w:rFonts w:ascii="Arabic Transparent" w:hAnsi="Arabic Transparent" w:cs="Arabic Transparent"/>
          <w:sz w:val="28"/>
          <w:szCs w:val="28"/>
          <w:rtl/>
          <w:lang w:bidi="ar-JO"/>
        </w:rPr>
        <w:t>2- وعرّفه قلعجي بأنَّه: "</w:t>
      </w:r>
      <w:r w:rsidRPr="00001A51">
        <w:rPr>
          <w:rFonts w:ascii="Arabic Transparent" w:hAnsi="Arabic Transparent" w:cs="Arabic Transparent"/>
          <w:sz w:val="28"/>
          <w:szCs w:val="28"/>
          <w:rtl/>
        </w:rPr>
        <w:t>الاختلاف بين الأشياء في القدر، أو الصّفة"</w:t>
      </w:r>
      <w:r w:rsidRPr="00001A51">
        <w:rPr>
          <w:rFonts w:ascii="Arabic Transparent" w:hAnsi="Arabic Transparent" w:cs="Arabic Transparent"/>
          <w:sz w:val="28"/>
          <w:szCs w:val="28"/>
          <w:vertAlign w:val="superscript"/>
          <w:rtl/>
        </w:rPr>
        <w:t>(</w:t>
      </w:r>
      <w:r w:rsidRPr="00001A51">
        <w:rPr>
          <w:rFonts w:ascii="Arabic Transparent" w:hAnsi="Arabic Transparent" w:cs="Arabic Transparent"/>
          <w:sz w:val="28"/>
          <w:szCs w:val="28"/>
          <w:vertAlign w:val="superscript"/>
          <w:rtl/>
        </w:rPr>
        <w:footnoteReference w:id="194"/>
      </w:r>
      <w:r w:rsidRPr="00001A51">
        <w:rPr>
          <w:rFonts w:ascii="Arabic Transparent" w:hAnsi="Arabic Transparent" w:cs="Arabic Transparent"/>
          <w:sz w:val="28"/>
          <w:szCs w:val="28"/>
          <w:vertAlign w:val="superscript"/>
          <w:rtl/>
        </w:rPr>
        <w:t>)</w:t>
      </w:r>
      <w:r w:rsidRPr="00001A51">
        <w:rPr>
          <w:rFonts w:ascii="Arabic Transparent" w:hAnsi="Arabic Transparent" w:cs="Arabic Transparent"/>
          <w:sz w:val="28"/>
          <w:szCs w:val="28"/>
          <w:rtl/>
        </w:rPr>
        <w:t>.</w:t>
      </w:r>
    </w:p>
    <w:p w14:paraId="72967BA4" w14:textId="77777777" w:rsidR="00925CED" w:rsidRPr="00001A51" w:rsidRDefault="00925CED" w:rsidP="00925CED">
      <w:pPr>
        <w:spacing w:after="0" w:line="360" w:lineRule="auto"/>
        <w:jc w:val="both"/>
        <w:rPr>
          <w:rFonts w:ascii="Arabic Transparent" w:hAnsi="Arabic Transparent" w:cs="Arabic Transparent"/>
          <w:sz w:val="28"/>
          <w:szCs w:val="28"/>
        </w:rPr>
      </w:pPr>
      <w:r w:rsidRPr="00001A51">
        <w:rPr>
          <w:rFonts w:ascii="Arabic Transparent" w:hAnsi="Arabic Transparent" w:cs="Arabic Transparent"/>
          <w:sz w:val="28"/>
          <w:szCs w:val="28"/>
          <w:rtl/>
          <w:lang w:bidi="ar-JO"/>
        </w:rPr>
        <w:t>3- وعُرّفه ابن فارس بأنَّه "الاختلاف في بعض الصفات والمقادير والأوصاف"</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195"/>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rPr>
        <w:t>.</w:t>
      </w:r>
    </w:p>
    <w:p w14:paraId="628D1955" w14:textId="3660E5C3" w:rsidR="00FF4EE2" w:rsidRPr="00001A51" w:rsidRDefault="00211C19" w:rsidP="00D8093F">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hint="cs"/>
          <w:b/>
          <w:bCs/>
          <w:sz w:val="28"/>
          <w:szCs w:val="28"/>
          <w:rtl/>
          <w:lang w:bidi="ar-JO"/>
        </w:rPr>
        <w:t xml:space="preserve">     </w:t>
      </w:r>
      <w:r w:rsidR="00925CED" w:rsidRPr="00001A51">
        <w:rPr>
          <w:rFonts w:ascii="Arabic Transparent" w:hAnsi="Arabic Transparent" w:cs="Arabic Transparent"/>
          <w:b/>
          <w:bCs/>
          <w:sz w:val="28"/>
          <w:szCs w:val="28"/>
          <w:rtl/>
          <w:lang w:bidi="ar-JO"/>
        </w:rPr>
        <w:t>مناقشة التعريفات:</w:t>
      </w:r>
      <w:r w:rsidR="00925CED" w:rsidRPr="00001A51">
        <w:rPr>
          <w:rFonts w:ascii="Arabic Transparent" w:hAnsi="Arabic Transparent" w:cs="Arabic Transparent"/>
          <w:sz w:val="28"/>
          <w:szCs w:val="28"/>
          <w:rtl/>
          <w:lang w:bidi="ar-JO"/>
        </w:rPr>
        <w:t xml:space="preserve"> عند تحليل التعريفات السابقة نجد أن المناوي والأصفهاني أكدا على أن التَّفاوت يتمثل في الاختلاف في الأوصاف، يعزى إلى عدم التناسب، بيد أن القلعجي وابن فارس ركّزا على البعد الكمي، والنوعي، والوصفي، مما يُدخل التَّفاوت في سياقات القياس والمقارنة الدقيقة.</w:t>
      </w:r>
    </w:p>
    <w:p w14:paraId="7F262D8F" w14:textId="77777777" w:rsidR="00FF4EE2" w:rsidRPr="00001A51" w:rsidRDefault="00FF4EE2">
      <w:pPr>
        <w:bidi w:val="0"/>
        <w:spacing w:after="0" w:line="240" w:lineRule="auto"/>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br w:type="page"/>
      </w:r>
    </w:p>
    <w:p w14:paraId="5A11CC9C" w14:textId="6DE0E643" w:rsidR="00925CED" w:rsidRPr="00001A51" w:rsidRDefault="00211C19" w:rsidP="00211C19">
      <w:pPr>
        <w:spacing w:after="0" w:line="336" w:lineRule="auto"/>
        <w:jc w:val="both"/>
        <w:rPr>
          <w:rFonts w:ascii="Arabic Transparent" w:hAnsi="Arabic Transparent" w:cs="Arabic Transparent"/>
          <w:sz w:val="28"/>
          <w:szCs w:val="28"/>
          <w:rtl/>
          <w:lang w:bidi="ar-JO"/>
        </w:rPr>
      </w:pPr>
      <w:r w:rsidRPr="00001A51">
        <w:rPr>
          <w:rFonts w:ascii="Arabic Transparent" w:hAnsi="Arabic Transparent" w:cs="Arabic Transparent" w:hint="cs"/>
          <w:b/>
          <w:bCs/>
          <w:sz w:val="28"/>
          <w:szCs w:val="28"/>
          <w:rtl/>
          <w:lang w:bidi="ar-JO"/>
        </w:rPr>
        <w:t xml:space="preserve">     </w:t>
      </w:r>
      <w:r w:rsidR="00925CED" w:rsidRPr="00001A51">
        <w:rPr>
          <w:rFonts w:ascii="Arabic Transparent" w:hAnsi="Arabic Transparent" w:cs="Arabic Transparent"/>
          <w:b/>
          <w:bCs/>
          <w:sz w:val="28"/>
          <w:szCs w:val="28"/>
          <w:rtl/>
          <w:lang w:bidi="ar-JO"/>
        </w:rPr>
        <w:t>التعريف المختار:</w:t>
      </w:r>
      <w:r w:rsidR="00925CED" w:rsidRPr="00001A51">
        <w:rPr>
          <w:rFonts w:ascii="Arabic Transparent" w:hAnsi="Arabic Transparent" w:cs="Arabic Transparent"/>
          <w:sz w:val="28"/>
          <w:szCs w:val="28"/>
          <w:rtl/>
          <w:lang w:bidi="ar-JO"/>
        </w:rPr>
        <w:t xml:space="preserve"> بعد النظر في التعريفات السابقة، يُلاحظ أن مفهوم التَّفاوت يدور حول الاختلاف المصحوب بعدم التناسب بين الأشياء من حيث الجنس، أو القدر، أو الوصف، وهو اختلاف يقتضي</w:t>
      </w:r>
    </w:p>
    <w:p w14:paraId="77E36ABD" w14:textId="77777777" w:rsidR="00925CED" w:rsidRPr="00001A51" w:rsidRDefault="00925CED" w:rsidP="00211C19">
      <w:pPr>
        <w:spacing w:after="0" w:line="336"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تفاضلاً في بعض الأحيان، لا مجرد تغاير، ومن هذا الاستنتاج يمكن التوصل إلى مفهوم التَّفاوت، بأنه: </w:t>
      </w:r>
      <w:bookmarkStart w:id="9" w:name="_Hlk216547468"/>
      <w:r w:rsidRPr="00001A51">
        <w:rPr>
          <w:rFonts w:ascii="Arabic Transparent" w:hAnsi="Arabic Transparent" w:cs="Arabic Transparent"/>
          <w:b/>
          <w:bCs/>
          <w:sz w:val="28"/>
          <w:szCs w:val="28"/>
          <w:rtl/>
          <w:lang w:bidi="ar-JO"/>
        </w:rPr>
        <w:t>تباينٌ في الأوصاف بين أفراد الجنس الواحد</w:t>
      </w:r>
      <w:bookmarkEnd w:id="9"/>
      <w:r w:rsidRPr="00001A51">
        <w:rPr>
          <w:rFonts w:ascii="Arabic Transparent" w:hAnsi="Arabic Transparent" w:cs="Arabic Transparent"/>
          <w:sz w:val="28"/>
          <w:szCs w:val="28"/>
          <w:rtl/>
          <w:lang w:bidi="ar-JO"/>
        </w:rPr>
        <w:t xml:space="preserve">، ويمكن شرح محترزات التعريف كما يأتي: </w:t>
      </w:r>
    </w:p>
    <w:p w14:paraId="6A82CE57" w14:textId="3B970327" w:rsidR="00925CED" w:rsidRPr="00001A51" w:rsidRDefault="00925CED" w:rsidP="00211C19">
      <w:pPr>
        <w:spacing w:after="0" w:line="336"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w:t>
      </w:r>
      <w:r w:rsidRPr="00001A51">
        <w:rPr>
          <w:rFonts w:ascii="Arabic Transparent" w:hAnsi="Arabic Transparent" w:cs="Arabic Transparent"/>
          <w:b/>
          <w:bCs/>
          <w:sz w:val="28"/>
          <w:szCs w:val="28"/>
          <w:rtl/>
          <w:lang w:bidi="ar-JO"/>
        </w:rPr>
        <w:t>تبابنٌ في الأوصاف</w:t>
      </w:r>
      <w:r w:rsidRPr="00001A51">
        <w:rPr>
          <w:rFonts w:ascii="Arabic Transparent" w:hAnsi="Arabic Transparent" w:cs="Arabic Transparent"/>
          <w:sz w:val="28"/>
          <w:szCs w:val="28"/>
          <w:rtl/>
          <w:lang w:bidi="ar-JO"/>
        </w:rPr>
        <w:t xml:space="preserve">": </w:t>
      </w:r>
      <w:bookmarkStart w:id="10" w:name="_Hlk216547523"/>
      <w:r w:rsidRPr="00001A51">
        <w:rPr>
          <w:rFonts w:ascii="Arabic Transparent" w:hAnsi="Arabic Transparent" w:cs="Arabic Transparent"/>
          <w:sz w:val="28"/>
          <w:szCs w:val="28"/>
          <w:rtl/>
          <w:lang w:bidi="ar-JO"/>
        </w:rPr>
        <w:t xml:space="preserve">والتباين مرادف لمعنى التفاوت، وهو قائمٌ على </w:t>
      </w:r>
      <w:r w:rsidR="00FF4EE2" w:rsidRPr="00001A51">
        <w:rPr>
          <w:rFonts w:ascii="Arabic Transparent" w:hAnsi="Arabic Transparent" w:cs="Arabic Transparent" w:hint="cs"/>
          <w:sz w:val="28"/>
          <w:szCs w:val="28"/>
          <w:rtl/>
          <w:lang w:bidi="ar-JO"/>
        </w:rPr>
        <w:t>"</w:t>
      </w:r>
      <w:r w:rsidRPr="00001A51">
        <w:rPr>
          <w:rFonts w:ascii="Arabic Transparent" w:hAnsi="Arabic Transparent" w:cs="Arabic Transparent"/>
          <w:sz w:val="28"/>
          <w:szCs w:val="28"/>
          <w:rtl/>
          <w:lang w:bidi="ar-JO"/>
        </w:rPr>
        <w:t>التفاضل في الأوصاف، بحيث يكون أحد الطرفين أعلى رتبةً، أو قيمةً، أو أثرًا من الآخر</w:t>
      </w:r>
      <w:r w:rsidR="00FF4EE2" w:rsidRPr="00001A51">
        <w:rPr>
          <w:rFonts w:ascii="Arabic Transparent" w:hAnsi="Arabic Transparent" w:cs="Arabic Transparent" w:hint="cs"/>
          <w:sz w:val="28"/>
          <w:szCs w:val="28"/>
          <w:rtl/>
          <w:lang w:bidi="ar-JO"/>
        </w:rPr>
        <w:t>"</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196"/>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وأشار إلى هذا المعنى الغزالي، حيث قال: "وعرفنا ‌ما ‌فيه ‌التفاوت ‌من ‌زيادة أو نقصان وعرفنا الوصف الذي فيه يتفاوتان، وجردنا النظر إلى ذلك الوصف وأبطلناه بطريقة أو أثبتناه بطريقة"</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197"/>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w:t>
      </w:r>
      <w:bookmarkEnd w:id="10"/>
    </w:p>
    <w:p w14:paraId="3732DF36" w14:textId="23C21BCD" w:rsidR="00925CED" w:rsidRPr="00001A51" w:rsidRDefault="00925CED" w:rsidP="00211C19">
      <w:pPr>
        <w:spacing w:after="0" w:line="336" w:lineRule="auto"/>
        <w:jc w:val="both"/>
        <w:rPr>
          <w:rFonts w:ascii="Arabic Transparent" w:hAnsi="Arabic Transparent" w:cs="Arabic Transparent"/>
          <w:sz w:val="28"/>
          <w:szCs w:val="28"/>
          <w:rtl/>
          <w:lang w:bidi="ar-JO"/>
        </w:rPr>
      </w:pPr>
      <w:r w:rsidRPr="00001A51">
        <w:rPr>
          <w:rFonts w:ascii="Arabic Transparent" w:hAnsi="Arabic Transparent" w:cs="Arabic Transparent"/>
          <w:b/>
          <w:bCs/>
          <w:sz w:val="28"/>
          <w:szCs w:val="28"/>
          <w:rtl/>
          <w:lang w:bidi="ar-JO"/>
        </w:rPr>
        <w:t>والوصف</w:t>
      </w:r>
      <w:r w:rsidRPr="00001A51">
        <w:rPr>
          <w:rFonts w:ascii="Arabic Transparent" w:hAnsi="Arabic Transparent" w:cs="Arabic Transparent"/>
          <w:sz w:val="28"/>
          <w:szCs w:val="28"/>
          <w:rtl/>
          <w:lang w:bidi="ar-JO"/>
        </w:rPr>
        <w:t>: هو الصفة المعنوية، وتعرّف بأنَّها: "المعنى القائم بالغير"</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198"/>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فلا غاية منه إلا من أجل الإشارة إلى موصوفه، وتقييده ببعض العلامات والإشارات التي تدل عليه، والأوصاف بعضها مناسب ومؤثر، وبعضها غير مناسب ومؤثر، وهو ما نص عليه الشنقيطي، فقال: "إن ‌الوصف ‌المناسب ‌المؤثر هو ما اعتُبر الشرع فيه غير الوصف في عين الحكم، أي نوعه في نوعه بنص أو إجماع."</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199"/>
      </w:r>
      <w:r w:rsidRPr="00001A51">
        <w:rPr>
          <w:rFonts w:ascii="Arabic Transparent" w:hAnsi="Arabic Transparent" w:cs="Arabic Transparent"/>
          <w:sz w:val="28"/>
          <w:szCs w:val="28"/>
          <w:vertAlign w:val="superscript"/>
          <w:rtl/>
          <w:lang w:bidi="ar-JO"/>
        </w:rPr>
        <w:t>)</w:t>
      </w:r>
      <w:r w:rsidR="00017DFE" w:rsidRPr="00001A51">
        <w:rPr>
          <w:rFonts w:ascii="Arabic Transparent" w:hAnsi="Arabic Transparent" w:cs="Arabic Transparent" w:hint="cs"/>
          <w:sz w:val="28"/>
          <w:szCs w:val="28"/>
          <w:rtl/>
          <w:lang w:bidi="ar-JO"/>
        </w:rPr>
        <w:t>،</w:t>
      </w:r>
      <w:r w:rsidRPr="00001A51">
        <w:rPr>
          <w:rFonts w:ascii="Arabic Transparent" w:hAnsi="Arabic Transparent" w:cs="Arabic Transparent"/>
          <w:sz w:val="28"/>
          <w:szCs w:val="28"/>
          <w:rtl/>
          <w:lang w:bidi="ar-JO"/>
        </w:rPr>
        <w:t xml:space="preserve"> فهذا التفاوت في الوصف يُعرف عند تحقيق المناط، والتأكد من سلامة الأوصاف التي اختارها المجتهد وعلّق عليها الحكم.</w:t>
      </w:r>
    </w:p>
    <w:p w14:paraId="73DF5AEF" w14:textId="116D342D" w:rsidR="00D8093F" w:rsidRPr="00001A51" w:rsidRDefault="00925CED" w:rsidP="00211C19">
      <w:pPr>
        <w:spacing w:after="0" w:line="336" w:lineRule="auto"/>
        <w:jc w:val="both"/>
        <w:rPr>
          <w:rFonts w:ascii="Arabic Transparent" w:hAnsi="Arabic Transparent" w:cs="Arabic Transparent"/>
          <w:b/>
          <w:bCs/>
          <w:sz w:val="32"/>
          <w:szCs w:val="32"/>
          <w:rtl/>
          <w:lang w:bidi="ar-JO"/>
        </w:rPr>
      </w:pPr>
      <w:r w:rsidRPr="00001A51">
        <w:rPr>
          <w:rFonts w:ascii="Arabic Transparent" w:hAnsi="Arabic Transparent" w:cs="Arabic Transparent"/>
          <w:sz w:val="28"/>
          <w:szCs w:val="28"/>
          <w:rtl/>
          <w:lang w:bidi="ar-JO"/>
        </w:rPr>
        <w:t>"</w:t>
      </w:r>
      <w:r w:rsidRPr="00001A51">
        <w:rPr>
          <w:rFonts w:ascii="Arabic Transparent" w:hAnsi="Arabic Transparent" w:cs="Arabic Transparent"/>
          <w:b/>
          <w:bCs/>
          <w:sz w:val="28"/>
          <w:szCs w:val="28"/>
          <w:rtl/>
          <w:lang w:bidi="ar-JO"/>
        </w:rPr>
        <w:t>بين أفراد الجنس الواحد</w:t>
      </w:r>
      <w:r w:rsidRPr="00001A51">
        <w:rPr>
          <w:rFonts w:ascii="Arabic Transparent" w:hAnsi="Arabic Transparent" w:cs="Arabic Transparent"/>
          <w:sz w:val="28"/>
          <w:szCs w:val="28"/>
          <w:rtl/>
          <w:lang w:bidi="ar-JO"/>
        </w:rPr>
        <w:t>": أي أن التفاوت يكون بين شيئين، أو أكثر عند اجتماعها حول نوع محدد،</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200"/>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xml:space="preserve"> وهي المسألة، أو محل الاجتهاد، وذلك بوجود وصف هو الأظهر، أو الأكثر تأثيراً من الوصف الآخر، كالتفاوت بالتأثير بين الغرر اليسير والفاحش في معاملة مالية معينة.</w:t>
      </w:r>
      <w:r w:rsidR="00D8093F" w:rsidRPr="00001A51">
        <w:rPr>
          <w:rFonts w:ascii="Arabic Transparent" w:hAnsi="Arabic Transparent" w:cs="Arabic Transparent"/>
          <w:b/>
          <w:bCs/>
          <w:sz w:val="32"/>
          <w:szCs w:val="32"/>
          <w:rtl/>
          <w:lang w:bidi="ar-JO"/>
        </w:rPr>
        <w:br w:type="page"/>
      </w:r>
    </w:p>
    <w:p w14:paraId="503FCA46" w14:textId="77777777" w:rsidR="00925CED" w:rsidRPr="00001A51" w:rsidRDefault="00925CED" w:rsidP="00881579">
      <w:pPr>
        <w:spacing w:after="0" w:line="360" w:lineRule="auto"/>
        <w:jc w:val="both"/>
        <w:rPr>
          <w:rFonts w:ascii="Arabic Transparent" w:hAnsi="Arabic Transparent" w:cs="Arabic Transparent"/>
          <w:b/>
          <w:bCs/>
          <w:sz w:val="32"/>
          <w:szCs w:val="32"/>
          <w:rtl/>
          <w:lang w:val="en-AE" w:bidi="ar-JO"/>
        </w:rPr>
      </w:pPr>
      <w:r w:rsidRPr="00001A51">
        <w:rPr>
          <w:rFonts w:ascii="Arabic Transparent" w:hAnsi="Arabic Transparent" w:cs="Arabic Transparent"/>
          <w:b/>
          <w:bCs/>
          <w:sz w:val="32"/>
          <w:szCs w:val="32"/>
          <w:rtl/>
          <w:lang w:bidi="ar-JO"/>
        </w:rPr>
        <w:t xml:space="preserve">المطلب الثاني: </w:t>
      </w:r>
      <w:bookmarkStart w:id="11" w:name="_Hlk216547566"/>
      <w:r w:rsidRPr="00001A51">
        <w:rPr>
          <w:rFonts w:ascii="Arabic Transparent" w:hAnsi="Arabic Transparent" w:cs="Arabic Transparent"/>
          <w:b/>
          <w:bCs/>
          <w:sz w:val="32"/>
          <w:szCs w:val="32"/>
          <w:rtl/>
          <w:lang w:bidi="ar-JO"/>
        </w:rPr>
        <w:t xml:space="preserve">تعريف التَّفاوت في تحقيق المناط الخاص باعتباره لقباً. </w:t>
      </w:r>
    </w:p>
    <w:bookmarkEnd w:id="11"/>
    <w:p w14:paraId="3E511464" w14:textId="0F7601F5" w:rsidR="00925CED" w:rsidRPr="00001A51" w:rsidRDefault="00925CED" w:rsidP="00FA49B9">
      <w:pPr>
        <w:spacing w:after="0" w:line="360" w:lineRule="auto"/>
        <w:ind w:firstLine="332"/>
        <w:jc w:val="both"/>
        <w:rPr>
          <w:rFonts w:ascii="Arabic Transparent" w:hAnsi="Arabic Transparent" w:cs="Arabic Transparent"/>
          <w:sz w:val="28"/>
          <w:szCs w:val="28"/>
          <w:rtl/>
          <w:lang w:val="en-AE" w:bidi="ar-JO"/>
        </w:rPr>
      </w:pPr>
      <w:r w:rsidRPr="00001A51">
        <w:rPr>
          <w:rFonts w:ascii="Arabic Transparent" w:hAnsi="Arabic Transparent" w:cs="Arabic Transparent"/>
          <w:sz w:val="28"/>
          <w:szCs w:val="28"/>
          <w:rtl/>
          <w:lang w:val="en-AE" w:bidi="ar-JO"/>
        </w:rPr>
        <w:t>بعد التعرف على تعريف التَّفاوت في تحقيق المناط الخاص باعتبار الإضافة</w:t>
      </w:r>
      <w:r w:rsidRPr="00001A51">
        <w:rPr>
          <w:rFonts w:ascii="Arabic Transparent" w:hAnsi="Arabic Transparent" w:cs="Arabic Transparent"/>
          <w:sz w:val="28"/>
          <w:szCs w:val="28"/>
          <w:vertAlign w:val="superscript"/>
          <w:rtl/>
          <w:lang w:val="en-AE" w:bidi="ar-JO"/>
        </w:rPr>
        <w:t>(</w:t>
      </w:r>
      <w:r w:rsidRPr="00001A51">
        <w:rPr>
          <w:rFonts w:ascii="Arabic Transparent" w:hAnsi="Arabic Transparent" w:cs="Arabic Transparent"/>
          <w:sz w:val="28"/>
          <w:szCs w:val="28"/>
          <w:vertAlign w:val="superscript"/>
          <w:rtl/>
          <w:lang w:val="en-AE" w:bidi="ar-JO"/>
        </w:rPr>
        <w:footnoteReference w:id="201"/>
      </w:r>
      <w:r w:rsidRPr="00001A51">
        <w:rPr>
          <w:rFonts w:ascii="Arabic Transparent" w:hAnsi="Arabic Transparent" w:cs="Arabic Transparent"/>
          <w:sz w:val="28"/>
          <w:szCs w:val="28"/>
          <w:vertAlign w:val="superscript"/>
          <w:rtl/>
          <w:lang w:val="en-AE" w:bidi="ar-JO"/>
        </w:rPr>
        <w:t>)</w:t>
      </w:r>
      <w:r w:rsidRPr="00001A51">
        <w:rPr>
          <w:rFonts w:ascii="Arabic Transparent" w:hAnsi="Arabic Transparent" w:cs="Arabic Transparent"/>
          <w:sz w:val="28"/>
          <w:szCs w:val="28"/>
          <w:rtl/>
          <w:lang w:val="en-AE" w:bidi="ar-JO"/>
        </w:rPr>
        <w:t>، لابد من بيان المراد من التَّفاوت في تحقيق المناط الخاص باعتباره لقباً، للوقوف على المعنى الذي عليه العمل في هذه الدراسة، وحتى نكوِّن تصوراً عاماً حول المراد من التَّفاوت في تحقيق المناط الخاص، مع ضرورة التَّنبه إلى أن مفهوم التفاوت السابق ذُكر بالنسبة للواقعة، وأما التفاوت هنا فهو بالنسبة لنظر المجتهدين حيث يمكن أن يعبَّر عنه بأنَّه:</w:t>
      </w:r>
      <w:bookmarkStart w:id="12" w:name="_Hlk216547580"/>
      <w:r w:rsidRPr="00001A51">
        <w:rPr>
          <w:rFonts w:ascii="Arabic Transparent" w:hAnsi="Arabic Transparent" w:cs="Arabic Transparent"/>
          <w:sz w:val="28"/>
          <w:szCs w:val="28"/>
          <w:rtl/>
          <w:lang w:val="en-AE" w:bidi="ar-JO"/>
        </w:rPr>
        <w:t xml:space="preserve"> اختلاف النظر الاجتهادي في مقدار تحقُّق الوصف المؤثر في واقعة معيَّنة، مما يفضي إلى تباين الحكم عند التنزيل مع اتحاد الدليل الكلي.</w:t>
      </w:r>
      <w:bookmarkEnd w:id="12"/>
      <w:r w:rsidRPr="00001A51">
        <w:rPr>
          <w:rFonts w:ascii="Arabic Transparent" w:hAnsi="Arabic Transparent" w:cs="Arabic Transparent"/>
          <w:sz w:val="28"/>
          <w:szCs w:val="28"/>
          <w:rtl/>
          <w:lang w:val="en-AE" w:bidi="ar-JO"/>
        </w:rPr>
        <w:t xml:space="preserve">ويمكن شرح محترزات التعريف بما يأتي: </w:t>
      </w:r>
    </w:p>
    <w:p w14:paraId="6FCC9693" w14:textId="78DC2C5D" w:rsidR="00017DFE" w:rsidRPr="00001A51" w:rsidRDefault="00925CED" w:rsidP="00D8093F">
      <w:pPr>
        <w:spacing w:after="0" w:line="360" w:lineRule="auto"/>
        <w:jc w:val="both"/>
        <w:rPr>
          <w:rFonts w:ascii="Arabic Transparent" w:hAnsi="Arabic Transparent" w:cs="Arabic Transparent"/>
          <w:b/>
          <w:bCs/>
          <w:sz w:val="28"/>
          <w:szCs w:val="28"/>
          <w:rtl/>
          <w:lang w:val="en-AE" w:bidi="ar-JO"/>
        </w:rPr>
      </w:pPr>
      <w:bookmarkStart w:id="13" w:name="_Hlk216547828"/>
      <w:r w:rsidRPr="00001A51">
        <w:rPr>
          <w:rFonts w:ascii="Arabic Transparent" w:hAnsi="Arabic Transparent" w:cs="Arabic Transparent"/>
          <w:b/>
          <w:bCs/>
          <w:sz w:val="28"/>
          <w:szCs w:val="28"/>
          <w:rtl/>
          <w:lang w:val="en-AE" w:bidi="ar-JO"/>
        </w:rPr>
        <w:t xml:space="preserve">"اختلاف النظر الاجتهادي": </w:t>
      </w:r>
      <w:r w:rsidRPr="00001A51">
        <w:rPr>
          <w:rFonts w:ascii="Arabic Transparent" w:hAnsi="Arabic Transparent" w:cs="Arabic Transparent"/>
          <w:sz w:val="28"/>
          <w:szCs w:val="28"/>
          <w:rtl/>
          <w:lang w:val="en-AE" w:bidi="ar-JO"/>
        </w:rPr>
        <w:t>هو اختلاف نسبي تقديري يعود إلى جملة من الأسباب، منها ما يتعلق بالاجتهاد، كاختلاف المناهج الاجتهادية والمنهجية التي يسير عليها المجتهدون، ومنها ما يتعلق بالواقعة، كمدى تصور الواقعة، ومدى تأثير الوصف المعين عند تحقيق المناط الجزئي الخاص، أو يعود إلى اختلاف الأوصاف المؤثرة في كل واقعة من الواقعات التي نزِّل عليها الحكم والمتعلقة بالأشخاص أو الأحوال</w:t>
      </w:r>
      <w:r w:rsidRPr="00001A51">
        <w:rPr>
          <w:rFonts w:ascii="Arabic Transparent" w:hAnsi="Arabic Transparent" w:cs="Arabic Transparent"/>
          <w:sz w:val="28"/>
          <w:szCs w:val="28"/>
          <w:vertAlign w:val="superscript"/>
          <w:rtl/>
          <w:lang w:val="en-AE" w:bidi="ar-JO"/>
        </w:rPr>
        <w:t>(</w:t>
      </w:r>
      <w:r w:rsidRPr="00001A51">
        <w:rPr>
          <w:rFonts w:ascii="Arabic Transparent" w:hAnsi="Arabic Transparent" w:cs="Arabic Transparent"/>
          <w:sz w:val="28"/>
          <w:szCs w:val="28"/>
          <w:vertAlign w:val="superscript"/>
          <w:rtl/>
          <w:lang w:val="en-AE" w:bidi="ar-JO"/>
        </w:rPr>
        <w:footnoteReference w:id="202"/>
      </w:r>
      <w:r w:rsidRPr="00001A51">
        <w:rPr>
          <w:rFonts w:ascii="Arabic Transparent" w:hAnsi="Arabic Transparent" w:cs="Arabic Transparent"/>
          <w:sz w:val="28"/>
          <w:szCs w:val="28"/>
          <w:vertAlign w:val="superscript"/>
          <w:rtl/>
          <w:lang w:val="en-AE" w:bidi="ar-JO"/>
        </w:rPr>
        <w:t>)</w:t>
      </w:r>
      <w:r w:rsidRPr="00001A51">
        <w:rPr>
          <w:rFonts w:ascii="Arabic Transparent" w:hAnsi="Arabic Transparent" w:cs="Arabic Transparent"/>
          <w:sz w:val="28"/>
          <w:szCs w:val="28"/>
          <w:rtl/>
          <w:lang w:val="en-AE" w:bidi="ar-JO"/>
        </w:rPr>
        <w:t xml:space="preserve"> فالأعلى تأثيراً، هو الذي يعلق عليه الحكم عند اختبار مدى تعلق العلة المعينة بالحكم المراد تنزيله على محله. </w:t>
      </w:r>
    </w:p>
    <w:p w14:paraId="4E1A7E46" w14:textId="696B1A6B" w:rsidR="00FA49B9" w:rsidRPr="00001A51" w:rsidRDefault="00925CED" w:rsidP="00FA49B9">
      <w:pPr>
        <w:spacing w:after="0" w:line="360" w:lineRule="auto"/>
        <w:jc w:val="both"/>
        <w:rPr>
          <w:rFonts w:ascii="Arabic Transparent" w:hAnsi="Arabic Transparent" w:cs="Arabic Transparent"/>
          <w:sz w:val="28"/>
          <w:szCs w:val="28"/>
          <w:rtl/>
          <w:lang w:val="en-AE" w:bidi="ar-JO"/>
        </w:rPr>
      </w:pPr>
      <w:r w:rsidRPr="00001A51">
        <w:rPr>
          <w:rFonts w:ascii="Arabic Transparent" w:hAnsi="Arabic Transparent" w:cs="Arabic Transparent"/>
          <w:b/>
          <w:bCs/>
          <w:sz w:val="28"/>
          <w:szCs w:val="28"/>
          <w:rtl/>
          <w:lang w:val="en-AE" w:bidi="ar-JO"/>
        </w:rPr>
        <w:t>"في مقدار تحقُّق الوصف المؤثر في واقعة معيَّنة":</w:t>
      </w:r>
      <w:r w:rsidRPr="00001A51">
        <w:rPr>
          <w:rFonts w:ascii="Arabic Transparent" w:hAnsi="Arabic Transparent" w:cs="Arabic Transparent"/>
          <w:sz w:val="28"/>
          <w:szCs w:val="28"/>
          <w:rtl/>
          <w:lang w:val="en-AE" w:bidi="ar-JO"/>
        </w:rPr>
        <w:t xml:space="preserve"> أي تقدير درجة تحقق المناط في النازلة الجديدة، والاختلاف يقع في تحديد الوصف المؤثر المراد تنزيله على محله وإن كان الحكم العام متفقاً عليه في الوقائع الجزئية المتشابهة، كحرمة الغرر والجهالة</w:t>
      </w:r>
      <w:r w:rsidRPr="00001A51">
        <w:rPr>
          <w:rFonts w:ascii="Arabic Transparent" w:hAnsi="Arabic Transparent" w:cs="Arabic Transparent"/>
          <w:sz w:val="28"/>
          <w:szCs w:val="28"/>
          <w:vertAlign w:val="superscript"/>
          <w:rtl/>
          <w:lang w:val="en-AE" w:bidi="ar-JO"/>
        </w:rPr>
        <w:t>(</w:t>
      </w:r>
      <w:r w:rsidRPr="00001A51">
        <w:rPr>
          <w:rFonts w:ascii="Arabic Transparent" w:hAnsi="Arabic Transparent" w:cs="Arabic Transparent"/>
          <w:sz w:val="28"/>
          <w:szCs w:val="28"/>
          <w:vertAlign w:val="superscript"/>
          <w:rtl/>
          <w:lang w:val="en-AE" w:bidi="ar-JO"/>
        </w:rPr>
        <w:footnoteReference w:id="203"/>
      </w:r>
      <w:r w:rsidRPr="00001A51">
        <w:rPr>
          <w:rFonts w:ascii="Arabic Transparent" w:hAnsi="Arabic Transparent" w:cs="Arabic Transparent"/>
          <w:sz w:val="28"/>
          <w:szCs w:val="28"/>
          <w:vertAlign w:val="superscript"/>
          <w:rtl/>
          <w:lang w:val="en-AE" w:bidi="ar-JO"/>
        </w:rPr>
        <w:t>)</w:t>
      </w:r>
      <w:r w:rsidRPr="00001A51">
        <w:rPr>
          <w:rFonts w:ascii="Arabic Transparent" w:hAnsi="Arabic Transparent" w:cs="Arabic Transparent"/>
          <w:sz w:val="28"/>
          <w:szCs w:val="28"/>
          <w:rtl/>
          <w:lang w:val="en-AE" w:bidi="ar-JO"/>
        </w:rPr>
        <w:t xml:space="preserve">، فإن الحكم يختلف على الواقعة المعينة الخاصة وهي التي تتعلق بظروف متعددة تتفاوت زيادةً ونقصاناً، بيّنها الشاطبي، حيث قال: "هو ‌النظر ‌فيما ‌يصلح ‌بكل ‌مكلف في نفسه بحسب وقت دون وقت وحال دون حال وشخص دون شخص إذ النفوس ليست في قبول الأعمال الخاصة على وزان واحد كما أنها في العلوم والصنائع كذلك فرب عمل صالح يدخل بسببه على رجل ضرر أو فترة ولا يكون كذلك بالنسبة إلى آخر ورب عمل يكون حظ النفس والشيطان فيه بالنسبة إلى العامل أقوى منه في عمل </w:t>
      </w:r>
      <w:r w:rsidRPr="00001A51">
        <w:rPr>
          <w:rFonts w:ascii="Arabic Transparent" w:hAnsi="Arabic Transparent" w:cs="Arabic Transparent"/>
          <w:sz w:val="28"/>
          <w:szCs w:val="28"/>
          <w:rtl/>
          <w:lang w:val="en-AE" w:bidi="ar-JO"/>
        </w:rPr>
        <w:lastRenderedPageBreak/>
        <w:t>آخر ويكون بريئا في بعض الأعمال دون بعض"</w:t>
      </w:r>
      <w:r w:rsidRPr="00001A51">
        <w:rPr>
          <w:rFonts w:ascii="Arabic Transparent" w:hAnsi="Arabic Transparent" w:cs="Arabic Transparent"/>
          <w:sz w:val="28"/>
          <w:szCs w:val="28"/>
          <w:vertAlign w:val="superscript"/>
          <w:rtl/>
          <w:lang w:val="en-AE" w:bidi="ar-JO"/>
        </w:rPr>
        <w:t>(</w:t>
      </w:r>
      <w:r w:rsidRPr="00001A51">
        <w:rPr>
          <w:rFonts w:ascii="Arabic Transparent" w:hAnsi="Arabic Transparent" w:cs="Arabic Transparent"/>
          <w:sz w:val="28"/>
          <w:szCs w:val="28"/>
          <w:vertAlign w:val="superscript"/>
          <w:rtl/>
          <w:lang w:val="en-AE" w:bidi="ar-JO"/>
        </w:rPr>
        <w:footnoteReference w:id="204"/>
      </w:r>
      <w:r w:rsidRPr="00001A51">
        <w:rPr>
          <w:rFonts w:ascii="Arabic Transparent" w:hAnsi="Arabic Transparent" w:cs="Arabic Transparent"/>
          <w:sz w:val="28"/>
          <w:szCs w:val="28"/>
          <w:vertAlign w:val="superscript"/>
          <w:rtl/>
          <w:lang w:val="en-AE" w:bidi="ar-JO"/>
        </w:rPr>
        <w:t>)</w:t>
      </w:r>
      <w:r w:rsidRPr="00001A51">
        <w:rPr>
          <w:rFonts w:ascii="Arabic Transparent" w:hAnsi="Arabic Transparent" w:cs="Arabic Transparent"/>
          <w:sz w:val="28"/>
          <w:szCs w:val="28"/>
          <w:rtl/>
          <w:lang w:val="en-AE" w:bidi="ar-JO"/>
        </w:rPr>
        <w:t xml:space="preserve"> ومُثِّلَ على ذلك بعدم اختيار الرسول </w:t>
      </w:r>
      <w:r w:rsidRPr="00001A51">
        <w:rPr>
          <w:rFonts w:ascii="AGA Arabesque" w:hAnsi="AGA Arabesque" w:cs="AGA Arabesque"/>
          <w:sz w:val="28"/>
          <w:szCs w:val="28"/>
          <w:lang w:val="en-AE" w:bidi="ar-JO"/>
        </w:rPr>
        <w:t></w:t>
      </w:r>
      <w:r w:rsidRPr="00001A51">
        <w:rPr>
          <w:rFonts w:ascii="Arabic Transparent" w:hAnsi="Arabic Transparent" w:cs="Arabic Transparent"/>
          <w:sz w:val="28"/>
          <w:szCs w:val="28"/>
          <w:rtl/>
          <w:lang w:val="en-AE" w:bidi="ar-JO"/>
        </w:rPr>
        <w:t xml:space="preserve"> لأبي ذر </w:t>
      </w:r>
      <w:r w:rsidR="005224A0" w:rsidRPr="00001A51">
        <w:rPr>
          <w:rFonts w:ascii="AGA Arabesque" w:hAnsi="AGA Arabesque" w:cs="AGA Arabesque"/>
          <w:sz w:val="28"/>
          <w:szCs w:val="28"/>
          <w:lang w:val="en-AE" w:bidi="ar-JO"/>
        </w:rPr>
        <w:t></w:t>
      </w:r>
      <w:r w:rsidRPr="00001A51">
        <w:rPr>
          <w:rFonts w:ascii="Arabic Transparent" w:hAnsi="Arabic Transparent" w:cs="Arabic Transparent"/>
          <w:sz w:val="28"/>
          <w:szCs w:val="28"/>
          <w:rtl/>
          <w:lang w:val="en-AE" w:bidi="ar-JO"/>
        </w:rPr>
        <w:t xml:space="preserve"> للولاية العامة، </w:t>
      </w:r>
      <w:r w:rsidR="00FA49B9" w:rsidRPr="00001A51">
        <w:rPr>
          <w:rFonts w:ascii="Arabic Transparent" w:hAnsi="Arabic Transparent" w:cs="Arabic Transparent"/>
          <w:sz w:val="28"/>
          <w:szCs w:val="28"/>
          <w:rtl/>
          <w:lang w:val="en-AE" w:bidi="ar-JO"/>
        </w:rPr>
        <w:br w:type="page"/>
      </w:r>
    </w:p>
    <w:p w14:paraId="481F20F2" w14:textId="66330382" w:rsidR="00925CED" w:rsidRPr="00001A51" w:rsidRDefault="00925CED" w:rsidP="00D8093F">
      <w:pPr>
        <w:spacing w:after="0" w:line="360" w:lineRule="auto"/>
        <w:jc w:val="both"/>
        <w:rPr>
          <w:rFonts w:ascii="Arabic Transparent" w:hAnsi="Arabic Transparent" w:cs="Arabic Transparent"/>
          <w:b/>
          <w:bCs/>
          <w:sz w:val="28"/>
          <w:szCs w:val="28"/>
          <w:rtl/>
          <w:lang w:val="en-AE" w:bidi="ar-JO"/>
        </w:rPr>
      </w:pPr>
      <w:r w:rsidRPr="00001A51">
        <w:rPr>
          <w:rFonts w:ascii="Arabic Transparent" w:hAnsi="Arabic Transparent" w:cs="Arabic Transparent"/>
          <w:sz w:val="28"/>
          <w:szCs w:val="28"/>
          <w:rtl/>
          <w:lang w:val="en-AE" w:bidi="ar-JO"/>
        </w:rPr>
        <w:t>واختار غيره من الصحابة</w:t>
      </w:r>
      <w:r w:rsidRPr="00001A51">
        <w:rPr>
          <w:rFonts w:ascii="Arabic Transparent" w:hAnsi="Arabic Transparent" w:cs="Arabic Transparent"/>
          <w:sz w:val="28"/>
          <w:szCs w:val="28"/>
          <w:vertAlign w:val="superscript"/>
          <w:rtl/>
          <w:lang w:val="en-AE" w:bidi="ar-JO"/>
        </w:rPr>
        <w:t>(</w:t>
      </w:r>
      <w:r w:rsidRPr="00001A51">
        <w:rPr>
          <w:rFonts w:ascii="Arabic Transparent" w:hAnsi="Arabic Transparent" w:cs="Arabic Transparent"/>
          <w:sz w:val="28"/>
          <w:szCs w:val="28"/>
          <w:vertAlign w:val="superscript"/>
          <w:rtl/>
          <w:lang w:val="en-AE" w:bidi="ar-JO"/>
        </w:rPr>
        <w:footnoteReference w:id="205"/>
      </w:r>
      <w:r w:rsidRPr="00001A51">
        <w:rPr>
          <w:rFonts w:ascii="Arabic Transparent" w:hAnsi="Arabic Transparent" w:cs="Arabic Transparent"/>
          <w:sz w:val="28"/>
          <w:szCs w:val="28"/>
          <w:vertAlign w:val="superscript"/>
          <w:rtl/>
          <w:lang w:val="en-AE" w:bidi="ar-JO"/>
        </w:rPr>
        <w:t>)</w:t>
      </w:r>
      <w:r w:rsidRPr="00001A51">
        <w:rPr>
          <w:rFonts w:ascii="Arabic Transparent" w:hAnsi="Arabic Transparent" w:cs="Arabic Transparent"/>
          <w:sz w:val="28"/>
          <w:szCs w:val="28"/>
          <w:rtl/>
          <w:lang w:val="en-AE" w:bidi="ar-JO"/>
        </w:rPr>
        <w:t>، وعدَّه من أمثلة تحقيق المناط الخاص في الأشخاص المعيَّنين؛ لأن الصحابة رضي الله عنهم يتفاوتون في المهارات والمؤهلات والنبي</w:t>
      </w:r>
      <w:r w:rsidRPr="00001A51">
        <w:rPr>
          <w:rFonts w:ascii="AGA Arabesque" w:hAnsi="AGA Arabesque" w:cs="AGA Arabesque"/>
          <w:sz w:val="28"/>
          <w:szCs w:val="28"/>
          <w:lang w:val="en-AE" w:bidi="ar-JO"/>
        </w:rPr>
        <w:t></w:t>
      </w:r>
      <w:r w:rsidRPr="00001A51">
        <w:rPr>
          <w:rFonts w:ascii="Arabic Transparent" w:hAnsi="Arabic Transparent" w:cs="Arabic Transparent"/>
          <w:sz w:val="28"/>
          <w:szCs w:val="28"/>
          <w:lang w:val="en-AE" w:bidi="ar-JO"/>
        </w:rPr>
        <w:t xml:space="preserve"> </w:t>
      </w:r>
      <w:r w:rsidRPr="00001A51">
        <w:rPr>
          <w:rFonts w:ascii="Arabic Transparent" w:hAnsi="Arabic Transparent" w:cs="Arabic Transparent"/>
          <w:sz w:val="28"/>
          <w:szCs w:val="28"/>
          <w:rtl/>
          <w:lang w:val="en-AE" w:bidi="ar-JO"/>
        </w:rPr>
        <w:t xml:space="preserve"> يحقق المناط باختيار الأجدر والأكثر كفاءةً لإنجاز المهمة المطلوبة بإتقان.</w:t>
      </w:r>
    </w:p>
    <w:p w14:paraId="6D3FCBB0" w14:textId="1E256572" w:rsidR="00925CED" w:rsidRPr="00001A51" w:rsidRDefault="00925CED" w:rsidP="00D8093F">
      <w:pPr>
        <w:spacing w:after="0" w:line="360" w:lineRule="auto"/>
        <w:jc w:val="both"/>
        <w:rPr>
          <w:rFonts w:ascii="Arabic Transparent" w:hAnsi="Arabic Transparent" w:cs="Arabic Transparent"/>
          <w:sz w:val="28"/>
          <w:szCs w:val="28"/>
          <w:rtl/>
          <w:lang w:val="en-AE" w:bidi="ar-JO"/>
        </w:rPr>
      </w:pPr>
      <w:r w:rsidRPr="00001A51">
        <w:rPr>
          <w:rFonts w:ascii="Arabic Transparent" w:hAnsi="Arabic Transparent" w:cs="Arabic Transparent"/>
          <w:b/>
          <w:bCs/>
          <w:sz w:val="28"/>
          <w:szCs w:val="28"/>
          <w:rtl/>
          <w:lang w:val="en-AE" w:bidi="ar-JO"/>
        </w:rPr>
        <w:t>"مما يفضي إلى تباين الحكم عند التنزيل مع اتحاد الدليل الكلي"</w:t>
      </w:r>
      <w:r w:rsidRPr="00001A51">
        <w:rPr>
          <w:rFonts w:ascii="Arabic Transparent" w:hAnsi="Arabic Transparent" w:cs="Arabic Transparent"/>
          <w:sz w:val="28"/>
          <w:szCs w:val="28"/>
          <w:rtl/>
          <w:lang w:val="en-AE" w:bidi="ar-JO"/>
        </w:rPr>
        <w:t xml:space="preserve">: والذي يعبّر عنه بعض العلماء المعاصرين </w:t>
      </w:r>
      <w:r w:rsidR="00FA49B9" w:rsidRPr="00001A51">
        <w:rPr>
          <w:rFonts w:ascii="Arabic Transparent" w:hAnsi="Arabic Transparent" w:cs="Arabic Transparent" w:hint="cs"/>
          <w:sz w:val="28"/>
          <w:szCs w:val="28"/>
          <w:rtl/>
          <w:lang w:val="en-AE" w:bidi="ar-JO"/>
        </w:rPr>
        <w:t>"</w:t>
      </w:r>
      <w:r w:rsidRPr="00001A51">
        <w:rPr>
          <w:rFonts w:ascii="Arabic Transparent" w:hAnsi="Arabic Transparent" w:cs="Arabic Transparent"/>
          <w:sz w:val="28"/>
          <w:szCs w:val="28"/>
          <w:rtl/>
          <w:lang w:val="en-AE" w:bidi="ar-JO"/>
        </w:rPr>
        <w:t>الاختلاف بالتنزيل رغم الاتفاق بالحكم</w:t>
      </w:r>
      <w:r w:rsidR="00FA49B9" w:rsidRPr="00001A51">
        <w:rPr>
          <w:rFonts w:ascii="Arabic Transparent" w:hAnsi="Arabic Transparent" w:cs="Arabic Transparent" w:hint="cs"/>
          <w:sz w:val="28"/>
          <w:szCs w:val="28"/>
          <w:rtl/>
          <w:lang w:val="en-AE" w:bidi="ar-JO"/>
        </w:rPr>
        <w:t>"</w:t>
      </w:r>
      <w:r w:rsidRPr="00001A51">
        <w:rPr>
          <w:rFonts w:ascii="Arabic Transparent" w:hAnsi="Arabic Transparent" w:cs="Arabic Transparent"/>
          <w:sz w:val="28"/>
          <w:szCs w:val="28"/>
          <w:vertAlign w:val="superscript"/>
          <w:rtl/>
          <w:lang w:val="en-AE" w:bidi="ar-JO"/>
        </w:rPr>
        <w:t>(</w:t>
      </w:r>
      <w:r w:rsidRPr="00001A51">
        <w:rPr>
          <w:rFonts w:ascii="Arabic Transparent" w:hAnsi="Arabic Transparent" w:cs="Arabic Transparent"/>
          <w:sz w:val="28"/>
          <w:szCs w:val="28"/>
          <w:vertAlign w:val="superscript"/>
          <w:rtl/>
          <w:lang w:val="en-AE" w:bidi="ar-JO"/>
        </w:rPr>
        <w:footnoteReference w:id="206"/>
      </w:r>
      <w:r w:rsidRPr="00001A51">
        <w:rPr>
          <w:rFonts w:ascii="Arabic Transparent" w:hAnsi="Arabic Transparent" w:cs="Arabic Transparent"/>
          <w:sz w:val="28"/>
          <w:szCs w:val="28"/>
          <w:vertAlign w:val="superscript"/>
          <w:rtl/>
          <w:lang w:val="en-AE" w:bidi="ar-JO"/>
        </w:rPr>
        <w:t>)</w:t>
      </w:r>
      <w:r w:rsidRPr="00001A51">
        <w:rPr>
          <w:rFonts w:ascii="Arabic Transparent" w:hAnsi="Arabic Transparent" w:cs="Arabic Transparent"/>
          <w:sz w:val="28"/>
          <w:szCs w:val="28"/>
          <w:rtl/>
          <w:lang w:val="en-AE" w:bidi="ar-JO"/>
        </w:rPr>
        <w:t xml:space="preserve">، فالحكم متفق عليه عند تحقيق المناط العام وهو التحريم، بيد أن المناط الخاص يستحيل أن يكون مناطاً عاماً عند النظر في خصوص الوقائع الجزئية كعموم البلوى؛ وأسباب التخفيف الأخرى المستعملة في العبادات والمعاملات، لأن؛ </w:t>
      </w:r>
      <w:r w:rsidR="0053157B" w:rsidRPr="00001A51">
        <w:rPr>
          <w:rFonts w:ascii="Arabic Transparent" w:hAnsi="Arabic Transparent" w:cs="Arabic Transparent"/>
          <w:sz w:val="28"/>
          <w:szCs w:val="28"/>
          <w:rtl/>
          <w:lang w:val="en-AE" w:bidi="ar-JO"/>
        </w:rPr>
        <w:t>"</w:t>
      </w:r>
      <w:r w:rsidRPr="00001A51">
        <w:rPr>
          <w:rFonts w:ascii="Arabic Transparent" w:hAnsi="Arabic Transparent" w:cs="Arabic Transparent"/>
          <w:sz w:val="28"/>
          <w:szCs w:val="28"/>
          <w:rtl/>
          <w:lang w:val="en-AE" w:bidi="ar-JO"/>
        </w:rPr>
        <w:t>بها خصوصيات مرتبطة بآحاد المكلفين، وما تَلبَثُ حتى تنتشر وتبسط سلطانها على الأغلب من المكلفين</w:t>
      </w:r>
      <w:r w:rsidR="0053157B" w:rsidRPr="00001A51">
        <w:rPr>
          <w:rFonts w:ascii="Arabic Transparent" w:hAnsi="Arabic Transparent" w:cs="Arabic Transparent" w:hint="cs"/>
          <w:sz w:val="28"/>
          <w:szCs w:val="28"/>
          <w:rtl/>
          <w:lang w:val="en-AE" w:bidi="ar-JO"/>
        </w:rPr>
        <w:t>"</w:t>
      </w:r>
      <w:r w:rsidRPr="00001A51">
        <w:rPr>
          <w:rFonts w:ascii="Arabic Transparent" w:hAnsi="Arabic Transparent" w:cs="Arabic Transparent"/>
          <w:sz w:val="28"/>
          <w:szCs w:val="28"/>
          <w:vertAlign w:val="superscript"/>
          <w:rtl/>
          <w:lang w:val="en-AE" w:bidi="ar-JO"/>
        </w:rPr>
        <w:t>(</w:t>
      </w:r>
      <w:r w:rsidRPr="00001A51">
        <w:rPr>
          <w:rFonts w:ascii="Arabic Transparent" w:hAnsi="Arabic Transparent" w:cs="Arabic Transparent"/>
          <w:sz w:val="28"/>
          <w:szCs w:val="28"/>
          <w:vertAlign w:val="superscript"/>
          <w:rtl/>
          <w:lang w:val="en-AE" w:bidi="ar-JO"/>
        </w:rPr>
        <w:footnoteReference w:id="207"/>
      </w:r>
      <w:r w:rsidRPr="00001A51">
        <w:rPr>
          <w:rFonts w:ascii="Arabic Transparent" w:hAnsi="Arabic Transparent" w:cs="Arabic Transparent"/>
          <w:sz w:val="28"/>
          <w:szCs w:val="28"/>
          <w:vertAlign w:val="superscript"/>
          <w:rtl/>
          <w:lang w:val="en-AE" w:bidi="ar-JO"/>
        </w:rPr>
        <w:t>)</w:t>
      </w:r>
      <w:r w:rsidRPr="00001A51">
        <w:rPr>
          <w:rFonts w:ascii="Arabic Transparent" w:hAnsi="Arabic Transparent" w:cs="Arabic Transparent"/>
          <w:sz w:val="28"/>
          <w:szCs w:val="28"/>
          <w:rtl/>
          <w:lang w:val="en-AE" w:bidi="ar-JO"/>
        </w:rPr>
        <w:t>، فيُعفى عن اليسير من الغرر والجهالة في بعض الوقائع، حيث قال: "واغتفر غرر يسير للحاجة لم يقصد"</w:t>
      </w:r>
      <w:r w:rsidRPr="00001A51">
        <w:rPr>
          <w:rFonts w:ascii="Arabic Transparent" w:hAnsi="Arabic Transparent" w:cs="Arabic Transparent"/>
          <w:sz w:val="28"/>
          <w:szCs w:val="28"/>
          <w:vertAlign w:val="superscript"/>
          <w:rtl/>
          <w:lang w:val="en-AE" w:bidi="ar-JO"/>
        </w:rPr>
        <w:t>(</w:t>
      </w:r>
      <w:r w:rsidRPr="00001A51">
        <w:rPr>
          <w:rFonts w:ascii="Arabic Transparent" w:hAnsi="Arabic Transparent" w:cs="Arabic Transparent"/>
          <w:sz w:val="28"/>
          <w:szCs w:val="28"/>
          <w:vertAlign w:val="superscript"/>
          <w:rtl/>
          <w:lang w:val="en-AE" w:bidi="ar-JO"/>
        </w:rPr>
        <w:footnoteReference w:id="208"/>
      </w:r>
      <w:r w:rsidRPr="00001A51">
        <w:rPr>
          <w:rFonts w:ascii="Arabic Transparent" w:hAnsi="Arabic Transparent" w:cs="Arabic Transparent"/>
          <w:sz w:val="28"/>
          <w:szCs w:val="28"/>
          <w:vertAlign w:val="superscript"/>
          <w:rtl/>
          <w:lang w:val="en-AE" w:bidi="ar-JO"/>
        </w:rPr>
        <w:t>)</w:t>
      </w:r>
      <w:r w:rsidRPr="00001A51">
        <w:rPr>
          <w:rFonts w:ascii="Arabic Transparent" w:hAnsi="Arabic Transparent" w:cs="Arabic Transparent"/>
          <w:sz w:val="28"/>
          <w:szCs w:val="28"/>
          <w:rtl/>
          <w:lang w:val="en-AE" w:bidi="ar-JO"/>
        </w:rPr>
        <w:t xml:space="preserve"> ويُعفى عن التفاوت في بعض الأوصاف غير المؤثرة في بعض المعاملات التي سوف نتحدث عنها فيما يأتي.</w:t>
      </w:r>
    </w:p>
    <w:bookmarkEnd w:id="13"/>
    <w:p w14:paraId="43760EBB" w14:textId="77777777" w:rsidR="00925CED" w:rsidRPr="00001A51" w:rsidRDefault="00925CED" w:rsidP="00925CED">
      <w:pPr>
        <w:spacing w:after="0" w:line="360" w:lineRule="auto"/>
        <w:jc w:val="both"/>
        <w:rPr>
          <w:rFonts w:ascii="Arabic Transparent" w:hAnsi="Arabic Transparent" w:cs="Arabic Transparent"/>
          <w:b/>
          <w:bCs/>
          <w:sz w:val="32"/>
          <w:szCs w:val="32"/>
          <w:rtl/>
          <w:lang w:bidi="ar-JO"/>
        </w:rPr>
      </w:pPr>
      <w:r w:rsidRPr="00001A51">
        <w:rPr>
          <w:rFonts w:ascii="Arabic Transparent" w:hAnsi="Arabic Transparent" w:cs="Arabic Transparent"/>
          <w:b/>
          <w:bCs/>
          <w:sz w:val="32"/>
          <w:szCs w:val="32"/>
          <w:rtl/>
          <w:lang w:bidi="ar-JO"/>
        </w:rPr>
        <w:t>المطلب الثالث: الألفاظ ذات الصلة.</w:t>
      </w:r>
    </w:p>
    <w:p w14:paraId="231FF613" w14:textId="6C80BADF" w:rsidR="00925CED" w:rsidRPr="00001A51" w:rsidRDefault="005D7B91" w:rsidP="00925CE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925CED" w:rsidRPr="00001A51">
        <w:rPr>
          <w:rFonts w:ascii="Arabic Transparent" w:hAnsi="Arabic Transparent" w:cs="Arabic Transparent"/>
          <w:sz w:val="28"/>
          <w:szCs w:val="28"/>
          <w:rtl/>
          <w:lang w:bidi="ar-JO"/>
        </w:rPr>
        <w:t>تعددت الألفاظ ذات الصلة بمصطلح التفاوت فكان لابد من بيان وجه الاتفاق والاختلاف بين مصطلح التفاوت والمصطلحات ذات الصلة، مثل: الاختلاف، والفروق، والتضاد.</w:t>
      </w:r>
    </w:p>
    <w:p w14:paraId="78335AE5" w14:textId="77777777" w:rsidR="00925CED" w:rsidRPr="00001A51" w:rsidRDefault="00925CED" w:rsidP="00925CED">
      <w:pPr>
        <w:spacing w:after="0" w:line="360" w:lineRule="auto"/>
        <w:jc w:val="both"/>
        <w:rPr>
          <w:rFonts w:ascii="Arabic Transparent" w:hAnsi="Arabic Transparent" w:cs="Arabic Transparent"/>
          <w:sz w:val="32"/>
          <w:szCs w:val="32"/>
          <w:rtl/>
          <w:lang w:bidi="ar-JO"/>
        </w:rPr>
      </w:pPr>
      <w:r w:rsidRPr="00001A51">
        <w:rPr>
          <w:rFonts w:ascii="Arabic Transparent" w:hAnsi="Arabic Transparent" w:cs="Arabic Transparent"/>
          <w:b/>
          <w:bCs/>
          <w:sz w:val="32"/>
          <w:szCs w:val="32"/>
          <w:rtl/>
          <w:lang w:bidi="ar-JO"/>
        </w:rPr>
        <w:t>الفرع الأول: الاختلاف</w:t>
      </w:r>
      <w:r w:rsidRPr="00001A51">
        <w:rPr>
          <w:rFonts w:ascii="Arabic Transparent" w:hAnsi="Arabic Transparent" w:cs="Arabic Transparent"/>
          <w:sz w:val="32"/>
          <w:szCs w:val="32"/>
          <w:rtl/>
          <w:lang w:bidi="ar-JO"/>
        </w:rPr>
        <w:t>.</w:t>
      </w:r>
    </w:p>
    <w:p w14:paraId="56C77E28" w14:textId="77777777" w:rsidR="0053157B" w:rsidRPr="00001A51" w:rsidRDefault="005D7B91" w:rsidP="00925CE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hint="cs"/>
          <w:sz w:val="28"/>
          <w:szCs w:val="28"/>
          <w:rtl/>
          <w:lang w:bidi="ar-JO"/>
        </w:rPr>
        <w:t xml:space="preserve">    </w:t>
      </w:r>
      <w:r w:rsidR="00925CED" w:rsidRPr="00001A51">
        <w:rPr>
          <w:rFonts w:ascii="Arabic Transparent" w:hAnsi="Arabic Transparent" w:cs="Arabic Transparent"/>
          <w:sz w:val="28"/>
          <w:szCs w:val="28"/>
          <w:rtl/>
          <w:lang w:bidi="ar-JO"/>
        </w:rPr>
        <w:t>عرّفه الكفوي، فقال هو: "أن يكون الطريق مختلفًا، والمقصود واحدًا"</w:t>
      </w:r>
      <w:r w:rsidR="00925CED" w:rsidRPr="00001A51">
        <w:rPr>
          <w:rFonts w:ascii="Arabic Transparent" w:hAnsi="Arabic Transparent" w:cs="Arabic Transparent"/>
          <w:sz w:val="28"/>
          <w:szCs w:val="28"/>
          <w:vertAlign w:val="superscript"/>
          <w:rtl/>
          <w:lang w:bidi="ar-JO"/>
        </w:rPr>
        <w:t>(</w:t>
      </w:r>
      <w:r w:rsidR="00925CED" w:rsidRPr="00001A51">
        <w:rPr>
          <w:rFonts w:ascii="Arabic Transparent" w:hAnsi="Arabic Transparent" w:cs="Arabic Transparent"/>
          <w:sz w:val="28"/>
          <w:szCs w:val="28"/>
          <w:vertAlign w:val="superscript"/>
          <w:rtl/>
          <w:lang w:bidi="ar-JO"/>
        </w:rPr>
        <w:footnoteReference w:id="209"/>
      </w:r>
      <w:r w:rsidR="00925CED" w:rsidRPr="00001A51">
        <w:rPr>
          <w:rFonts w:ascii="Arabic Transparent" w:hAnsi="Arabic Transparent" w:cs="Arabic Transparent"/>
          <w:sz w:val="28"/>
          <w:szCs w:val="28"/>
          <w:vertAlign w:val="superscript"/>
          <w:rtl/>
          <w:lang w:bidi="ar-JO"/>
        </w:rPr>
        <w:t>)</w:t>
      </w:r>
      <w:r w:rsidR="0053157B" w:rsidRPr="00001A51">
        <w:rPr>
          <w:rFonts w:ascii="Arabic Transparent" w:hAnsi="Arabic Transparent" w:cs="Arabic Transparent" w:hint="cs"/>
          <w:sz w:val="28"/>
          <w:szCs w:val="28"/>
          <w:rtl/>
          <w:lang w:bidi="ar-JO"/>
        </w:rPr>
        <w:t>.</w:t>
      </w:r>
    </w:p>
    <w:p w14:paraId="29947538" w14:textId="77777777" w:rsidR="0053157B" w:rsidRPr="00001A51" w:rsidRDefault="0053157B">
      <w:pPr>
        <w:bidi w:val="0"/>
        <w:spacing w:after="0" w:line="240" w:lineRule="auto"/>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br w:type="page"/>
      </w:r>
    </w:p>
    <w:p w14:paraId="6F91FCD2" w14:textId="4467AB02" w:rsidR="00925CED" w:rsidRPr="00001A51" w:rsidRDefault="00925CED" w:rsidP="0053157B">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211C19" w:rsidRPr="00001A51">
        <w:rPr>
          <w:rFonts w:ascii="Arabic Transparent" w:hAnsi="Arabic Transparent" w:cs="Arabic Transparent" w:hint="cs"/>
          <w:sz w:val="28"/>
          <w:szCs w:val="28"/>
          <w:rtl/>
          <w:lang w:bidi="ar-JO"/>
        </w:rPr>
        <w:t xml:space="preserve">    </w:t>
      </w:r>
      <w:r w:rsidRPr="00001A51">
        <w:rPr>
          <w:rFonts w:ascii="Arabic Transparent" w:hAnsi="Arabic Transparent" w:cs="Arabic Transparent"/>
          <w:sz w:val="28"/>
          <w:szCs w:val="28"/>
          <w:rtl/>
          <w:lang w:bidi="ar-JO"/>
        </w:rPr>
        <w:t>وعرَّفه المناوي، فقال: "هو ما يقع من افتراق بعد اجتماع في أمر من الأمور"</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210"/>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xml:space="preserve"> والمعنى واحد بينهما، فكلا التعريفين يشير إلى فعل المجتهدين الذي يكون فيه قصد الوصول إلى الراجح بناءً على الحجة والبرهان والدليل؛ لأن الاختلاف</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211"/>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xml:space="preserve"> قد يكون اختلاف تنوّع</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212"/>
      </w:r>
      <w:r w:rsidRPr="00001A51">
        <w:rPr>
          <w:rFonts w:ascii="Arabic Transparent" w:hAnsi="Arabic Transparent" w:cs="Arabic Transparent"/>
          <w:sz w:val="28"/>
          <w:szCs w:val="28"/>
          <w:vertAlign w:val="superscript"/>
          <w:rtl/>
          <w:lang w:bidi="ar-JO"/>
        </w:rPr>
        <w:t>)</w:t>
      </w:r>
      <w:r w:rsidR="00017DFE" w:rsidRPr="00001A51">
        <w:rPr>
          <w:rFonts w:ascii="Arabic Transparent" w:hAnsi="Arabic Transparent" w:cs="Arabic Transparent" w:hint="cs"/>
          <w:sz w:val="28"/>
          <w:szCs w:val="28"/>
          <w:rtl/>
          <w:lang w:bidi="ar-JO"/>
        </w:rPr>
        <w:t>،</w:t>
      </w:r>
      <w:r w:rsidRPr="00001A51">
        <w:rPr>
          <w:rFonts w:ascii="Arabic Transparent" w:hAnsi="Arabic Transparent" w:cs="Arabic Transparent"/>
          <w:sz w:val="28"/>
          <w:szCs w:val="28"/>
          <w:rtl/>
          <w:lang w:bidi="ar-JO"/>
        </w:rPr>
        <w:t xml:space="preserve"> يُتَساوى فيه العمل بين الفروع الفقهية في المحصلة، أو اختلاف تضاد</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213"/>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تتنافر فيه الأقوال، ولا تتفاضل، وأما التَّفاوت كما عرفنا سابقاً: تباينٌ في الأوصاف بين أفراد الجنس الواحد، مما يجعل بعض الأوصاف مؤثرة في الحكم دون البعض الآخر، بالنسبة للواقعة، وفي حق المجتهدين فإن التفاوت يكون بمعنى اختلاف النظر الاجتهادي في مقدار تحقُّق الوصف المؤثر بالرغم من اتحاد الدليل الكلي.</w:t>
      </w:r>
    </w:p>
    <w:p w14:paraId="4E9CF0EF" w14:textId="1700E110" w:rsidR="00925CED" w:rsidRPr="00001A51" w:rsidRDefault="00925CED" w:rsidP="00925CED">
      <w:pPr>
        <w:spacing w:after="0" w:line="360" w:lineRule="auto"/>
        <w:ind w:firstLine="332"/>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حيث يمكن القول بأنَّ وجه الاتفاق بين مصطلح الاختلاف ومصطلح التفاوت، يكمن في أنَّ تفاوت الأوصاف في التأثير سبب من أسباب اختلاف الفقهاء في الاجتهاد، فيمكن أن يكون التفاوت مقدمة من مقدمات الاختلاف في الاجتهاد، والاختلاف نتيجة طبيعية بالنسبة للتفاوت، والتفاوت في حقيقته اختلاف من جهة التباين، ومن جهة أخرى يستقل التفاوت بدرجات ذلك التباين مع ذلك فإن هناك شيء من التداخل بين هذه المفاهيم من جهة العموم والخصوص الوجهي بين الاختلاف والتَّفاوت، بيد أن مصطلح التَّفاوت هو الأنسب؛ لأنه صريح في الإشارة إلى مضامين هذه الدارسة، وهي دور درجات التباين في تحقيق المناط الخاص، من ناحية مناسبة وصف دون وصف آخر </w:t>
      </w:r>
    </w:p>
    <w:p w14:paraId="75D3E959" w14:textId="136BAE4A" w:rsidR="0053157B" w:rsidRPr="00001A51" w:rsidRDefault="00925CED" w:rsidP="00925CED">
      <w:pPr>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عند اجتماعه مع تحقيق المناط الخاص، وهذه المناسبة على سبيل المفاضلة </w:t>
      </w:r>
      <w:r w:rsidR="00B154EE" w:rsidRPr="00001A51">
        <w:rPr>
          <w:rFonts w:ascii="Arabic Transparent" w:hAnsi="Arabic Transparent" w:cs="Arabic Transparent" w:hint="cs"/>
          <w:sz w:val="28"/>
          <w:szCs w:val="28"/>
          <w:rtl/>
          <w:lang w:bidi="ar-JO"/>
        </w:rPr>
        <w:t>بدرجات التأثير</w:t>
      </w:r>
      <w:r w:rsidRPr="00001A51">
        <w:rPr>
          <w:rFonts w:ascii="Arabic Transparent" w:hAnsi="Arabic Transparent" w:cs="Arabic Transparent"/>
          <w:sz w:val="28"/>
          <w:szCs w:val="28"/>
          <w:rtl/>
          <w:lang w:bidi="ar-JO"/>
        </w:rPr>
        <w:t>، وليس المعارضة.</w:t>
      </w:r>
    </w:p>
    <w:p w14:paraId="250A14D1" w14:textId="77777777" w:rsidR="0053157B" w:rsidRPr="00001A51" w:rsidRDefault="0053157B">
      <w:pPr>
        <w:bidi w:val="0"/>
        <w:spacing w:after="0" w:line="240" w:lineRule="auto"/>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br w:type="page"/>
      </w:r>
    </w:p>
    <w:p w14:paraId="5DABE415" w14:textId="5B9466CA" w:rsidR="00925CED" w:rsidRPr="00001A51" w:rsidRDefault="005D7B91" w:rsidP="00925CE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925CED" w:rsidRPr="00001A51">
        <w:rPr>
          <w:rFonts w:ascii="Arabic Transparent" w:hAnsi="Arabic Transparent" w:cs="Arabic Transparent"/>
          <w:sz w:val="28"/>
          <w:szCs w:val="28"/>
          <w:rtl/>
          <w:lang w:bidi="ar-JO"/>
        </w:rPr>
        <w:t xml:space="preserve"> أما وجه الاختلاف بين مصطلح الاختلاف ومصطلح التفاوت فهو من كل وجه يقع غالباً للمسوغات الآتية:</w:t>
      </w:r>
    </w:p>
    <w:p w14:paraId="5EB67867" w14:textId="0CD4D6FA" w:rsidR="00925CED" w:rsidRPr="00001A51" w:rsidRDefault="00925CED" w:rsidP="00211C19">
      <w:pPr>
        <w:spacing w:after="0" w:line="360" w:lineRule="auto"/>
        <w:jc w:val="both"/>
        <w:rPr>
          <w:rFonts w:ascii="Arabic Transparent" w:hAnsi="Arabic Transparent" w:cs="Arabic Transparent"/>
          <w:sz w:val="28"/>
          <w:szCs w:val="28"/>
          <w:rtl/>
        </w:rPr>
      </w:pPr>
      <w:r w:rsidRPr="00001A51">
        <w:rPr>
          <w:rFonts w:ascii="Arabic Transparent" w:hAnsi="Arabic Transparent" w:cs="Arabic Transparent"/>
          <w:b/>
          <w:bCs/>
          <w:sz w:val="28"/>
          <w:szCs w:val="28"/>
          <w:rtl/>
          <w:lang w:bidi="ar-JO"/>
        </w:rPr>
        <w:t>أولاً:</w:t>
      </w:r>
      <w:r w:rsidRPr="00001A51">
        <w:rPr>
          <w:rFonts w:ascii="Arabic Transparent" w:hAnsi="Arabic Transparent" w:cs="Arabic Transparent"/>
          <w:sz w:val="28"/>
          <w:szCs w:val="28"/>
          <w:rtl/>
          <w:lang w:bidi="ar-JO"/>
        </w:rPr>
        <w:t xml:space="preserve"> جاء معنى الاختلاف والتفاوت في القرآن الكريم، وكانت دلالة المصطلح في كل آية مختلفة عن الآية الأخرى، كما في قوله تعالى: </w:t>
      </w:r>
      <w:r w:rsidRPr="00001A51">
        <w:rPr>
          <w:rFonts w:ascii="KFGQPC HAFS Uthmanic Script" w:hAnsi="Times New Roman" w:cs="KFGQPC HAFS Uthmanic Script"/>
          <w:color w:val="000000"/>
          <w:sz w:val="28"/>
          <w:szCs w:val="28"/>
          <w:rtl/>
        </w:rPr>
        <w:t>ﵟ إِنَّ فِي خَلۡقِ ٱلسَّمَٰوَٰتِ وَٱلۡأَرۡضِ وَٱخۡتِلَٰفِ ٱلَّيۡلِ وَٱلنَّهَارِ</w:t>
      </w:r>
      <w:r w:rsidRPr="00001A51">
        <w:rPr>
          <w:rFonts w:ascii="KFGQPC HAFS Uthmanic Script" w:hAnsi="Times New Roman" w:cs="Cambria"/>
          <w:color w:val="000000"/>
          <w:sz w:val="28"/>
          <w:szCs w:val="28"/>
          <w:rtl/>
        </w:rPr>
        <w:t>...</w:t>
      </w:r>
      <w:r w:rsidRPr="00001A51">
        <w:rPr>
          <w:rFonts w:ascii="KFGQPC HAFS Uthmanic Script" w:hAnsi="Times New Roman" w:cs="KFGQPC HAFS Uthmanic Script"/>
          <w:color w:val="000000"/>
          <w:sz w:val="28"/>
          <w:szCs w:val="28"/>
          <w:rtl/>
        </w:rPr>
        <w:t>١٩٠ﵞ ﵝآل عِمۡرَان</w:t>
      </w:r>
      <w:r w:rsidR="005D7B91" w:rsidRPr="00001A51">
        <w:rPr>
          <w:rFonts w:ascii="KFGQPC HAFS Uthmanic Script" w:hAnsi="Times New Roman" w:cs="KFGQPC HAFS Uthmanic Script"/>
          <w:color w:val="000000"/>
          <w:sz w:val="28"/>
          <w:szCs w:val="28"/>
          <w:rtl/>
        </w:rPr>
        <w:t xml:space="preserve">: </w:t>
      </w:r>
      <w:r w:rsidRPr="00001A51">
        <w:rPr>
          <w:rFonts w:ascii="KFGQPC HAFS Uthmanic Script" w:hAnsi="Times New Roman" w:cs="KFGQPC HAFS Uthmanic Script"/>
          <w:color w:val="000000"/>
          <w:sz w:val="28"/>
          <w:szCs w:val="28"/>
          <w:rtl/>
        </w:rPr>
        <w:t>ﵐﵙﵑﵜ</w:t>
      </w:r>
      <w:r w:rsidRPr="00001A51">
        <w:rPr>
          <w:rFonts w:ascii="Arabic Transparent" w:hAnsi="Arabic Transparent" w:cs="Arabic Transparent"/>
          <w:sz w:val="28"/>
          <w:szCs w:val="28"/>
          <w:rtl/>
        </w:rPr>
        <w:t xml:space="preserve">، </w:t>
      </w:r>
      <w:r w:rsidRPr="00001A51">
        <w:rPr>
          <w:rFonts w:ascii="Arabic Transparent" w:hAnsi="Arabic Transparent" w:cs="Arabic Transparent"/>
          <w:b/>
          <w:bCs/>
          <w:sz w:val="28"/>
          <w:szCs w:val="28"/>
          <w:rtl/>
        </w:rPr>
        <w:t>وجه الدلالة:</w:t>
      </w:r>
      <w:r w:rsidRPr="00001A51">
        <w:rPr>
          <w:rFonts w:ascii="Arabic Transparent" w:hAnsi="Arabic Transparent" w:cs="Arabic Transparent"/>
          <w:sz w:val="28"/>
          <w:szCs w:val="28"/>
          <w:rtl/>
        </w:rPr>
        <w:t xml:space="preserve"> في معنى الاختلاف هو التباين الكلي في الجنس، وهما الليل،</w:t>
      </w:r>
      <w:r w:rsidR="00211C19" w:rsidRPr="00001A51">
        <w:rPr>
          <w:rFonts w:ascii="Arabic Transparent" w:hAnsi="Arabic Transparent" w:cs="Arabic Transparent" w:hint="cs"/>
          <w:sz w:val="28"/>
          <w:szCs w:val="28"/>
          <w:rtl/>
        </w:rPr>
        <w:t xml:space="preserve"> </w:t>
      </w:r>
      <w:r w:rsidRPr="00001A51">
        <w:rPr>
          <w:rFonts w:ascii="Arabic Transparent" w:hAnsi="Arabic Transparent" w:cs="Arabic Transparent"/>
          <w:sz w:val="28"/>
          <w:szCs w:val="28"/>
          <w:rtl/>
        </w:rPr>
        <w:t>والنهار، حيث يقول الشوكاني: "واختلاف الليل والنهار أي: تعاقبهما، وكون كل واحد منهما يَخلفُ الآخر</w:t>
      </w:r>
      <w:r w:rsidR="005241F3" w:rsidRPr="00001A51">
        <w:rPr>
          <w:rFonts w:ascii="Arabic Transparent" w:hAnsi="Arabic Transparent" w:cs="Arabic Transparent" w:hint="cs"/>
          <w:sz w:val="28"/>
          <w:szCs w:val="28"/>
          <w:rtl/>
        </w:rPr>
        <w:t>"</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214"/>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rPr>
        <w:t xml:space="preserve">، وأما عند ذكر التفاوت فإنَّ المعنى متغاير، كما في قوله تعالى: </w:t>
      </w:r>
      <w:r w:rsidRPr="00001A51">
        <w:rPr>
          <w:rFonts w:ascii="KFGQPC HAFS Uthmanic Script" w:hAnsi="Times New Roman" w:cs="KFGQPC HAFS Uthmanic Script"/>
          <w:color w:val="000000"/>
          <w:sz w:val="28"/>
          <w:szCs w:val="28"/>
          <w:rtl/>
        </w:rPr>
        <w:t>ﵟ ٱلَّذِي خَلَقَ سَبۡعَ سَمَٰوَٰتٖ طِبَاقٗاۖ مَّا تَرَىٰ فِي خَلۡقِ ٱلرَّحۡمَٰنِ مِن تَفَٰوُتٖۖ</w:t>
      </w:r>
      <w:r w:rsidRPr="00001A51">
        <w:rPr>
          <w:rFonts w:ascii="KFGQPC HAFS Uthmanic Script" w:hAnsi="Times New Roman" w:cs="Cambria"/>
          <w:color w:val="000000"/>
          <w:sz w:val="28"/>
          <w:szCs w:val="28"/>
          <w:rtl/>
        </w:rPr>
        <w:t>...</w:t>
      </w:r>
      <w:r w:rsidRPr="00001A51">
        <w:rPr>
          <w:rFonts w:ascii="KFGQPC HAFS Uthmanic Script" w:hAnsi="Times New Roman" w:cs="KFGQPC HAFS Uthmanic Script"/>
          <w:color w:val="000000"/>
          <w:sz w:val="28"/>
          <w:szCs w:val="28"/>
          <w:rtl/>
        </w:rPr>
        <w:t>٣ﵞ ﵝالمُلۡك</w:t>
      </w:r>
      <w:r w:rsidR="005D7B91" w:rsidRPr="00001A51">
        <w:rPr>
          <w:rFonts w:ascii="KFGQPC HAFS Uthmanic Script" w:hAnsi="Times New Roman" w:cs="KFGQPC HAFS Uthmanic Script"/>
          <w:color w:val="000000"/>
          <w:sz w:val="28"/>
          <w:szCs w:val="28"/>
          <w:rtl/>
        </w:rPr>
        <w:t xml:space="preserve">: </w:t>
      </w:r>
      <w:r w:rsidRPr="00001A51">
        <w:rPr>
          <w:rFonts w:ascii="KFGQPC HAFS Uthmanic Script" w:hAnsi="Times New Roman" w:cs="KFGQPC HAFS Uthmanic Script"/>
          <w:color w:val="000000"/>
          <w:sz w:val="28"/>
          <w:szCs w:val="28"/>
          <w:rtl/>
        </w:rPr>
        <w:t>ﵓﵜ</w:t>
      </w:r>
      <w:r w:rsidRPr="00001A51">
        <w:rPr>
          <w:rFonts w:ascii="Arabic Transparent" w:hAnsi="Arabic Transparent" w:cs="Arabic Transparent"/>
          <w:sz w:val="28"/>
          <w:szCs w:val="28"/>
          <w:rtl/>
        </w:rPr>
        <w:t xml:space="preserve"> </w:t>
      </w:r>
      <w:r w:rsidRPr="00001A51">
        <w:rPr>
          <w:rFonts w:ascii="Arabic Transparent" w:hAnsi="Arabic Transparent" w:cs="Arabic Transparent"/>
          <w:b/>
          <w:bCs/>
          <w:sz w:val="28"/>
          <w:szCs w:val="28"/>
          <w:rtl/>
        </w:rPr>
        <w:t>وجه الدلالة:</w:t>
      </w:r>
      <w:r w:rsidRPr="00001A51">
        <w:rPr>
          <w:rFonts w:ascii="Arabic Transparent" w:hAnsi="Arabic Transparent" w:cs="Arabic Transparent"/>
          <w:sz w:val="28"/>
          <w:szCs w:val="28"/>
          <w:rtl/>
        </w:rPr>
        <w:t xml:space="preserve"> حيث جاء في تفسير الآية ما قاله السمرقندي: "معناه ما ترى في خَلقِ السموات من عيب، وأصله من الفوت أي يفوت الشيء، فيقع فيه الخلل، ولكنه متصل بعضها ببعض"</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215"/>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rPr>
        <w:t xml:space="preserve"> إذن التفاوت هو الاضطراب المتدرج والاختلاف الجزئي، بمعنى: وقع اضطراب بينهما أو نَقَصَ أحدهما عن الآخر، مع إثبات الفضل لأحدهما عن الآخر</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216"/>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rPr>
        <w:t xml:space="preserve">، وعند النظر إلى الآية الكريمة يتبين أن التعبير بلفظ التفاوت جاء في المخلوقات التي من جنس واحد. </w:t>
      </w:r>
    </w:p>
    <w:p w14:paraId="69287DCE" w14:textId="77777777" w:rsidR="005241F3" w:rsidRPr="00001A51" w:rsidRDefault="00925CED" w:rsidP="00017DFE">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b/>
          <w:bCs/>
          <w:sz w:val="28"/>
          <w:szCs w:val="28"/>
          <w:rtl/>
          <w:lang w:bidi="ar-JO"/>
        </w:rPr>
        <w:t>ثانياً:</w:t>
      </w:r>
      <w:r w:rsidRPr="00001A51">
        <w:rPr>
          <w:rFonts w:ascii="Arabic Transparent" w:hAnsi="Arabic Transparent" w:cs="Arabic Transparent"/>
          <w:sz w:val="28"/>
          <w:szCs w:val="28"/>
          <w:rtl/>
          <w:lang w:bidi="ar-JO"/>
        </w:rPr>
        <w:t xml:space="preserve"> التفاوت حالة طبيعية أودعها الله تعالى في مخلوقاته، أما الاختلاف </w:t>
      </w:r>
      <w:r w:rsidR="003C5B76" w:rsidRPr="00001A51">
        <w:rPr>
          <w:rFonts w:ascii="Arabic Transparent" w:hAnsi="Arabic Transparent" w:cs="Arabic Transparent" w:hint="cs"/>
          <w:sz w:val="28"/>
          <w:szCs w:val="28"/>
          <w:rtl/>
          <w:lang w:bidi="ar-JO"/>
        </w:rPr>
        <w:t>"</w:t>
      </w:r>
      <w:r w:rsidRPr="00001A51">
        <w:rPr>
          <w:rFonts w:ascii="Arabic Transparent" w:hAnsi="Arabic Transparent" w:cs="Arabic Transparent"/>
          <w:sz w:val="28"/>
          <w:szCs w:val="28"/>
          <w:rtl/>
          <w:lang w:bidi="ar-JO"/>
        </w:rPr>
        <w:t>إما أن يكون ناشئا عن هوى، أو عن اجتهاد مأذون فيه، فأما ما كان ناشئاً عن هوًى فهو موضع الذّم، حيث إنَّ الفقيه تابع لما تدل عليه الأدلة الشرعية، فإنَّ صرف الأدلة إلى ما تهواه نفسه فقد جعل الأدلة تابعة لهواه</w:t>
      </w:r>
      <w:r w:rsidR="003C5B76" w:rsidRPr="00001A51">
        <w:rPr>
          <w:rFonts w:ascii="Arabic Transparent" w:hAnsi="Arabic Transparent" w:cs="Arabic Transparent" w:hint="cs"/>
          <w:sz w:val="28"/>
          <w:szCs w:val="28"/>
          <w:rtl/>
          <w:lang w:bidi="ar-JO"/>
        </w:rPr>
        <w:t>"</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217"/>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ونص الشاطبي عليه، فقال:</w:t>
      </w:r>
      <w:r w:rsidR="00151AED" w:rsidRPr="00001A51">
        <w:rPr>
          <w:rFonts w:ascii="Arabic Transparent" w:hAnsi="Arabic Transparent" w:cs="Arabic Transparent"/>
          <w:sz w:val="28"/>
          <w:szCs w:val="28"/>
          <w:rtl/>
          <w:lang w:bidi="ar-JO"/>
        </w:rPr>
        <w:t xml:space="preserve"> "</w:t>
      </w:r>
      <w:r w:rsidRPr="00001A51">
        <w:rPr>
          <w:rFonts w:ascii="Arabic Transparent" w:hAnsi="Arabic Transparent" w:cs="Arabic Transparent"/>
          <w:sz w:val="28"/>
          <w:szCs w:val="28"/>
          <w:rtl/>
          <w:lang w:bidi="ar-JO"/>
        </w:rPr>
        <w:t>وبهذا يظهر أن الخلاف الذي هو في الحقيقة خلاف ناشئ عن الهوى المُضل، لا عن تحري قصد الشارع باتباع الأدلة على الجملة والتفصيل، وهو الصادر عن أهل</w:t>
      </w:r>
      <w:r w:rsidR="00017DFE" w:rsidRPr="00001A51">
        <w:rPr>
          <w:rFonts w:ascii="Arabic Transparent" w:hAnsi="Arabic Transparent" w:cs="Arabic Transparent" w:hint="cs"/>
          <w:sz w:val="28"/>
          <w:szCs w:val="28"/>
          <w:rtl/>
          <w:lang w:bidi="ar-JO"/>
        </w:rPr>
        <w:t xml:space="preserve"> </w:t>
      </w:r>
      <w:r w:rsidRPr="00001A51">
        <w:rPr>
          <w:rFonts w:ascii="Arabic Transparent" w:hAnsi="Arabic Transparent" w:cs="Arabic Transparent"/>
          <w:sz w:val="28"/>
          <w:szCs w:val="28"/>
          <w:rtl/>
          <w:lang w:bidi="ar-JO"/>
        </w:rPr>
        <w:t xml:space="preserve">الأهواء، وإذا دخل الهوى أدى إلى اتباع المتشابه، حرصا على الغلبة والظهور بإقامة العذر في الخلاف، وأدى إلى الفرقة والتقاطع والعداوة والبغضاء، لاختلاف الأهواء وعدم اتفاقها، وإنما جاء </w:t>
      </w:r>
    </w:p>
    <w:p w14:paraId="3490404A" w14:textId="77777777" w:rsidR="005241F3" w:rsidRPr="00001A51" w:rsidRDefault="005241F3">
      <w:pPr>
        <w:bidi w:val="0"/>
        <w:spacing w:after="0" w:line="240" w:lineRule="auto"/>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br w:type="page"/>
      </w:r>
    </w:p>
    <w:p w14:paraId="45821675" w14:textId="516F43FE" w:rsidR="00925CED" w:rsidRPr="00001A51" w:rsidRDefault="00925CED" w:rsidP="00017DFE">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الشرع بحسم مادة الهوى بإطلاق"</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218"/>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وأما النوع الثاني، فهو الاختلاف الناشئ عن الاجتهاد المأذون فيه، فله أسباب مختلفة تعود إلى المجتهد، أو الدليل، أو الدلالة، وغيرها من الأسباب التي ذكرها الفقهاء</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219"/>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w:t>
      </w:r>
    </w:p>
    <w:p w14:paraId="7C987E17" w14:textId="6556049C" w:rsidR="00925CED" w:rsidRPr="00001A51" w:rsidRDefault="00925CED" w:rsidP="005241F3">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b/>
          <w:bCs/>
          <w:sz w:val="28"/>
          <w:szCs w:val="28"/>
          <w:rtl/>
          <w:lang w:bidi="ar-JO"/>
        </w:rPr>
        <w:t xml:space="preserve">ثالثاً: </w:t>
      </w:r>
      <w:r w:rsidRPr="00001A51">
        <w:rPr>
          <w:rFonts w:ascii="Arabic Transparent" w:hAnsi="Arabic Transparent" w:cs="Arabic Transparent"/>
          <w:sz w:val="28"/>
          <w:szCs w:val="28"/>
          <w:rtl/>
          <w:lang w:bidi="ar-JO"/>
        </w:rPr>
        <w:t>بالنسبة للواقعة، فإنَّ التفاوت في الأوصاف يتغير بتغير المسائل، وليس للمجتهد علاقة بهذا التفاوت، بيد أن الاختلاف يصدر بناءً على اختلاف النُّظار والمجتهدين في المسائل التي لا يوجد عليها أدلة قطعية الثبوت والدلالة، ومن حيث الثمرة، فإنَّ التفاوت يجعل المجتهد يستثني الأوصاف التي أدت إلى تفاوت فاحشٍ أو ممنوعٍ عند تحقيق المناط، وأما الاختلاف المقبول فيجعل المفتي يختار القول الذي يناسب العصر، ويناسب السائل ومقاصد التشريع ويُعلمه به</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220"/>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w:t>
      </w:r>
    </w:p>
    <w:p w14:paraId="012A2A07" w14:textId="77777777" w:rsidR="00925CED" w:rsidRPr="00001A51" w:rsidRDefault="00925CED" w:rsidP="00925CED">
      <w:pPr>
        <w:spacing w:after="0" w:line="360" w:lineRule="auto"/>
        <w:jc w:val="both"/>
        <w:rPr>
          <w:rFonts w:ascii="Arabic Transparent" w:hAnsi="Arabic Transparent" w:cs="Arabic Transparent"/>
          <w:b/>
          <w:bCs/>
          <w:sz w:val="32"/>
          <w:szCs w:val="32"/>
          <w:rtl/>
          <w:lang w:bidi="ar-JO"/>
        </w:rPr>
      </w:pPr>
      <w:r w:rsidRPr="00001A51">
        <w:rPr>
          <w:rFonts w:ascii="Arabic Transparent" w:hAnsi="Arabic Transparent" w:cs="Arabic Transparent"/>
          <w:b/>
          <w:bCs/>
          <w:sz w:val="32"/>
          <w:szCs w:val="32"/>
          <w:rtl/>
          <w:lang w:bidi="ar-JO"/>
        </w:rPr>
        <w:t>الفرع الثاني: الفروق.</w:t>
      </w:r>
    </w:p>
    <w:p w14:paraId="187EBC6A" w14:textId="31D11BB9" w:rsidR="00925CED" w:rsidRPr="00001A51" w:rsidRDefault="005D7B91" w:rsidP="00017DFE">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b/>
          <w:bCs/>
          <w:sz w:val="28"/>
          <w:szCs w:val="28"/>
          <w:rtl/>
          <w:lang w:bidi="ar-JO"/>
        </w:rPr>
        <w:t xml:space="preserve">     </w:t>
      </w:r>
      <w:r w:rsidR="00925CED" w:rsidRPr="00001A51">
        <w:rPr>
          <w:rFonts w:ascii="Arabic Transparent" w:hAnsi="Arabic Transparent" w:cs="Arabic Transparent"/>
          <w:sz w:val="28"/>
          <w:szCs w:val="28"/>
          <w:rtl/>
          <w:lang w:bidi="ar-JO"/>
        </w:rPr>
        <w:t xml:space="preserve">لم </w:t>
      </w:r>
      <w:r w:rsidR="00761066" w:rsidRPr="00001A51">
        <w:rPr>
          <w:rFonts w:ascii="Arabic Transparent" w:hAnsi="Arabic Transparent" w:cs="Arabic Transparent" w:hint="cs"/>
          <w:sz w:val="28"/>
          <w:szCs w:val="28"/>
          <w:rtl/>
          <w:lang w:bidi="ar-JO"/>
        </w:rPr>
        <w:t>يجد الباحث</w:t>
      </w:r>
      <w:r w:rsidR="00925CED" w:rsidRPr="00001A51">
        <w:rPr>
          <w:rFonts w:ascii="Arabic Transparent" w:hAnsi="Arabic Transparent" w:cs="Arabic Transparent"/>
          <w:sz w:val="28"/>
          <w:szCs w:val="28"/>
          <w:rtl/>
          <w:lang w:bidi="ar-JO"/>
        </w:rPr>
        <w:t xml:space="preserve"> تعريفاً لعلم الفروق عند العلماء المتقدمين، ولكنهم تحدثوا عن الفرق، </w:t>
      </w:r>
      <w:r w:rsidR="00761066" w:rsidRPr="00001A51">
        <w:rPr>
          <w:rFonts w:ascii="Arabic Transparent" w:hAnsi="Arabic Transparent" w:cs="Arabic Transparent" w:hint="cs"/>
          <w:sz w:val="28"/>
          <w:szCs w:val="28"/>
          <w:rtl/>
          <w:lang w:bidi="ar-JO"/>
        </w:rPr>
        <w:t>على أنَّه</w:t>
      </w:r>
      <w:r w:rsidR="00925CED" w:rsidRPr="00001A51">
        <w:rPr>
          <w:rFonts w:ascii="Arabic Transparent" w:hAnsi="Arabic Transparent" w:cs="Arabic Transparent"/>
          <w:sz w:val="28"/>
          <w:szCs w:val="28"/>
          <w:rtl/>
          <w:lang w:bidi="ar-JO"/>
        </w:rPr>
        <w:t xml:space="preserve"> من قوادح العلة، وهو القياس مع الفارق، والذي يعني عندهم:</w:t>
      </w:r>
      <w:r w:rsidR="00151AED" w:rsidRPr="00001A51">
        <w:rPr>
          <w:rFonts w:ascii="Arabic Transparent" w:hAnsi="Arabic Transparent" w:cs="Arabic Transparent" w:hint="cs"/>
          <w:sz w:val="28"/>
          <w:szCs w:val="28"/>
          <w:rtl/>
          <w:lang w:bidi="ar-JO"/>
        </w:rPr>
        <w:t xml:space="preserve"> </w:t>
      </w:r>
      <w:r w:rsidR="00151AED" w:rsidRPr="00001A51">
        <w:rPr>
          <w:rFonts w:ascii="Arabic Transparent" w:hAnsi="Arabic Transparent" w:cs="Arabic Transparent"/>
          <w:sz w:val="28"/>
          <w:szCs w:val="28"/>
          <w:rtl/>
          <w:lang w:bidi="ar-JO"/>
        </w:rPr>
        <w:t>"</w:t>
      </w:r>
      <w:r w:rsidR="00925CED" w:rsidRPr="00001A51">
        <w:rPr>
          <w:rFonts w:ascii="Arabic Transparent" w:hAnsi="Arabic Transparent" w:cs="Arabic Transparent"/>
          <w:sz w:val="28"/>
          <w:szCs w:val="28"/>
          <w:rtl/>
          <w:lang w:bidi="ar-JO"/>
        </w:rPr>
        <w:t>الأمر المانع من إلحاق الفرع بالأصل في الحكم مع وجود الوصف المشترك (العلة)"</w:t>
      </w:r>
      <w:r w:rsidR="00925CED" w:rsidRPr="00001A51">
        <w:rPr>
          <w:rFonts w:ascii="Arabic Transparent" w:hAnsi="Arabic Transparent" w:cs="Arabic Transparent"/>
          <w:sz w:val="28"/>
          <w:szCs w:val="28"/>
          <w:vertAlign w:val="superscript"/>
          <w:rtl/>
          <w:lang w:bidi="ar-JO"/>
        </w:rPr>
        <w:t>(</w:t>
      </w:r>
      <w:r w:rsidR="00925CED" w:rsidRPr="00001A51">
        <w:rPr>
          <w:rFonts w:ascii="Arabic Transparent" w:hAnsi="Arabic Transparent" w:cs="Arabic Transparent"/>
          <w:sz w:val="28"/>
          <w:szCs w:val="28"/>
          <w:vertAlign w:val="superscript"/>
          <w:rtl/>
          <w:lang w:bidi="ar-JO"/>
        </w:rPr>
        <w:footnoteReference w:id="221"/>
      </w:r>
      <w:r w:rsidR="00925CED" w:rsidRPr="00001A51">
        <w:rPr>
          <w:rFonts w:ascii="Arabic Transparent" w:hAnsi="Arabic Transparent" w:cs="Arabic Transparent"/>
          <w:sz w:val="28"/>
          <w:szCs w:val="28"/>
          <w:vertAlign w:val="superscript"/>
          <w:rtl/>
          <w:lang w:bidi="ar-JO"/>
        </w:rPr>
        <w:t>)</w:t>
      </w:r>
      <w:r w:rsidR="00925CED" w:rsidRPr="00001A51">
        <w:rPr>
          <w:rFonts w:ascii="Arabic Transparent" w:hAnsi="Arabic Transparent" w:cs="Arabic Transparent"/>
          <w:sz w:val="28"/>
          <w:szCs w:val="28"/>
          <w:rtl/>
          <w:lang w:bidi="ar-JO"/>
        </w:rPr>
        <w:t xml:space="preserve">، أو خلال كلامهم في موضوع الجدل، كما في </w:t>
      </w:r>
      <w:r w:rsidR="005241F3" w:rsidRPr="00001A51">
        <w:rPr>
          <w:rFonts w:ascii="Arabic Transparent" w:hAnsi="Arabic Transparent" w:cs="Arabic Transparent" w:hint="cs"/>
          <w:sz w:val="28"/>
          <w:szCs w:val="28"/>
          <w:rtl/>
          <w:lang w:bidi="ar-JO"/>
        </w:rPr>
        <w:t>"</w:t>
      </w:r>
      <w:r w:rsidR="00925CED" w:rsidRPr="00001A51">
        <w:rPr>
          <w:rFonts w:ascii="Arabic Transparent" w:hAnsi="Arabic Transparent" w:cs="Arabic Transparent"/>
          <w:sz w:val="28"/>
          <w:szCs w:val="28"/>
          <w:rtl/>
          <w:lang w:bidi="ar-JO"/>
        </w:rPr>
        <w:t>الكافية في الجدل لإمام الحرمين الجويني (ت 478 هـ)</w:t>
      </w:r>
      <w:r w:rsidR="005241F3" w:rsidRPr="00001A51">
        <w:rPr>
          <w:rFonts w:ascii="Arabic Transparent" w:hAnsi="Arabic Transparent" w:cs="Arabic Transparent" w:hint="cs"/>
          <w:sz w:val="28"/>
          <w:szCs w:val="28"/>
          <w:rtl/>
          <w:lang w:bidi="ar-JO"/>
        </w:rPr>
        <w:t>"</w:t>
      </w:r>
      <w:r w:rsidR="00925CED" w:rsidRPr="00001A51">
        <w:rPr>
          <w:rFonts w:ascii="Arabic Transparent" w:hAnsi="Arabic Transparent" w:cs="Arabic Transparent"/>
          <w:sz w:val="28"/>
          <w:szCs w:val="28"/>
          <w:vertAlign w:val="superscript"/>
          <w:rtl/>
          <w:lang w:bidi="ar-JO"/>
        </w:rPr>
        <w:t>(</w:t>
      </w:r>
      <w:r w:rsidR="00925CED" w:rsidRPr="00001A51">
        <w:rPr>
          <w:rFonts w:ascii="Arabic Transparent" w:hAnsi="Arabic Transparent" w:cs="Arabic Transparent"/>
          <w:sz w:val="28"/>
          <w:szCs w:val="28"/>
          <w:vertAlign w:val="superscript"/>
          <w:rtl/>
          <w:lang w:bidi="ar-JO"/>
        </w:rPr>
        <w:footnoteReference w:id="222"/>
      </w:r>
      <w:r w:rsidR="00925CED" w:rsidRPr="00001A51">
        <w:rPr>
          <w:rFonts w:ascii="Arabic Transparent" w:hAnsi="Arabic Transparent" w:cs="Arabic Transparent"/>
          <w:sz w:val="28"/>
          <w:szCs w:val="28"/>
          <w:vertAlign w:val="superscript"/>
          <w:rtl/>
          <w:lang w:bidi="ar-JO"/>
        </w:rPr>
        <w:t>)</w:t>
      </w:r>
      <w:r w:rsidR="00925CED" w:rsidRPr="00001A51">
        <w:rPr>
          <w:rFonts w:ascii="Arabic Transparent" w:hAnsi="Arabic Transparent" w:cs="Arabic Transparent"/>
          <w:sz w:val="28"/>
          <w:szCs w:val="28"/>
          <w:rtl/>
          <w:lang w:bidi="ar-JO"/>
        </w:rPr>
        <w:t>، وأول من عرف علم الفروق السيوطي، فقال، هو: "العلم الذي يذكر فيه الفرق بين النظائر المتحدة تصويراً ومعنى، المختلفة حكماً وعلة"</w:t>
      </w:r>
      <w:r w:rsidR="00925CED" w:rsidRPr="00001A51">
        <w:rPr>
          <w:rFonts w:ascii="Arabic Transparent" w:hAnsi="Arabic Transparent" w:cs="Arabic Transparent"/>
          <w:sz w:val="28"/>
          <w:szCs w:val="28"/>
          <w:vertAlign w:val="superscript"/>
          <w:rtl/>
          <w:lang w:bidi="ar-JO"/>
        </w:rPr>
        <w:t>(</w:t>
      </w:r>
      <w:r w:rsidR="00925CED" w:rsidRPr="00001A51">
        <w:rPr>
          <w:rFonts w:ascii="Arabic Transparent" w:hAnsi="Arabic Transparent" w:cs="Arabic Transparent"/>
          <w:sz w:val="28"/>
          <w:szCs w:val="28"/>
          <w:vertAlign w:val="superscript"/>
          <w:rtl/>
          <w:lang w:bidi="ar-JO"/>
        </w:rPr>
        <w:footnoteReference w:id="223"/>
      </w:r>
      <w:r w:rsidR="00925CED" w:rsidRPr="00001A51">
        <w:rPr>
          <w:rFonts w:ascii="Arabic Transparent" w:hAnsi="Arabic Transparent" w:cs="Arabic Transparent"/>
          <w:sz w:val="28"/>
          <w:szCs w:val="28"/>
          <w:vertAlign w:val="superscript"/>
          <w:rtl/>
          <w:lang w:bidi="ar-JO"/>
        </w:rPr>
        <w:t>)</w:t>
      </w:r>
      <w:r w:rsidR="00925CED" w:rsidRPr="00001A51">
        <w:rPr>
          <w:rFonts w:ascii="Arabic Transparent" w:hAnsi="Arabic Transparent" w:cs="Arabic Transparent"/>
          <w:sz w:val="28"/>
          <w:szCs w:val="28"/>
          <w:rtl/>
          <w:lang w:bidi="ar-JO"/>
        </w:rPr>
        <w:t xml:space="preserve"> ومن المعاصرين عرَّفه الباحسين، فقال: هي "المسائل الفقهية المتشابهة في الصورة، والمختلفة في الحكم"</w:t>
      </w:r>
      <w:r w:rsidR="00925CED" w:rsidRPr="00001A51">
        <w:rPr>
          <w:rFonts w:ascii="Arabic Transparent" w:hAnsi="Arabic Transparent" w:cs="Arabic Transparent"/>
          <w:sz w:val="28"/>
          <w:szCs w:val="28"/>
          <w:vertAlign w:val="superscript"/>
          <w:rtl/>
          <w:lang w:bidi="ar-JO"/>
        </w:rPr>
        <w:t>(</w:t>
      </w:r>
      <w:r w:rsidR="00925CED" w:rsidRPr="00001A51">
        <w:rPr>
          <w:rFonts w:ascii="Arabic Transparent" w:hAnsi="Arabic Transparent" w:cs="Arabic Transparent"/>
          <w:sz w:val="28"/>
          <w:szCs w:val="28"/>
          <w:vertAlign w:val="superscript"/>
          <w:rtl/>
          <w:lang w:bidi="ar-JO"/>
        </w:rPr>
        <w:footnoteReference w:id="224"/>
      </w:r>
      <w:r w:rsidR="00925CED" w:rsidRPr="00001A51">
        <w:rPr>
          <w:rFonts w:ascii="Arabic Transparent" w:hAnsi="Arabic Transparent" w:cs="Arabic Transparent"/>
          <w:sz w:val="28"/>
          <w:szCs w:val="28"/>
          <w:vertAlign w:val="superscript"/>
          <w:rtl/>
          <w:lang w:bidi="ar-JO"/>
        </w:rPr>
        <w:t>)</w:t>
      </w:r>
      <w:r w:rsidR="00925CED" w:rsidRPr="00001A51">
        <w:rPr>
          <w:rFonts w:ascii="Arabic Transparent" w:hAnsi="Arabic Transparent" w:cs="Arabic Transparent"/>
          <w:sz w:val="28"/>
          <w:szCs w:val="28"/>
          <w:rtl/>
          <w:lang w:bidi="ar-JO"/>
        </w:rPr>
        <w:t xml:space="preserve"> وبناءً على التعاريف السابقة يكون موضوع علم الفروق الفروع والمسائل الفقهية المتشابهة في الصورة، والمختلفة في الحكم، من حيث بيان أسباب الاتفاق والافتراق فيما بينهما.</w:t>
      </w:r>
    </w:p>
    <w:p w14:paraId="3582E151" w14:textId="141B7D6F" w:rsidR="005241F3" w:rsidRPr="00001A51" w:rsidRDefault="005D7B91" w:rsidP="00761066">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lastRenderedPageBreak/>
        <w:t xml:space="preserve">     </w:t>
      </w:r>
      <w:r w:rsidR="00925CED" w:rsidRPr="00001A51">
        <w:rPr>
          <w:rFonts w:ascii="Arabic Transparent" w:hAnsi="Arabic Transparent" w:cs="Arabic Transparent"/>
          <w:sz w:val="28"/>
          <w:szCs w:val="28"/>
          <w:rtl/>
          <w:lang w:bidi="ar-JO"/>
        </w:rPr>
        <w:t xml:space="preserve">وجه الاتفاق بين مصطلح الفروق ومصطلح التفاوت من حيث الجوهر، حيث يرتبط كلا المصطلحين بفكرة عدم التسوية بين الأشياء المتشابهة، ويمكن القول: إنَّ بينهما عموم وخصوص </w:t>
      </w:r>
      <w:r w:rsidR="005241F3" w:rsidRPr="00001A51">
        <w:rPr>
          <w:rFonts w:ascii="Arabic Transparent" w:hAnsi="Arabic Transparent" w:cs="Arabic Transparent"/>
          <w:sz w:val="28"/>
          <w:szCs w:val="28"/>
          <w:rtl/>
          <w:lang w:bidi="ar-JO"/>
        </w:rPr>
        <w:br w:type="page"/>
      </w:r>
    </w:p>
    <w:p w14:paraId="6AC0E5C4" w14:textId="0F01F50C" w:rsidR="00D8093F" w:rsidRPr="00001A51" w:rsidRDefault="00925CED" w:rsidP="00761066">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وجهي، فالفروق الفقهية أعم، والتفاوت أخص كونه أحد أسباب وجود الفروق بين المسائل المتشابهة، فعلم الفروق </w:t>
      </w:r>
      <w:r w:rsidR="00761066" w:rsidRPr="00001A51">
        <w:rPr>
          <w:rFonts w:ascii="Arabic Transparent" w:hAnsi="Arabic Transparent" w:cs="Arabic Transparent" w:hint="cs"/>
          <w:sz w:val="28"/>
          <w:szCs w:val="28"/>
          <w:rtl/>
          <w:lang w:bidi="ar-JO"/>
        </w:rPr>
        <w:t>"</w:t>
      </w:r>
      <w:r w:rsidRPr="00001A51">
        <w:rPr>
          <w:rFonts w:ascii="Arabic Transparent" w:hAnsi="Arabic Transparent" w:cs="Arabic Transparent"/>
          <w:sz w:val="28"/>
          <w:szCs w:val="28"/>
          <w:rtl/>
          <w:lang w:bidi="ar-JO"/>
        </w:rPr>
        <w:t>يعمل على إظهار الأوصاف الفارقة بين المسائل المتشابهة التي لا تستوي في الحكم</w:t>
      </w:r>
      <w:r w:rsidR="00761066" w:rsidRPr="00001A51">
        <w:rPr>
          <w:rFonts w:ascii="Arabic Transparent" w:hAnsi="Arabic Transparent" w:cs="Arabic Transparent" w:hint="cs"/>
          <w:sz w:val="28"/>
          <w:szCs w:val="28"/>
          <w:rtl/>
          <w:lang w:bidi="ar-JO"/>
        </w:rPr>
        <w:t>"</w:t>
      </w:r>
      <w:r w:rsidR="00761066" w:rsidRPr="00001A51">
        <w:rPr>
          <w:rFonts w:ascii="Arabic Transparent" w:hAnsi="Arabic Transparent" w:cs="Arabic Transparent"/>
          <w:sz w:val="28"/>
          <w:szCs w:val="28"/>
          <w:vertAlign w:val="superscript"/>
          <w:rtl/>
          <w:lang w:bidi="ar-JO"/>
        </w:rPr>
        <w:t>(</w:t>
      </w:r>
      <w:r w:rsidR="00761066" w:rsidRPr="00001A51">
        <w:rPr>
          <w:rFonts w:ascii="Arabic Transparent" w:hAnsi="Arabic Transparent" w:cs="Arabic Transparent"/>
          <w:sz w:val="28"/>
          <w:szCs w:val="28"/>
          <w:vertAlign w:val="superscript"/>
          <w:rtl/>
          <w:lang w:bidi="ar-JO"/>
        </w:rPr>
        <w:footnoteReference w:id="225"/>
      </w:r>
      <w:r w:rsidR="00761066"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والتفاوت يعبر عن التباين وعدم التناسب مع التدرج في الأوصاف المتعلقة بالأشخاص، أو الوقائع، كما أنَّ كليهما يُوظف في تفسير سبب تغير الحكم، وتنوع الأحكام واختلافها بين الصور المتشابهة.</w:t>
      </w:r>
    </w:p>
    <w:p w14:paraId="4464C22F" w14:textId="5488F749" w:rsidR="00925CED" w:rsidRPr="00001A51" w:rsidRDefault="005D7B91" w:rsidP="00925CE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925CED" w:rsidRPr="00001A51">
        <w:rPr>
          <w:rFonts w:ascii="Arabic Transparent" w:hAnsi="Arabic Transparent" w:cs="Arabic Transparent"/>
          <w:sz w:val="28"/>
          <w:szCs w:val="28"/>
          <w:rtl/>
          <w:lang w:bidi="ar-JO"/>
        </w:rPr>
        <w:t>أما وجه الاختلاف بين مصطلح الفروق ومصطلح التفاوت، فهو يقع غالباً من حيث النشأة، فالفروق الفقهية علم قائم بذاته، وبه العديد من المؤلفات على خلاف التفاوت: فهو تباين وتدرج يصيب الأوصاف بسبب تغير الأحوال والوقائع، يؤدي إلى حدوت تغير في الحكم، كما يسهم علم الفروق الفقهية بمنع إلحاق الفرع بالأصل بين المسائل المتشابهة، وأما التعرف على التفاوت فيساهم في تحديد الأوصاف ذات التأثير المباشر في الحكم، وبالمثال يتبين وجه الاختلاف بالفرق بين الهدية، والرِّشوة، فكلاهما بذل مال للغير، لكن الفقيه يفرق بينهما، حيث تُعد الهدية حلالاً والرِّشوة حراماً، من جهة التفاوت، الذي يكون في القصد، فالهدية قصده منها التودد، والرشوة قصده منها التوصل إلى الممنوع عادةً، فالأولى: تحقق المصلحة، والثانية: تحقق المفسدة</w:t>
      </w:r>
      <w:r w:rsidR="00925CED" w:rsidRPr="00001A51">
        <w:rPr>
          <w:rFonts w:ascii="Arabic Transparent" w:hAnsi="Arabic Transparent" w:cs="Arabic Transparent"/>
          <w:sz w:val="28"/>
          <w:szCs w:val="28"/>
          <w:vertAlign w:val="superscript"/>
          <w:rtl/>
          <w:lang w:bidi="ar-JO"/>
        </w:rPr>
        <w:t>(</w:t>
      </w:r>
      <w:r w:rsidR="00925CED" w:rsidRPr="00001A51">
        <w:rPr>
          <w:rFonts w:ascii="Arabic Transparent" w:hAnsi="Arabic Transparent" w:cs="Arabic Transparent"/>
          <w:sz w:val="28"/>
          <w:szCs w:val="28"/>
          <w:vertAlign w:val="superscript"/>
          <w:rtl/>
          <w:lang w:bidi="ar-JO"/>
        </w:rPr>
        <w:footnoteReference w:id="226"/>
      </w:r>
      <w:r w:rsidR="00925CED" w:rsidRPr="00001A51">
        <w:rPr>
          <w:rFonts w:ascii="Arabic Transparent" w:hAnsi="Arabic Transparent" w:cs="Arabic Transparent"/>
          <w:sz w:val="28"/>
          <w:szCs w:val="28"/>
          <w:vertAlign w:val="superscript"/>
          <w:rtl/>
          <w:lang w:bidi="ar-JO"/>
        </w:rPr>
        <w:t>)</w:t>
      </w:r>
      <w:r w:rsidR="00925CED" w:rsidRPr="00001A51">
        <w:rPr>
          <w:rFonts w:ascii="Arabic Transparent" w:hAnsi="Arabic Transparent" w:cs="Arabic Transparent"/>
          <w:sz w:val="28"/>
          <w:szCs w:val="28"/>
          <w:rtl/>
          <w:lang w:bidi="ar-JO"/>
        </w:rPr>
        <w:t xml:space="preserve">. </w:t>
      </w:r>
    </w:p>
    <w:p w14:paraId="687A522C" w14:textId="77777777" w:rsidR="00925CED" w:rsidRPr="00001A51" w:rsidRDefault="00925CED" w:rsidP="00925CED">
      <w:pPr>
        <w:spacing w:after="0" w:line="360" w:lineRule="auto"/>
        <w:jc w:val="both"/>
        <w:rPr>
          <w:rFonts w:ascii="Arabic Transparent" w:hAnsi="Arabic Transparent" w:cs="Arabic Transparent"/>
          <w:b/>
          <w:bCs/>
          <w:sz w:val="32"/>
          <w:szCs w:val="32"/>
          <w:rtl/>
          <w:lang w:bidi="ar-JO"/>
        </w:rPr>
      </w:pPr>
      <w:r w:rsidRPr="00001A51">
        <w:rPr>
          <w:rFonts w:ascii="Arabic Transparent" w:hAnsi="Arabic Transparent" w:cs="Arabic Transparent"/>
          <w:b/>
          <w:bCs/>
          <w:sz w:val="32"/>
          <w:szCs w:val="32"/>
          <w:rtl/>
          <w:lang w:bidi="ar-JO"/>
        </w:rPr>
        <w:t>الفرع الثالث: التعارض:</w:t>
      </w:r>
    </w:p>
    <w:p w14:paraId="37AF5EAA" w14:textId="40A8B737" w:rsidR="00925CED" w:rsidRPr="00001A51" w:rsidRDefault="005D7B91" w:rsidP="00925CE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925CED" w:rsidRPr="00001A51">
        <w:rPr>
          <w:rFonts w:ascii="Arabic Transparent" w:hAnsi="Arabic Transparent" w:cs="Arabic Transparent"/>
          <w:sz w:val="28"/>
          <w:szCs w:val="28"/>
          <w:rtl/>
          <w:lang w:bidi="ar-JO"/>
        </w:rPr>
        <w:t>التفاوت والتعارض من المصطلحات التي تمرُّ بالمجتهد لفهم الاختلاف بين الأحكام وترتيبها، ولكنهما يختلفان في الحقيقة والمحل والأثر، فالتفاوت هو وصف لمراتب الأشياء المتقابلة ضمن الجنس الواحد من حيث القوة والدرجة، وأما التعارض: "‌تقابلهما (الدليلين) ‌على ‌وجه ‌يمنع ‌كل</w:t>
      </w:r>
    </w:p>
    <w:p w14:paraId="7CE8A3B2" w14:textId="0E982C1D" w:rsidR="002C32B4" w:rsidRPr="00001A51" w:rsidRDefault="00925CED" w:rsidP="00925CE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‌واحد ‌منهما ‌مقتضى ‌صاحبه"</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227"/>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b/>
          <w:bCs/>
          <w:sz w:val="28"/>
          <w:szCs w:val="28"/>
          <w:rtl/>
          <w:lang w:bidi="ar-JO"/>
        </w:rPr>
        <w:t xml:space="preserve"> </w:t>
      </w:r>
      <w:r w:rsidRPr="00001A51">
        <w:rPr>
          <w:rFonts w:ascii="Arabic Transparent" w:hAnsi="Arabic Transparent" w:cs="Arabic Transparent"/>
          <w:sz w:val="28"/>
          <w:szCs w:val="28"/>
          <w:rtl/>
          <w:lang w:bidi="ar-JO"/>
        </w:rPr>
        <w:t xml:space="preserve">ويرى بعض الباحثين عند بيان حقيقة التعارض أنه: </w:t>
      </w:r>
      <w:r w:rsidR="00392FD7" w:rsidRPr="00001A51">
        <w:rPr>
          <w:rFonts w:ascii="Arabic Transparent" w:hAnsi="Arabic Transparent" w:cs="Arabic Transparent" w:hint="cs"/>
          <w:sz w:val="28"/>
          <w:szCs w:val="28"/>
          <w:rtl/>
          <w:lang w:bidi="ar-JO"/>
        </w:rPr>
        <w:t>"</w:t>
      </w:r>
      <w:r w:rsidRPr="00001A51">
        <w:rPr>
          <w:rFonts w:ascii="Arabic Transparent" w:hAnsi="Arabic Transparent" w:cs="Arabic Transparent"/>
          <w:sz w:val="28"/>
          <w:szCs w:val="28"/>
          <w:rtl/>
          <w:lang w:bidi="ar-JO"/>
        </w:rPr>
        <w:t>تقابل الحجتين المتساويتين على وجه يُوجب كل واحد منهما ضد ما يُوجبه الآخر في محل واحد، وفي وقت واحد</w:t>
      </w:r>
      <w:r w:rsidR="00392FD7" w:rsidRPr="00001A51">
        <w:rPr>
          <w:rFonts w:ascii="Arabic Transparent" w:hAnsi="Arabic Transparent" w:cs="Arabic Transparent" w:hint="cs"/>
          <w:sz w:val="28"/>
          <w:szCs w:val="28"/>
          <w:rtl/>
          <w:lang w:bidi="ar-JO"/>
        </w:rPr>
        <w:t>"</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228"/>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w:t>
      </w:r>
    </w:p>
    <w:p w14:paraId="7EE0FC52" w14:textId="77777777" w:rsidR="002C32B4" w:rsidRPr="00001A51" w:rsidRDefault="002C32B4">
      <w:pPr>
        <w:bidi w:val="0"/>
        <w:spacing w:after="0" w:line="240" w:lineRule="auto"/>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br w:type="page"/>
      </w:r>
    </w:p>
    <w:p w14:paraId="03DCED03" w14:textId="5D07AAF6" w:rsidR="00925CED" w:rsidRPr="00001A51" w:rsidRDefault="002C32B4" w:rsidP="00D8093F">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hint="cs"/>
          <w:sz w:val="28"/>
          <w:szCs w:val="28"/>
          <w:rtl/>
          <w:lang w:bidi="ar-JO"/>
        </w:rPr>
        <w:t xml:space="preserve">     ف</w:t>
      </w:r>
      <w:r w:rsidR="00925CED" w:rsidRPr="00001A51">
        <w:rPr>
          <w:rFonts w:ascii="Arabic Transparent" w:hAnsi="Arabic Transparent" w:cs="Arabic Transparent"/>
          <w:sz w:val="28"/>
          <w:szCs w:val="28"/>
          <w:rtl/>
          <w:lang w:bidi="ar-JO"/>
        </w:rPr>
        <w:t>وجه الاتفاق، أن كلاهما يستخدم لضبط الاجتهاد ومنع العشوائية، ويخدم المجتهد</w:t>
      </w:r>
      <w:r w:rsidR="00017DFE" w:rsidRPr="00001A51">
        <w:rPr>
          <w:rFonts w:ascii="Arabic Transparent" w:hAnsi="Arabic Transparent" w:cs="Arabic Transparent" w:hint="cs"/>
          <w:sz w:val="28"/>
          <w:szCs w:val="28"/>
          <w:rtl/>
          <w:lang w:bidi="ar-JO"/>
        </w:rPr>
        <w:t>؛</w:t>
      </w:r>
      <w:r w:rsidR="00925CED" w:rsidRPr="00001A51">
        <w:rPr>
          <w:rFonts w:ascii="Arabic Transparent" w:hAnsi="Arabic Transparent" w:cs="Arabic Transparent"/>
          <w:sz w:val="28"/>
          <w:szCs w:val="28"/>
          <w:rtl/>
          <w:lang w:bidi="ar-JO"/>
        </w:rPr>
        <w:t xml:space="preserve"> من خلال تحديد الأوصاف المتفاوتة والتعرف على التي تكون أكثر تأثيراً بالحكم، والتعارض يخدم المجتهد بدفع تنافي الأدلة وعدم اجتماعها على محل واحد.</w:t>
      </w:r>
    </w:p>
    <w:p w14:paraId="4D7D3D9E" w14:textId="711FC4F5" w:rsidR="00925CED" w:rsidRPr="00001A51" w:rsidRDefault="005D7B91" w:rsidP="00925CE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925CED" w:rsidRPr="00001A51">
        <w:rPr>
          <w:rFonts w:ascii="Arabic Transparent" w:hAnsi="Arabic Transparent" w:cs="Arabic Transparent"/>
          <w:sz w:val="28"/>
          <w:szCs w:val="28"/>
          <w:rtl/>
          <w:lang w:bidi="ar-JO"/>
        </w:rPr>
        <w:t>وأما وجه الاختلاف، فهو من كل وجه غالباً من جهة الحقيقة والمحل والأثر كما يأتي:</w:t>
      </w:r>
    </w:p>
    <w:p w14:paraId="58B1B2B5" w14:textId="77777777" w:rsidR="00925CED" w:rsidRPr="00001A51" w:rsidRDefault="00925CED" w:rsidP="00925CE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b/>
          <w:bCs/>
          <w:sz w:val="28"/>
          <w:szCs w:val="28"/>
          <w:rtl/>
          <w:lang w:bidi="ar-JO"/>
        </w:rPr>
        <w:t>أولاً:</w:t>
      </w:r>
      <w:r w:rsidRPr="00001A51">
        <w:rPr>
          <w:rFonts w:ascii="Arabic Transparent" w:hAnsi="Arabic Transparent" w:cs="Arabic Transparent"/>
          <w:sz w:val="28"/>
          <w:szCs w:val="28"/>
          <w:rtl/>
          <w:lang w:bidi="ar-JO"/>
        </w:rPr>
        <w:t xml:space="preserve"> الحقيقة: فإن حقيقة التعارض تختلف كلياً عن حقيقة التفاوت، فالوصفان متفاوتان وهما في الحقيقة غير متعارضين؛ لأنهما لا يجتمعا على جنس واحد، ولأنهما غير متساويين فهما مختلفين بالدرجة ومدى التأثير بالحكم، بيد أن الأدلة المتعارضة هي التي يتحقق بينها التقابل والتساوي بين </w:t>
      </w:r>
    </w:p>
    <w:p w14:paraId="3421C191" w14:textId="77777777" w:rsidR="00925CED" w:rsidRPr="00001A51" w:rsidRDefault="00925CED" w:rsidP="00925CE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الحجتين فيحتاج الأصولي إلى فكِّ التعارض من خلال الجمع بين الدليلين، أو النسخ لأحد الدليلين، أو الترجيح</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229"/>
      </w:r>
      <w:r w:rsidRPr="00001A51">
        <w:rPr>
          <w:rFonts w:ascii="Arabic Transparent" w:hAnsi="Arabic Transparent" w:cs="Arabic Transparent"/>
          <w:sz w:val="28"/>
          <w:szCs w:val="28"/>
          <w:vertAlign w:val="superscript"/>
          <w:rtl/>
          <w:lang w:bidi="ar-JO"/>
        </w:rPr>
        <w:t>).</w:t>
      </w:r>
    </w:p>
    <w:p w14:paraId="0E0B9C2A" w14:textId="58979865" w:rsidR="00925CED" w:rsidRPr="00001A51" w:rsidRDefault="00925CED" w:rsidP="00D8093F">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b/>
          <w:bCs/>
          <w:sz w:val="28"/>
          <w:szCs w:val="28"/>
          <w:rtl/>
          <w:lang w:bidi="ar-JO"/>
        </w:rPr>
        <w:t>ثانياً:</w:t>
      </w:r>
      <w:r w:rsidRPr="00001A51">
        <w:rPr>
          <w:rFonts w:ascii="Arabic Transparent" w:hAnsi="Arabic Transparent" w:cs="Arabic Transparent"/>
          <w:sz w:val="28"/>
          <w:szCs w:val="28"/>
          <w:rtl/>
          <w:lang w:bidi="ar-JO"/>
        </w:rPr>
        <w:t xml:space="preserve"> المحل: فإن محل التفاوت يقع بين الأوصاف التي تقترن بالواقعة كالجنس، والصفة، والقدر، وأما التعارض فإنه </w:t>
      </w:r>
      <w:r w:rsidR="002C32B4" w:rsidRPr="00001A51">
        <w:rPr>
          <w:rFonts w:ascii="Arabic Transparent" w:hAnsi="Arabic Transparent" w:cs="Arabic Transparent" w:hint="cs"/>
          <w:sz w:val="28"/>
          <w:szCs w:val="28"/>
          <w:rtl/>
          <w:lang w:bidi="ar-JO"/>
        </w:rPr>
        <w:t>"</w:t>
      </w:r>
      <w:r w:rsidRPr="00001A51">
        <w:rPr>
          <w:rFonts w:ascii="Arabic Transparent" w:hAnsi="Arabic Transparent" w:cs="Arabic Transparent"/>
          <w:sz w:val="28"/>
          <w:szCs w:val="28"/>
          <w:rtl/>
          <w:lang w:bidi="ar-JO"/>
        </w:rPr>
        <w:t xml:space="preserve">يقع بين الأدلة الشرعية عند توهّم التنافي، أو وقوعه ظاهرياً، والتعارض لا يمكن أن يكون حقيقياً؛ لأن الأدلة الشرعية لا تنافي بينها والنصوص الشرعية تدل على براءة الشريعة من التناقض والتضاد لقوله تعالى: </w:t>
      </w:r>
      <w:r w:rsidRPr="00001A51">
        <w:rPr>
          <w:rFonts w:ascii="KFGQPC HAFS Uthmanic Script" w:hAnsi="Times New Roman" w:cs="KFGQPC HAFS Uthmanic Script"/>
          <w:color w:val="000000"/>
          <w:sz w:val="28"/>
          <w:szCs w:val="28"/>
          <w:rtl/>
        </w:rPr>
        <w:t>ﵟ</w:t>
      </w:r>
      <w:r w:rsidRPr="00001A51">
        <w:rPr>
          <w:rFonts w:ascii="KFGQPC HAFS Uthmanic Script" w:hAnsi="Times New Roman" w:cs="Cambria"/>
          <w:color w:val="000000"/>
          <w:sz w:val="28"/>
          <w:szCs w:val="28"/>
          <w:rtl/>
        </w:rPr>
        <w:t>...</w:t>
      </w:r>
      <w:r w:rsidRPr="00001A51">
        <w:rPr>
          <w:rFonts w:ascii="KFGQPC HAFS Uthmanic Script" w:hAnsi="Times New Roman" w:cs="KFGQPC HAFS Uthmanic Script"/>
          <w:color w:val="000000"/>
          <w:sz w:val="28"/>
          <w:szCs w:val="28"/>
          <w:rtl/>
        </w:rPr>
        <w:t>وَلَوۡ كَانَ مِنۡ عِندِ غَيۡرِ ٱللَّهِ لَوَجَدُواْ فِيهِ ٱخۡتِلَٰفٗا كَثِيرٗا ٨٢ﵞﵝالنِّسَاء</w:t>
      </w:r>
      <w:r w:rsidR="005D7B91" w:rsidRPr="00001A51">
        <w:rPr>
          <w:rFonts w:ascii="KFGQPC HAFS Uthmanic Script" w:hAnsi="Times New Roman" w:cs="KFGQPC HAFS Uthmanic Script"/>
          <w:color w:val="000000"/>
          <w:sz w:val="28"/>
          <w:szCs w:val="28"/>
          <w:rtl/>
        </w:rPr>
        <w:t xml:space="preserve">: </w:t>
      </w:r>
      <w:r w:rsidRPr="00001A51">
        <w:rPr>
          <w:rFonts w:ascii="KFGQPC HAFS Uthmanic Script" w:hAnsi="Times New Roman" w:cs="KFGQPC HAFS Uthmanic Script"/>
          <w:color w:val="000000"/>
          <w:sz w:val="28"/>
          <w:szCs w:val="28"/>
          <w:rtl/>
        </w:rPr>
        <w:t>ﵒﵘﵜ</w:t>
      </w:r>
      <w:r w:rsidRPr="00001A51">
        <w:rPr>
          <w:rFonts w:ascii="Arabic Transparent" w:hAnsi="Arabic Transparent" w:cs="Arabic Transparent"/>
          <w:sz w:val="28"/>
          <w:szCs w:val="28"/>
          <w:rtl/>
          <w:lang w:bidi="ar-JO"/>
        </w:rPr>
        <w:t xml:space="preserve"> لذا ينسب التعارض إلى كونه ظاهرياً؛ يعود سببه إلى اختلاف أفكار وأفهام المجتهدين عند النظر في الأدلة الشرعية</w:t>
      </w:r>
      <w:r w:rsidR="002C32B4" w:rsidRPr="00001A51">
        <w:rPr>
          <w:rFonts w:ascii="Arabic Transparent" w:hAnsi="Arabic Transparent" w:cs="Arabic Transparent" w:hint="cs"/>
          <w:sz w:val="28"/>
          <w:szCs w:val="28"/>
          <w:rtl/>
          <w:lang w:bidi="ar-JO"/>
        </w:rPr>
        <w:t>"</w:t>
      </w:r>
      <w:r w:rsidR="002C32B4" w:rsidRPr="00001A51">
        <w:rPr>
          <w:rFonts w:ascii="Arabic Transparent" w:hAnsi="Arabic Transparent" w:cs="Arabic Transparent"/>
          <w:sz w:val="28"/>
          <w:szCs w:val="28"/>
          <w:vertAlign w:val="superscript"/>
          <w:rtl/>
          <w:lang w:bidi="ar-JO"/>
        </w:rPr>
        <w:t>(</w:t>
      </w:r>
      <w:r w:rsidR="002C32B4" w:rsidRPr="00001A51">
        <w:rPr>
          <w:rFonts w:ascii="Arabic Transparent" w:hAnsi="Arabic Transparent" w:cs="Arabic Transparent"/>
          <w:sz w:val="28"/>
          <w:szCs w:val="28"/>
          <w:vertAlign w:val="superscript"/>
          <w:rtl/>
          <w:lang w:bidi="ar-JO"/>
        </w:rPr>
        <w:footnoteReference w:id="230"/>
      </w:r>
      <w:r w:rsidR="002C32B4"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وأما التفاوت فإنه يقع حقيقة ويمكن أن يكون مؤثراً، أو غير مؤثر عند إصدار الحكم الشرعي.</w:t>
      </w:r>
    </w:p>
    <w:p w14:paraId="40297EAD" w14:textId="480EDCBA" w:rsidR="00925CED" w:rsidRPr="00001A51" w:rsidRDefault="00925CED" w:rsidP="00D8093F">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 xml:space="preserve">ثالثاً: </w:t>
      </w:r>
      <w:r w:rsidRPr="00001A51">
        <w:rPr>
          <w:rFonts w:ascii="Arabic Transparent" w:hAnsi="Arabic Transparent" w:cs="Arabic Transparent"/>
          <w:sz w:val="28"/>
          <w:szCs w:val="28"/>
          <w:rtl/>
          <w:lang w:bidi="ar-JO"/>
        </w:rPr>
        <w:t>الثمرة: تتجلى ثمرة التعارض في ألا يقف المجتهد أمام الأدلة المتعارضة بلا منهج معين، بل عليه ان يسلك مسالك دفع التعارض بين الأدلة، فيقدم الجمع ما أمكن، فإن تعذر فالترجيح، فإن تعذر، فالنسخ، ثم التساقط عند العجز عن الوصول حكم عملي يعمل به ويرفع الاضطراب في الاستدلال، وأما بالنسبة إلى التفاوت، فإن الثمرة تكمن في فرز الأوصاف لتمييز العلة "المناسبة والمؤثرة" عن الأوصاف "الطردية والشبهية"، فيُبنى الحكم على الوصف الأقوى المؤثر في تقرير الحكم الشرعي، فكأنَّ ثمرة الأول تتعلق في تحرير الدليل، وثمرة الثاني في تحرير العلة</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231"/>
      </w:r>
      <w:r w:rsidRPr="00001A51">
        <w:rPr>
          <w:rFonts w:ascii="Arabic Transparent" w:hAnsi="Arabic Transparent" w:cs="Arabic Transparent"/>
          <w:sz w:val="28"/>
          <w:szCs w:val="28"/>
          <w:vertAlign w:val="superscript"/>
          <w:rtl/>
          <w:lang w:bidi="ar-JO"/>
        </w:rPr>
        <w:t>)</w:t>
      </w:r>
    </w:p>
    <w:p w14:paraId="0C7D3950" w14:textId="77777777" w:rsidR="00017DFE" w:rsidRPr="00001A51" w:rsidRDefault="00017DFE" w:rsidP="00017DFE">
      <w:pPr>
        <w:spacing w:line="360" w:lineRule="auto"/>
        <w:jc w:val="center"/>
        <w:rPr>
          <w:rFonts w:ascii="Arabic Transparent" w:hAnsi="Arabic Transparent" w:cs="Arabic Transparent"/>
          <w:b/>
          <w:bCs/>
          <w:sz w:val="32"/>
          <w:szCs w:val="32"/>
          <w:rtl/>
          <w:lang w:bidi="ar-JO"/>
        </w:rPr>
      </w:pPr>
      <w:r w:rsidRPr="00001A51">
        <w:rPr>
          <w:rFonts w:ascii="Arabic Transparent" w:hAnsi="Arabic Transparent" w:cs="Arabic Transparent"/>
          <w:b/>
          <w:bCs/>
          <w:sz w:val="28"/>
          <w:szCs w:val="28"/>
          <w:rtl/>
          <w:lang w:bidi="ar-JO"/>
        </w:rPr>
        <w:br w:type="page"/>
      </w:r>
      <w:r w:rsidRPr="00001A51">
        <w:rPr>
          <w:rFonts w:ascii="Arabic Transparent" w:hAnsi="Arabic Transparent" w:cs="Arabic Transparent"/>
          <w:b/>
          <w:bCs/>
          <w:sz w:val="32"/>
          <w:szCs w:val="32"/>
          <w:rtl/>
          <w:lang w:bidi="ar-JO"/>
        </w:rPr>
        <w:lastRenderedPageBreak/>
        <w:t>المبحث الثاني:</w:t>
      </w:r>
    </w:p>
    <w:p w14:paraId="3B0C5B93" w14:textId="77777777" w:rsidR="00017DFE" w:rsidRPr="00001A51" w:rsidRDefault="00017DFE" w:rsidP="00017DFE">
      <w:pPr>
        <w:spacing w:after="0" w:line="360" w:lineRule="auto"/>
        <w:jc w:val="center"/>
        <w:rPr>
          <w:rFonts w:ascii="Arabic Transparent" w:hAnsi="Arabic Transparent" w:cs="Arabic Transparent"/>
          <w:b/>
          <w:bCs/>
          <w:sz w:val="32"/>
          <w:szCs w:val="32"/>
          <w:rtl/>
          <w:lang w:bidi="ar-JO"/>
        </w:rPr>
      </w:pPr>
      <w:r w:rsidRPr="00001A51">
        <w:rPr>
          <w:rFonts w:ascii="Arabic Transparent" w:hAnsi="Arabic Transparent" w:cs="Arabic Transparent"/>
          <w:b/>
          <w:bCs/>
          <w:sz w:val="32"/>
          <w:szCs w:val="32"/>
          <w:rtl/>
          <w:lang w:bidi="ar-JO"/>
        </w:rPr>
        <w:t>مشروعية التَّفاوت وبيان أركانه وشروطه</w:t>
      </w:r>
    </w:p>
    <w:p w14:paraId="6421E201" w14:textId="5C3B814C" w:rsidR="00017DFE" w:rsidRPr="00001A51" w:rsidRDefault="005D7B91" w:rsidP="00017DFE">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b/>
          <w:bCs/>
          <w:sz w:val="28"/>
          <w:szCs w:val="28"/>
          <w:rtl/>
          <w:lang w:bidi="ar-JO"/>
        </w:rPr>
        <w:t xml:space="preserve">     </w:t>
      </w:r>
      <w:r w:rsidR="00017DFE" w:rsidRPr="00001A51">
        <w:rPr>
          <w:rFonts w:ascii="Arabic Transparent" w:hAnsi="Arabic Transparent" w:cs="Arabic Transparent"/>
          <w:b/>
          <w:bCs/>
          <w:sz w:val="28"/>
          <w:szCs w:val="28"/>
          <w:rtl/>
          <w:lang w:bidi="ar-JO"/>
        </w:rPr>
        <w:t xml:space="preserve"> </w:t>
      </w:r>
      <w:r w:rsidR="00017DFE" w:rsidRPr="00001A51">
        <w:rPr>
          <w:rFonts w:ascii="Arabic Transparent" w:hAnsi="Arabic Transparent" w:cs="Arabic Transparent"/>
          <w:sz w:val="28"/>
          <w:szCs w:val="28"/>
          <w:rtl/>
          <w:lang w:bidi="ar-JO"/>
        </w:rPr>
        <w:t>الناظر في الآيات القرآنية والأحاديث النبوية الشريفة والآثار الفقهية، يدرك مدى أهمية التدرج في مستوى التفاوت، الذي يشير إلى مرونة التشريع الإسلامي ولا سيما في مراعاة الوقائع المتجددة، والوقائع المتغيرة التي تتعلق بالمعاملات المالية المعاصرة، مما يجعل المجتهد يدرك أن التفاوت ليس خروجاً عن مقتضى الدليل، بل هو مظهر من مظاهر سعة الشريعة الإسلامية ومرونتها في التطبيق ضمن جملة من الأركان والشروط التي تحدد من خلالها معالم التفاوت المعتبر في الجانب الأصولي.</w:t>
      </w:r>
    </w:p>
    <w:p w14:paraId="02E824C5" w14:textId="77777777" w:rsidR="00017DFE" w:rsidRPr="00001A51" w:rsidRDefault="00017DFE" w:rsidP="00017DFE">
      <w:pPr>
        <w:spacing w:after="0" w:line="360" w:lineRule="auto"/>
        <w:jc w:val="both"/>
        <w:rPr>
          <w:rFonts w:ascii="Arabic Transparent" w:hAnsi="Arabic Transparent" w:cs="Arabic Transparent"/>
          <w:b/>
          <w:bCs/>
          <w:sz w:val="32"/>
          <w:szCs w:val="32"/>
          <w:rtl/>
          <w:lang w:bidi="ar-JO"/>
        </w:rPr>
      </w:pPr>
      <w:r w:rsidRPr="00001A51">
        <w:rPr>
          <w:rFonts w:ascii="Arabic Transparent" w:hAnsi="Arabic Transparent" w:cs="Arabic Transparent"/>
          <w:b/>
          <w:bCs/>
          <w:sz w:val="32"/>
          <w:szCs w:val="32"/>
          <w:rtl/>
          <w:lang w:bidi="ar-JO"/>
        </w:rPr>
        <w:t xml:space="preserve">المطلب الأول: مشروعية التفاوت وأنواعه </w:t>
      </w:r>
    </w:p>
    <w:p w14:paraId="1ED75C54" w14:textId="24E6B454" w:rsidR="00017DFE" w:rsidRPr="00001A51" w:rsidRDefault="005D7B91" w:rsidP="00017DFE">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017DFE" w:rsidRPr="00001A51">
        <w:rPr>
          <w:rFonts w:ascii="Arabic Transparent" w:hAnsi="Arabic Transparent" w:cs="Arabic Transparent"/>
          <w:sz w:val="28"/>
          <w:szCs w:val="28"/>
          <w:rtl/>
          <w:lang w:bidi="ar-JO"/>
        </w:rPr>
        <w:t xml:space="preserve">بالنظر إلى الأدلة الشرعية، لا يوجد دليل مباشر على مشروعية التفاوت، ولكن الأدلة الشرعية قد ورد بها التفاوت استعمالاً على سبيل التدرّج، أو التأكيد، أو إقرار حكم شرعي متعلق به، وهي موجودة في الكتاب والسنة والإجماع كما يأتي: </w:t>
      </w:r>
    </w:p>
    <w:p w14:paraId="46FDD64A" w14:textId="77777777" w:rsidR="00017DFE" w:rsidRPr="00001A51" w:rsidRDefault="00017DFE" w:rsidP="00017DFE">
      <w:pPr>
        <w:spacing w:after="0" w:line="360" w:lineRule="auto"/>
        <w:jc w:val="both"/>
        <w:rPr>
          <w:rFonts w:ascii="Arabic Transparent" w:hAnsi="Arabic Transparent" w:cs="Arabic Transparent"/>
          <w:b/>
          <w:bCs/>
          <w:sz w:val="32"/>
          <w:szCs w:val="32"/>
          <w:rtl/>
          <w:lang w:bidi="ar-JO"/>
        </w:rPr>
      </w:pPr>
      <w:r w:rsidRPr="00001A51">
        <w:rPr>
          <w:rFonts w:ascii="Arabic Transparent" w:hAnsi="Arabic Transparent" w:cs="Arabic Transparent"/>
          <w:b/>
          <w:bCs/>
          <w:sz w:val="32"/>
          <w:szCs w:val="32"/>
          <w:rtl/>
          <w:lang w:bidi="ar-JO"/>
        </w:rPr>
        <w:t xml:space="preserve">الفرع الأول: مشروعية التفاوت: </w:t>
      </w:r>
    </w:p>
    <w:p w14:paraId="1312A236" w14:textId="77777777" w:rsidR="00017DFE" w:rsidRPr="00001A51" w:rsidRDefault="00017DFE" w:rsidP="00017DFE">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أولاً: القرآن الكريم.</w:t>
      </w:r>
    </w:p>
    <w:p w14:paraId="4CE5B67A" w14:textId="23904A41" w:rsidR="00017DFE" w:rsidRPr="00001A51" w:rsidRDefault="00017DFE" w:rsidP="00017DFE">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القسم الأول</w:t>
      </w:r>
      <w:r w:rsidR="005D7B91" w:rsidRPr="00001A51">
        <w:rPr>
          <w:rFonts w:ascii="Arabic Transparent" w:hAnsi="Arabic Transparent" w:cs="Arabic Transparent"/>
          <w:b/>
          <w:bCs/>
          <w:sz w:val="28"/>
          <w:szCs w:val="28"/>
          <w:rtl/>
          <w:lang w:bidi="ar-JO"/>
        </w:rPr>
        <w:t xml:space="preserve">: </w:t>
      </w:r>
      <w:r w:rsidRPr="00001A51">
        <w:rPr>
          <w:rFonts w:ascii="Arabic Transparent" w:hAnsi="Arabic Transparent" w:cs="Arabic Transparent"/>
          <w:b/>
          <w:bCs/>
          <w:sz w:val="28"/>
          <w:szCs w:val="28"/>
          <w:rtl/>
          <w:lang w:bidi="ar-JO"/>
        </w:rPr>
        <w:t xml:space="preserve">الأدلة من القرآن الكريم على التفاوت المؤثر: </w:t>
      </w:r>
    </w:p>
    <w:p w14:paraId="7E5A3D59" w14:textId="6756AF37" w:rsidR="00017DFE" w:rsidRPr="00001A51" w:rsidRDefault="00017DFE" w:rsidP="007E23E6">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1- يقول تعالى في محكم التنزيل: </w:t>
      </w:r>
      <w:r w:rsidRPr="00001A51">
        <w:rPr>
          <w:rFonts w:ascii="KFGQPC HAFS Uthmanic Script" w:hAnsi="Times New Roman" w:cs="KFGQPC HAFS Uthmanic Script"/>
          <w:color w:val="000000"/>
          <w:sz w:val="28"/>
          <w:szCs w:val="28"/>
          <w:rtl/>
        </w:rPr>
        <w:t xml:space="preserve">ﵟ إِن </w:t>
      </w:r>
      <w:r w:rsidRPr="00001A51">
        <w:rPr>
          <w:rFonts w:ascii="KFGQPC HAFS Uthmanic Script" w:hAnsi="Times New Roman" w:cs="KFGQPC HAFS Uthmanic Script"/>
          <w:color w:val="000000"/>
          <w:sz w:val="28"/>
          <w:szCs w:val="28"/>
          <w:u w:val="single"/>
          <w:rtl/>
        </w:rPr>
        <w:t>تُبۡدُواْ</w:t>
      </w:r>
      <w:r w:rsidRPr="00001A51">
        <w:rPr>
          <w:rFonts w:ascii="KFGQPC HAFS Uthmanic Script" w:hAnsi="Times New Roman" w:cs="KFGQPC HAFS Uthmanic Script"/>
          <w:color w:val="000000"/>
          <w:sz w:val="28"/>
          <w:szCs w:val="28"/>
          <w:rtl/>
        </w:rPr>
        <w:t xml:space="preserve"> ٱلصَّدَقَٰتِ فَنِعِمَّا هِيَۖ وَإِن </w:t>
      </w:r>
      <w:r w:rsidRPr="00001A51">
        <w:rPr>
          <w:rFonts w:ascii="KFGQPC HAFS Uthmanic Script" w:hAnsi="Times New Roman" w:cs="KFGQPC HAFS Uthmanic Script"/>
          <w:color w:val="000000"/>
          <w:sz w:val="28"/>
          <w:szCs w:val="28"/>
          <w:u w:val="single"/>
          <w:rtl/>
        </w:rPr>
        <w:t xml:space="preserve">تُخۡفُوهَا </w:t>
      </w:r>
      <w:r w:rsidRPr="00001A51">
        <w:rPr>
          <w:rFonts w:ascii="KFGQPC HAFS Uthmanic Script" w:hAnsi="Times New Roman" w:cs="KFGQPC HAFS Uthmanic Script"/>
          <w:color w:val="000000"/>
          <w:sz w:val="28"/>
          <w:szCs w:val="28"/>
          <w:rtl/>
        </w:rPr>
        <w:t>وَتُؤۡتُوهَا ٱلۡفُقَرَآءَ فَهُوَ خَيۡرٞ لَّكُمۡۚ</w:t>
      </w:r>
      <w:r w:rsidRPr="00001A51">
        <w:rPr>
          <w:rFonts w:ascii="KFGQPC HAFS Uthmanic Script" w:hAnsi="Times New Roman" w:cs="Cambria"/>
          <w:color w:val="000000"/>
          <w:sz w:val="28"/>
          <w:szCs w:val="28"/>
          <w:rtl/>
        </w:rPr>
        <w:t>..</w:t>
      </w:r>
      <w:r w:rsidRPr="00001A51">
        <w:rPr>
          <w:rFonts w:ascii="KFGQPC HAFS Uthmanic Script" w:hAnsi="Times New Roman" w:cs="KFGQPC HAFS Uthmanic Script"/>
          <w:color w:val="000000"/>
          <w:sz w:val="28"/>
          <w:szCs w:val="28"/>
          <w:rtl/>
        </w:rPr>
        <w:t>٢٧١ﵞ ﵝالبَقَرَةِ</w:t>
      </w:r>
      <w:r w:rsidR="005D7B91" w:rsidRPr="00001A51">
        <w:rPr>
          <w:rFonts w:ascii="KFGQPC HAFS Uthmanic Script" w:hAnsi="Times New Roman" w:cs="KFGQPC HAFS Uthmanic Script"/>
          <w:color w:val="000000"/>
          <w:sz w:val="28"/>
          <w:szCs w:val="28"/>
          <w:rtl/>
        </w:rPr>
        <w:t xml:space="preserve">: </w:t>
      </w:r>
      <w:r w:rsidRPr="00001A51">
        <w:rPr>
          <w:rFonts w:ascii="KFGQPC HAFS Uthmanic Script" w:hAnsi="Times New Roman" w:cs="KFGQPC HAFS Uthmanic Script"/>
          <w:color w:val="000000"/>
          <w:sz w:val="28"/>
          <w:szCs w:val="28"/>
          <w:rtl/>
        </w:rPr>
        <w:t>ﵑﵗﵒﵜ</w:t>
      </w:r>
      <w:r w:rsidRPr="00001A51">
        <w:rPr>
          <w:rFonts w:ascii="Arabic Transparent" w:hAnsi="Arabic Transparent" w:cs="Arabic Transparent"/>
          <w:sz w:val="28"/>
          <w:szCs w:val="28"/>
          <w:rtl/>
          <w:lang w:bidi="ar-JO"/>
        </w:rPr>
        <w:t xml:space="preserve">، </w:t>
      </w:r>
      <w:r w:rsidRPr="00001A51">
        <w:rPr>
          <w:rFonts w:ascii="Arabic Transparent" w:hAnsi="Arabic Transparent" w:cs="Arabic Transparent"/>
          <w:b/>
          <w:bCs/>
          <w:sz w:val="28"/>
          <w:szCs w:val="28"/>
          <w:rtl/>
          <w:lang w:bidi="ar-JO"/>
        </w:rPr>
        <w:t>وجه الدلالة:</w:t>
      </w:r>
      <w:r w:rsidRPr="00001A51">
        <w:rPr>
          <w:rFonts w:ascii="Arabic Transparent" w:hAnsi="Arabic Transparent" w:cs="Arabic Transparent"/>
          <w:sz w:val="28"/>
          <w:szCs w:val="28"/>
          <w:rtl/>
          <w:lang w:bidi="ar-JO"/>
        </w:rPr>
        <w:t xml:space="preserve"> تتحدث الآية الكريمة عن صدقة التطوع حيث يقول طبري:</w:t>
      </w:r>
      <w:r w:rsidR="00151AED" w:rsidRPr="00001A51">
        <w:rPr>
          <w:rFonts w:ascii="Arabic Transparent" w:hAnsi="Arabic Transparent" w:cs="Arabic Transparent"/>
          <w:sz w:val="28"/>
          <w:szCs w:val="28"/>
          <w:rtl/>
          <w:lang w:bidi="ar-JO"/>
        </w:rPr>
        <w:t xml:space="preserve"> "</w:t>
      </w:r>
      <w:r w:rsidRPr="00001A51">
        <w:rPr>
          <w:rFonts w:ascii="Arabic Transparent" w:hAnsi="Arabic Transparent" w:cs="Arabic Transparent"/>
          <w:sz w:val="28"/>
          <w:szCs w:val="28"/>
          <w:rtl/>
          <w:lang w:bidi="ar-JO"/>
        </w:rPr>
        <w:t>إِن تعلِنوا الصدقات، فتُعطوها من تصدَّقتم بها عليه، تقبل، وإخفاؤُكم إيَّاها خيرٌ لكم من إعلانها، "وذلك في صدقة التطوّع"، كلّ مقبولٌ إذا كانت النية صادقة، وصدقة السر أفضل"</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232"/>
      </w:r>
      <w:r w:rsidRPr="00001A51">
        <w:rPr>
          <w:rFonts w:ascii="Arabic Transparent" w:hAnsi="Arabic Transparent" w:cs="Arabic Transparent"/>
          <w:sz w:val="28"/>
          <w:szCs w:val="28"/>
          <w:vertAlign w:val="superscript"/>
          <w:rtl/>
          <w:lang w:bidi="ar-JO"/>
        </w:rPr>
        <w:t xml:space="preserve">) </w:t>
      </w:r>
      <w:r w:rsidRPr="00001A51">
        <w:rPr>
          <w:rFonts w:ascii="Arabic Transparent" w:hAnsi="Arabic Transparent" w:cs="Arabic Transparent"/>
          <w:sz w:val="28"/>
          <w:szCs w:val="28"/>
          <w:rtl/>
          <w:lang w:bidi="ar-JO"/>
        </w:rPr>
        <w:t>ويظهر هنا أن العمل في جنسه واحد ألا وهو صدقة التطوع، إلا أن الأجر يتفاوت بين صدقة العلانية والسر، فصدقة السر الأعظم أجراً عند الله، والتفاوت في صفة أداء الصدقة مقصود ومعتبرة شرعاً؛ لذا كان التفاوت معتبراً جرياً على عادة المشرِّع الحكيم.</w:t>
      </w:r>
      <w:r w:rsidRPr="00001A51">
        <w:rPr>
          <w:rFonts w:ascii="Arabic Transparent" w:hAnsi="Arabic Transparent" w:cs="Arabic Transparent"/>
          <w:sz w:val="28"/>
          <w:szCs w:val="28"/>
          <w:rtl/>
          <w:lang w:bidi="ar-JO"/>
        </w:rPr>
        <w:br w:type="page"/>
      </w:r>
    </w:p>
    <w:p w14:paraId="6F94E41C" w14:textId="044F89DD" w:rsidR="00017DFE" w:rsidRPr="00001A51" w:rsidRDefault="00017DFE" w:rsidP="00017DFE">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2- </w:t>
      </w:r>
      <w:r w:rsidRPr="00001A51">
        <w:rPr>
          <w:rFonts w:ascii="KFGQPC HAFS Uthmanic Script" w:hAnsi="Times New Roman" w:cs="KFGQPC HAFS Uthmanic Script"/>
          <w:color w:val="000000"/>
          <w:sz w:val="28"/>
          <w:szCs w:val="28"/>
          <w:rtl/>
        </w:rPr>
        <w:t>يقول تعالى</w:t>
      </w:r>
      <w:r w:rsidRPr="00001A51">
        <w:rPr>
          <w:rFonts w:ascii="KFGQPC HAFS Uthmanic Script" w:hAnsi="Times New Roman" w:cs="Cambria"/>
          <w:color w:val="000000"/>
          <w:sz w:val="28"/>
          <w:szCs w:val="28"/>
          <w:rtl/>
        </w:rPr>
        <w:t xml:space="preserve">: </w:t>
      </w:r>
      <w:r w:rsidRPr="00001A51">
        <w:rPr>
          <w:rFonts w:ascii="KFGQPC HAFS Uthmanic Script" w:hAnsi="Times New Roman" w:cs="KFGQPC HAFS Uthmanic Script"/>
          <w:color w:val="000000"/>
          <w:sz w:val="28"/>
          <w:szCs w:val="28"/>
          <w:rtl/>
        </w:rPr>
        <w:t xml:space="preserve">ﵟ وَإِن كَانَ ذُو </w:t>
      </w:r>
      <w:r w:rsidRPr="00001A51">
        <w:rPr>
          <w:rFonts w:ascii="KFGQPC HAFS Uthmanic Script" w:hAnsi="Times New Roman" w:cs="KFGQPC HAFS Uthmanic Script"/>
          <w:color w:val="000000"/>
          <w:sz w:val="28"/>
          <w:szCs w:val="28"/>
          <w:u w:val="single"/>
          <w:rtl/>
        </w:rPr>
        <w:t xml:space="preserve">عُسۡرَةٖ </w:t>
      </w:r>
      <w:r w:rsidRPr="00001A51">
        <w:rPr>
          <w:rFonts w:ascii="KFGQPC HAFS Uthmanic Script" w:hAnsi="Times New Roman" w:cs="KFGQPC HAFS Uthmanic Script"/>
          <w:color w:val="000000"/>
          <w:sz w:val="28"/>
          <w:szCs w:val="28"/>
          <w:rtl/>
        </w:rPr>
        <w:t xml:space="preserve">فَنَظِرَةٌ إِلَىٰ </w:t>
      </w:r>
      <w:r w:rsidRPr="00001A51">
        <w:rPr>
          <w:rFonts w:ascii="KFGQPC HAFS Uthmanic Script" w:hAnsi="Times New Roman" w:cs="KFGQPC HAFS Uthmanic Script"/>
          <w:color w:val="000000"/>
          <w:sz w:val="28"/>
          <w:szCs w:val="28"/>
          <w:u w:val="single"/>
          <w:rtl/>
        </w:rPr>
        <w:t>مَيۡسَرَةٖۚ</w:t>
      </w:r>
      <w:r w:rsidRPr="00001A51">
        <w:rPr>
          <w:rFonts w:ascii="KFGQPC HAFS Uthmanic Script" w:hAnsi="Times New Roman" w:cs="KFGQPC HAFS Uthmanic Script"/>
          <w:color w:val="000000"/>
          <w:sz w:val="28"/>
          <w:szCs w:val="28"/>
          <w:rtl/>
        </w:rPr>
        <w:t xml:space="preserve"> وَأَن تَصَدَّقُواْ خَيۡرٞ لَّكُمۡ إِن كُنتُمۡ تَعۡلَمُونَ ٢٨٠ﵞ ﵝالبَقَرَةِ</w:t>
      </w:r>
      <w:r w:rsidR="005D7B91" w:rsidRPr="00001A51">
        <w:rPr>
          <w:rFonts w:ascii="KFGQPC HAFS Uthmanic Script" w:hAnsi="Times New Roman" w:cs="KFGQPC HAFS Uthmanic Script"/>
          <w:color w:val="000000"/>
          <w:sz w:val="28"/>
          <w:szCs w:val="28"/>
          <w:rtl/>
        </w:rPr>
        <w:t xml:space="preserve">: </w:t>
      </w:r>
      <w:r w:rsidRPr="00001A51">
        <w:rPr>
          <w:rFonts w:ascii="KFGQPC HAFS Uthmanic Script" w:hAnsi="Times New Roman" w:cs="KFGQPC HAFS Uthmanic Script"/>
          <w:color w:val="000000"/>
          <w:sz w:val="28"/>
          <w:szCs w:val="28"/>
          <w:rtl/>
        </w:rPr>
        <w:t>ﵐﵘﵒﵜ</w:t>
      </w:r>
      <w:r w:rsidRPr="00001A51">
        <w:rPr>
          <w:rFonts w:ascii="Arabic Transparent" w:hAnsi="Arabic Transparent" w:cs="Arabic Transparent"/>
          <w:sz w:val="28"/>
          <w:szCs w:val="28"/>
          <w:rtl/>
          <w:lang w:bidi="ar-JO"/>
        </w:rPr>
        <w:t xml:space="preserve"> </w:t>
      </w:r>
      <w:r w:rsidRPr="00001A51">
        <w:rPr>
          <w:rFonts w:ascii="Arabic Transparent" w:hAnsi="Arabic Transparent" w:cs="Arabic Transparent"/>
          <w:b/>
          <w:bCs/>
          <w:sz w:val="28"/>
          <w:szCs w:val="28"/>
          <w:rtl/>
          <w:lang w:bidi="ar-JO"/>
        </w:rPr>
        <w:t>وجه الدلالة:</w:t>
      </w:r>
      <w:r w:rsidRPr="00001A51">
        <w:rPr>
          <w:rFonts w:ascii="Arabic Transparent" w:hAnsi="Arabic Transparent" w:cs="Arabic Transparent"/>
          <w:sz w:val="28"/>
          <w:szCs w:val="28"/>
          <w:rtl/>
          <w:lang w:bidi="ar-JO"/>
        </w:rPr>
        <w:t xml:space="preserve"> الآية الكريمة تبين التفاوت بين ذي العسرة الذي لا يجد مالاً فيمهل إلى</w:t>
      </w:r>
      <w:r w:rsidRPr="00001A51">
        <w:rPr>
          <w:rFonts w:ascii="Arabic Transparent" w:hAnsi="Arabic Transparent" w:cs="Arabic Transparent" w:hint="cs"/>
          <w:sz w:val="28"/>
          <w:szCs w:val="28"/>
          <w:rtl/>
          <w:lang w:bidi="ar-JO"/>
        </w:rPr>
        <w:t xml:space="preserve"> </w:t>
      </w:r>
      <w:r w:rsidRPr="00001A51">
        <w:rPr>
          <w:rFonts w:ascii="Arabic Transparent" w:hAnsi="Arabic Transparent" w:cs="Arabic Transparent"/>
          <w:sz w:val="28"/>
          <w:szCs w:val="28"/>
          <w:rtl/>
          <w:lang w:bidi="ar-JO"/>
        </w:rPr>
        <w:t>السعة، وأما ذو السعة فتثبت المطالبة في حقه حالاً، قَالَ الطَّحَاوِيُّ:</w:t>
      </w:r>
      <w:r w:rsidR="00151AED" w:rsidRPr="00001A51">
        <w:rPr>
          <w:rFonts w:ascii="Arabic Transparent" w:hAnsi="Arabic Transparent" w:cs="Arabic Transparent"/>
          <w:sz w:val="28"/>
          <w:szCs w:val="28"/>
          <w:rtl/>
          <w:lang w:bidi="ar-JO"/>
        </w:rPr>
        <w:t xml:space="preserve"> "</w:t>
      </w:r>
      <w:r w:rsidRPr="00001A51">
        <w:rPr>
          <w:rFonts w:ascii="Arabic Transparent" w:hAnsi="Arabic Transparent" w:cs="Arabic Transparent"/>
          <w:sz w:val="28"/>
          <w:szCs w:val="28"/>
          <w:rtl/>
          <w:lang w:bidi="ar-JO"/>
        </w:rPr>
        <w:t xml:space="preserve">‌كان ‌الحر ‌يباع ‌في ‌الدين ‌أول الإسلام إذا لم يكن له مال يقضيه عن نفسه حتى نسخ الله ذلك بهذه الآية" </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233"/>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حيث قال القرطبي: "لما حكم عز وجل لأرباب الربا برؤوس أموالهم عند الواجدين للمال، حكم في ذي العسرة بالنظرة إلى حال الميسرة، ويدل على أنّ الغريم (الموسر) متى امتنعَ من أداء الدَين مع الإمكان كان ظالما"</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234"/>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w:t>
      </w:r>
    </w:p>
    <w:p w14:paraId="3DFFECE6" w14:textId="1B43F34E" w:rsidR="00017DFE" w:rsidRPr="00001A51" w:rsidRDefault="00017DFE" w:rsidP="00017DFE">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3- يقول تعالى: </w:t>
      </w:r>
      <w:r w:rsidRPr="00001A51">
        <w:rPr>
          <w:rFonts w:ascii="KFGQPC HAFS Uthmanic Script" w:hAnsi="Times New Roman" w:cs="KFGQPC HAFS Uthmanic Script"/>
          <w:color w:val="000000"/>
          <w:sz w:val="28"/>
          <w:szCs w:val="28"/>
          <w:rtl/>
        </w:rPr>
        <w:t xml:space="preserve">ﵟ لِيُنفِقۡ </w:t>
      </w:r>
      <w:r w:rsidRPr="00001A51">
        <w:rPr>
          <w:rFonts w:ascii="KFGQPC HAFS Uthmanic Script" w:hAnsi="Times New Roman" w:cs="KFGQPC HAFS Uthmanic Script"/>
          <w:color w:val="000000"/>
          <w:sz w:val="28"/>
          <w:szCs w:val="28"/>
          <w:u w:val="single"/>
          <w:rtl/>
        </w:rPr>
        <w:t>ذُو سَعَةٖ</w:t>
      </w:r>
      <w:r w:rsidRPr="00001A51">
        <w:rPr>
          <w:rFonts w:ascii="KFGQPC HAFS Uthmanic Script" w:hAnsi="Times New Roman" w:cs="KFGQPC HAFS Uthmanic Script"/>
          <w:color w:val="000000"/>
          <w:sz w:val="28"/>
          <w:szCs w:val="28"/>
          <w:rtl/>
        </w:rPr>
        <w:t xml:space="preserve"> مِّن سَعَتِهِۦۖ وَمَن </w:t>
      </w:r>
      <w:r w:rsidRPr="00001A51">
        <w:rPr>
          <w:rFonts w:ascii="KFGQPC HAFS Uthmanic Script" w:hAnsi="Times New Roman" w:cs="KFGQPC HAFS Uthmanic Script"/>
          <w:color w:val="000000"/>
          <w:sz w:val="28"/>
          <w:szCs w:val="28"/>
          <w:u w:val="single"/>
          <w:rtl/>
        </w:rPr>
        <w:t>قُدِرَ عَلَيۡهِ</w:t>
      </w:r>
      <w:r w:rsidRPr="00001A51">
        <w:rPr>
          <w:rFonts w:ascii="KFGQPC HAFS Uthmanic Script" w:hAnsi="Times New Roman" w:cs="KFGQPC HAFS Uthmanic Script"/>
          <w:color w:val="000000"/>
          <w:sz w:val="28"/>
          <w:szCs w:val="28"/>
          <w:rtl/>
        </w:rPr>
        <w:t xml:space="preserve"> رِزۡقُهُۥ فَلۡيُنفِقۡ مِمَّآ ءَاتَىٰهُ ٱللَّهُۚ لَا يُكَلِّفُ ٱللَّهُ نَفۡسًا إِلَّا مَآ ءَاتَىٰهَاۚ</w:t>
      </w:r>
      <w:r w:rsidRPr="00001A51">
        <w:rPr>
          <w:rFonts w:ascii="KFGQPC HAFS Uthmanic Script" w:hAnsi="Times New Roman" w:cs="Cambria"/>
          <w:color w:val="000000"/>
          <w:sz w:val="28"/>
          <w:szCs w:val="28"/>
          <w:rtl/>
        </w:rPr>
        <w:t>...</w:t>
      </w:r>
      <w:r w:rsidRPr="00001A51">
        <w:rPr>
          <w:rFonts w:ascii="KFGQPC HAFS Uthmanic Script" w:hAnsi="Times New Roman" w:cs="KFGQPC HAFS Uthmanic Script"/>
          <w:color w:val="000000"/>
          <w:sz w:val="28"/>
          <w:szCs w:val="28"/>
          <w:rtl/>
        </w:rPr>
        <w:t>٧ﵞ ﵝالطَّلَاق</w:t>
      </w:r>
      <w:r w:rsidR="005D7B91" w:rsidRPr="00001A51">
        <w:rPr>
          <w:rFonts w:ascii="KFGQPC HAFS Uthmanic Script" w:hAnsi="Times New Roman" w:cs="KFGQPC HAFS Uthmanic Script"/>
          <w:color w:val="000000"/>
          <w:sz w:val="28"/>
          <w:szCs w:val="28"/>
          <w:rtl/>
        </w:rPr>
        <w:t xml:space="preserve">: </w:t>
      </w:r>
      <w:r w:rsidRPr="00001A51">
        <w:rPr>
          <w:rFonts w:ascii="KFGQPC HAFS Uthmanic Script" w:hAnsi="Times New Roman" w:cs="KFGQPC HAFS Uthmanic Script"/>
          <w:color w:val="000000"/>
          <w:sz w:val="28"/>
          <w:szCs w:val="28"/>
          <w:rtl/>
        </w:rPr>
        <w:t>ﵗﵜ</w:t>
      </w:r>
      <w:r w:rsidRPr="00001A51">
        <w:rPr>
          <w:rFonts w:ascii="Arabic Transparent" w:hAnsi="Arabic Transparent" w:cs="Arabic Transparent"/>
          <w:sz w:val="28"/>
          <w:szCs w:val="28"/>
          <w:rtl/>
          <w:lang w:bidi="ar-JO"/>
        </w:rPr>
        <w:t xml:space="preserve"> </w:t>
      </w:r>
      <w:r w:rsidRPr="00001A51">
        <w:rPr>
          <w:rFonts w:ascii="Arabic Transparent" w:hAnsi="Arabic Transparent" w:cs="Arabic Transparent"/>
          <w:b/>
          <w:bCs/>
          <w:sz w:val="28"/>
          <w:szCs w:val="28"/>
          <w:rtl/>
          <w:lang w:bidi="ar-JO"/>
        </w:rPr>
        <w:t>وجه الدلالة:</w:t>
      </w:r>
      <w:r w:rsidRPr="00001A51">
        <w:rPr>
          <w:rFonts w:ascii="Arabic Transparent" w:hAnsi="Arabic Transparent" w:cs="Arabic Transparent"/>
          <w:sz w:val="28"/>
          <w:szCs w:val="28"/>
          <w:rtl/>
          <w:lang w:bidi="ar-JO"/>
        </w:rPr>
        <w:t xml:space="preserve"> أن التفاوت مقصود ومؤثر في الحكم بين الموسر والمقتر، حيث يقول الشافعي:</w:t>
      </w:r>
      <w:r w:rsidR="00151AED" w:rsidRPr="00001A51">
        <w:rPr>
          <w:rFonts w:ascii="Arabic Transparent" w:hAnsi="Arabic Transparent" w:cs="Arabic Transparent"/>
          <w:sz w:val="28"/>
          <w:szCs w:val="28"/>
          <w:rtl/>
          <w:lang w:bidi="ar-JO"/>
        </w:rPr>
        <w:t xml:space="preserve"> "</w:t>
      </w:r>
      <w:r w:rsidRPr="00001A51">
        <w:rPr>
          <w:rFonts w:ascii="Arabic Transparent" w:hAnsi="Arabic Transparent" w:cs="Arabic Transparent"/>
          <w:sz w:val="28"/>
          <w:szCs w:val="28"/>
          <w:rtl/>
          <w:lang w:bidi="ar-JO"/>
        </w:rPr>
        <w:t>النفقة نفقتان: نفقة الموسر ونفقة المقتر، وأقل ما يلزم المقتر من نفقة امرأته بالمعروف ببلدهما، فإن كان المعروف أن الأغلب من نظرائها لا تكون إلا مخدومة، عالها وخادماً لها واحداً لا يزيد عليه.."</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235"/>
      </w:r>
      <w:r w:rsidRPr="00001A51">
        <w:rPr>
          <w:rFonts w:ascii="Arabic Transparent" w:hAnsi="Arabic Transparent" w:cs="Arabic Transparent"/>
          <w:sz w:val="28"/>
          <w:szCs w:val="28"/>
          <w:vertAlign w:val="superscript"/>
          <w:rtl/>
          <w:lang w:bidi="ar-JO"/>
        </w:rPr>
        <w:t>)</w:t>
      </w:r>
    </w:p>
    <w:p w14:paraId="1E300E98" w14:textId="77777777" w:rsidR="00017DFE" w:rsidRPr="00001A51" w:rsidRDefault="00017DFE" w:rsidP="00017DFE">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b/>
          <w:bCs/>
          <w:sz w:val="28"/>
          <w:szCs w:val="28"/>
          <w:rtl/>
          <w:lang w:bidi="ar-JO"/>
        </w:rPr>
        <w:t>القسم الثاني: التفاوت الأدلة من القرآن الكريم على التفاوت غير المؤثر:</w:t>
      </w:r>
    </w:p>
    <w:p w14:paraId="366FC863" w14:textId="77777777" w:rsidR="002C32B4" w:rsidRPr="00001A51" w:rsidRDefault="00017DFE" w:rsidP="002C32B4">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1-يقول تعالى: </w:t>
      </w:r>
      <w:r w:rsidRPr="00001A51">
        <w:rPr>
          <w:rFonts w:ascii="KFGQPC HAFS Uthmanic Script" w:hAnsi="Times New Roman" w:cs="KFGQPC HAFS Uthmanic Script"/>
          <w:color w:val="000000"/>
          <w:sz w:val="28"/>
          <w:szCs w:val="28"/>
          <w:rtl/>
        </w:rPr>
        <w:t>ﵟ يَٰٓأَيُّهَا ٱلَّذِينَ ءَامَنُوٓاْ إِذَا تَدَايَنتُم بِدَيۡنٍ إِلَىٰٓ أَجَلٖ مُّسَمّٗى فَٱكۡتُبُوهُۚ</w:t>
      </w:r>
      <w:r w:rsidRPr="00001A51">
        <w:rPr>
          <w:rFonts w:ascii="KFGQPC HAFS Uthmanic Script" w:hAnsi="Times New Roman" w:cs="Cambria"/>
          <w:color w:val="000000"/>
          <w:sz w:val="28"/>
          <w:szCs w:val="28"/>
          <w:rtl/>
        </w:rPr>
        <w:t>....</w:t>
      </w:r>
      <w:r w:rsidRPr="00001A51">
        <w:rPr>
          <w:rFonts w:ascii="KFGQPC HAFS Uthmanic Script" w:hAnsi="Times New Roman" w:cs="KFGQPC HAFS Uthmanic Script"/>
          <w:color w:val="000000"/>
          <w:sz w:val="28"/>
          <w:szCs w:val="28"/>
          <w:rtl/>
        </w:rPr>
        <w:t xml:space="preserve">وَلَا تَسۡـَٔمُوٓاْ أَن تَكۡتُبُوهُ </w:t>
      </w:r>
      <w:r w:rsidRPr="00001A51">
        <w:rPr>
          <w:rFonts w:ascii="KFGQPC HAFS Uthmanic Script" w:hAnsi="Times New Roman" w:cs="KFGQPC HAFS Uthmanic Script"/>
          <w:color w:val="000000"/>
          <w:sz w:val="28"/>
          <w:szCs w:val="28"/>
          <w:u w:val="single"/>
          <w:rtl/>
        </w:rPr>
        <w:t>صَغِيرًا</w:t>
      </w:r>
      <w:r w:rsidRPr="00001A51">
        <w:rPr>
          <w:rFonts w:ascii="KFGQPC HAFS Uthmanic Script" w:hAnsi="Times New Roman" w:cs="KFGQPC HAFS Uthmanic Script"/>
          <w:color w:val="000000"/>
          <w:sz w:val="28"/>
          <w:szCs w:val="28"/>
          <w:rtl/>
        </w:rPr>
        <w:t xml:space="preserve"> أَوۡ </w:t>
      </w:r>
      <w:r w:rsidRPr="00001A51">
        <w:rPr>
          <w:rFonts w:ascii="KFGQPC HAFS Uthmanic Script" w:hAnsi="Times New Roman" w:cs="KFGQPC HAFS Uthmanic Script"/>
          <w:color w:val="000000"/>
          <w:sz w:val="28"/>
          <w:szCs w:val="28"/>
          <w:u w:val="single"/>
          <w:rtl/>
        </w:rPr>
        <w:t xml:space="preserve">كَبِيرًا </w:t>
      </w:r>
      <w:r w:rsidRPr="00001A51">
        <w:rPr>
          <w:rFonts w:ascii="KFGQPC HAFS Uthmanic Script" w:hAnsi="Times New Roman" w:cs="KFGQPC HAFS Uthmanic Script"/>
          <w:color w:val="000000"/>
          <w:sz w:val="28"/>
          <w:szCs w:val="28"/>
          <w:rtl/>
        </w:rPr>
        <w:t>إِلَىٰٓ أَجَلِهِۦۚ ٢٨٢ﵞ ﵝالبَقَرَةِ</w:t>
      </w:r>
      <w:r w:rsidR="005D7B91" w:rsidRPr="00001A51">
        <w:rPr>
          <w:rFonts w:ascii="KFGQPC HAFS Uthmanic Script" w:hAnsi="Times New Roman" w:cs="KFGQPC HAFS Uthmanic Script"/>
          <w:color w:val="000000"/>
          <w:sz w:val="28"/>
          <w:szCs w:val="28"/>
          <w:rtl/>
        </w:rPr>
        <w:t xml:space="preserve">: </w:t>
      </w:r>
      <w:r w:rsidRPr="00001A51">
        <w:rPr>
          <w:rFonts w:ascii="KFGQPC HAFS Uthmanic Script" w:hAnsi="Times New Roman" w:cs="KFGQPC HAFS Uthmanic Script"/>
          <w:color w:val="000000"/>
          <w:sz w:val="28"/>
          <w:szCs w:val="28"/>
          <w:rtl/>
        </w:rPr>
        <w:t>ﵒﵘﵒﵜ</w:t>
      </w:r>
      <w:r w:rsidRPr="00001A51">
        <w:rPr>
          <w:rFonts w:ascii="Arabic Transparent" w:hAnsi="Arabic Transparent" w:cs="Arabic Transparent"/>
          <w:sz w:val="28"/>
          <w:szCs w:val="28"/>
          <w:rtl/>
          <w:lang w:bidi="ar-JO"/>
        </w:rPr>
        <w:t xml:space="preserve"> </w:t>
      </w:r>
      <w:r w:rsidRPr="00001A51">
        <w:rPr>
          <w:rFonts w:ascii="Arabic Transparent" w:hAnsi="Arabic Transparent" w:cs="Arabic Transparent"/>
          <w:b/>
          <w:bCs/>
          <w:sz w:val="28"/>
          <w:szCs w:val="28"/>
          <w:rtl/>
          <w:lang w:bidi="ar-JO"/>
        </w:rPr>
        <w:t xml:space="preserve">وجه الدلالة: </w:t>
      </w:r>
      <w:r w:rsidRPr="00001A51">
        <w:rPr>
          <w:rFonts w:ascii="Arabic Transparent" w:hAnsi="Arabic Transparent" w:cs="Arabic Transparent"/>
          <w:sz w:val="28"/>
          <w:szCs w:val="28"/>
          <w:rtl/>
          <w:lang w:bidi="ar-JO"/>
        </w:rPr>
        <w:t>تكلمت الآية الكريمة في سورة البقرة عن الدين وبينت أهمية كتابته</w:t>
      </w:r>
      <w:r w:rsidRPr="00001A51">
        <w:rPr>
          <w:rFonts w:ascii="Arabic Transparent" w:hAnsi="Arabic Transparent" w:cs="Arabic Transparent" w:hint="cs"/>
          <w:sz w:val="28"/>
          <w:szCs w:val="28"/>
          <w:rtl/>
          <w:lang w:bidi="ar-JO"/>
        </w:rPr>
        <w:t>،</w:t>
      </w:r>
      <w:r w:rsidRPr="00001A51">
        <w:rPr>
          <w:rFonts w:ascii="Arabic Transparent" w:hAnsi="Arabic Transparent" w:cs="Arabic Transparent"/>
          <w:sz w:val="28"/>
          <w:szCs w:val="28"/>
          <w:rtl/>
          <w:lang w:bidi="ar-JO"/>
        </w:rPr>
        <w:t xml:space="preserve"> حيث أمر الله تعالى أن يكتب المسلم دينه الذي جرى بينه وبين الذي استدان منه، ولو كان صغيراً أو كبيراً</w:t>
      </w:r>
      <w:r w:rsidRPr="00001A51">
        <w:rPr>
          <w:rFonts w:ascii="Arabic Transparent" w:hAnsi="Arabic Transparent" w:cs="Arabic Transparent" w:hint="cs"/>
          <w:sz w:val="28"/>
          <w:szCs w:val="28"/>
          <w:rtl/>
          <w:lang w:bidi="ar-JO"/>
        </w:rPr>
        <w:t>،</w:t>
      </w:r>
      <w:r w:rsidRPr="00001A51">
        <w:rPr>
          <w:rFonts w:ascii="Arabic Transparent" w:hAnsi="Arabic Transparent" w:cs="Arabic Transparent"/>
          <w:sz w:val="28"/>
          <w:szCs w:val="28"/>
          <w:rtl/>
          <w:lang w:bidi="ar-JO"/>
        </w:rPr>
        <w:t xml:space="preserve"> فذكرت التفاوت بينهما وأشارت إلى ضرورة كتابته، فالآية الكريمة تشير إلى التفاوت بين الدين الكبير والصغير والتفاوت غير مؤثر في الحكم هنا، حيث يقول الطبري: "ولا تسأموا أيّها الذين تداينون الناس إلى أجل أن تكتبوا صغير الحقِّ (الدين)</w:t>
      </w:r>
      <w:r w:rsidR="005D7B91" w:rsidRPr="00001A51">
        <w:rPr>
          <w:rFonts w:ascii="Arabic Transparent" w:hAnsi="Arabic Transparent" w:cs="Arabic Transparent"/>
          <w:sz w:val="28"/>
          <w:szCs w:val="28"/>
          <w:rtl/>
          <w:lang w:bidi="ar-JO"/>
        </w:rPr>
        <w:t xml:space="preserve">، </w:t>
      </w:r>
      <w:r w:rsidRPr="00001A51">
        <w:rPr>
          <w:rFonts w:ascii="Arabic Transparent" w:hAnsi="Arabic Transparent" w:cs="Arabic Transparent"/>
          <w:sz w:val="28"/>
          <w:szCs w:val="28"/>
          <w:rtl/>
          <w:lang w:bidi="ar-JO"/>
        </w:rPr>
        <w:t>يعني</w:t>
      </w:r>
    </w:p>
    <w:p w14:paraId="0D32E4EA" w14:textId="77777777" w:rsidR="002C32B4" w:rsidRPr="00001A51" w:rsidRDefault="002C32B4">
      <w:pPr>
        <w:bidi w:val="0"/>
        <w:spacing w:after="0" w:line="240" w:lineRule="auto"/>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br w:type="page"/>
      </w:r>
    </w:p>
    <w:p w14:paraId="729869D0" w14:textId="20CBBCD6" w:rsidR="00017DFE" w:rsidRPr="00001A51" w:rsidRDefault="00017DFE" w:rsidP="002C32B4">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قليلَه، أو كبيرَه، يَعني: أو كثيرَه"</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236"/>
      </w:r>
      <w:r w:rsidRPr="00001A51">
        <w:rPr>
          <w:rFonts w:ascii="Arabic Transparent" w:hAnsi="Arabic Transparent" w:cs="Arabic Transparent"/>
          <w:sz w:val="28"/>
          <w:szCs w:val="28"/>
          <w:vertAlign w:val="superscript"/>
          <w:rtl/>
          <w:lang w:bidi="ar-JO"/>
        </w:rPr>
        <w:t>)</w:t>
      </w:r>
      <w:r w:rsidR="005D7B91" w:rsidRPr="00001A51">
        <w:rPr>
          <w:rFonts w:ascii="Arabic Transparent" w:hAnsi="Arabic Transparent" w:cs="Arabic Transparent"/>
          <w:sz w:val="28"/>
          <w:szCs w:val="28"/>
          <w:vertAlign w:val="superscript"/>
          <w:rtl/>
          <w:lang w:bidi="ar-JO"/>
        </w:rPr>
        <w:t xml:space="preserve">، </w:t>
      </w:r>
      <w:r w:rsidRPr="00001A51">
        <w:rPr>
          <w:rFonts w:ascii="Arabic Transparent" w:hAnsi="Arabic Transparent" w:cs="Arabic Transparent"/>
          <w:sz w:val="28"/>
          <w:szCs w:val="28"/>
          <w:rtl/>
          <w:lang w:bidi="ar-JO"/>
        </w:rPr>
        <w:t>وهذا التفاوت الحاصل في هذا الدين سواء أكان قليلاً أو كثيراً، يجب كتابته؛ لأن في هذه الكتابة مصلحة درء الخلاف بين المسلمين،</w:t>
      </w:r>
      <w:r w:rsidR="002C32B4" w:rsidRPr="00001A51">
        <w:rPr>
          <w:rFonts w:ascii="Arabic Transparent" w:hAnsi="Arabic Transparent" w:cs="Arabic Transparent" w:hint="cs"/>
          <w:sz w:val="28"/>
          <w:szCs w:val="28"/>
          <w:rtl/>
          <w:lang w:bidi="ar-JO"/>
        </w:rPr>
        <w:t xml:space="preserve"> </w:t>
      </w:r>
      <w:r w:rsidRPr="00001A51">
        <w:rPr>
          <w:rFonts w:ascii="Arabic Transparent" w:hAnsi="Arabic Transparent" w:cs="Arabic Transparent"/>
          <w:sz w:val="28"/>
          <w:szCs w:val="28"/>
          <w:rtl/>
          <w:lang w:bidi="ar-JO"/>
        </w:rPr>
        <w:t>وحفظ أموالهم مهما تباعد الزمان وتغيرت الأيام لذلك طلب الإشهاد عليه ووجدت وسائل أخرى، مثل الكفالة، والرهن، وغيرها، وكلها وجدت من أجل توثيق الدين وحفظه من الفوات.</w:t>
      </w:r>
    </w:p>
    <w:p w14:paraId="5C20570F" w14:textId="4F3F3050" w:rsidR="00017DFE" w:rsidRPr="00001A51" w:rsidRDefault="00017DFE" w:rsidP="00017DFE">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2- يقول تعالى: </w:t>
      </w:r>
      <w:r w:rsidRPr="00001A51">
        <w:rPr>
          <w:rFonts w:ascii="KFGQPC HAFS Uthmanic Script" w:hAnsi="Times New Roman" w:cs="KFGQPC HAFS Uthmanic Script"/>
          <w:color w:val="000000"/>
          <w:sz w:val="28"/>
          <w:szCs w:val="28"/>
          <w:rtl/>
        </w:rPr>
        <w:t xml:space="preserve">ﵟ لِّلرِّجَالِ نَصِيبٞ مِّمَّا تَرَكَ ٱلۡوَٰلِدَانِ وَٱلۡأَقۡرَبُونَ وَلِلنِّسَآءِ نَصِيبٞ مِّمَّا تَرَكَ ٱلۡوَٰلِدَانِ وَٱلۡأَقۡرَبُونَ مِمَّا </w:t>
      </w:r>
      <w:r w:rsidRPr="00001A51">
        <w:rPr>
          <w:rFonts w:ascii="KFGQPC HAFS Uthmanic Script" w:hAnsi="Times New Roman" w:cs="KFGQPC HAFS Uthmanic Script"/>
          <w:color w:val="000000"/>
          <w:sz w:val="28"/>
          <w:szCs w:val="28"/>
          <w:u w:val="single"/>
          <w:rtl/>
        </w:rPr>
        <w:t>قَلَّ</w:t>
      </w:r>
      <w:r w:rsidRPr="00001A51">
        <w:rPr>
          <w:rFonts w:ascii="KFGQPC HAFS Uthmanic Script" w:hAnsi="Times New Roman" w:cs="KFGQPC HAFS Uthmanic Script"/>
          <w:color w:val="000000"/>
          <w:sz w:val="28"/>
          <w:szCs w:val="28"/>
          <w:rtl/>
        </w:rPr>
        <w:t xml:space="preserve"> مِنۡهُ أَوۡ </w:t>
      </w:r>
      <w:r w:rsidRPr="00001A51">
        <w:rPr>
          <w:rFonts w:ascii="KFGQPC HAFS Uthmanic Script" w:hAnsi="Times New Roman" w:cs="KFGQPC HAFS Uthmanic Script"/>
          <w:color w:val="000000"/>
          <w:sz w:val="28"/>
          <w:szCs w:val="28"/>
          <w:u w:val="single"/>
          <w:rtl/>
        </w:rPr>
        <w:t>كَثُرَۚ</w:t>
      </w:r>
      <w:r w:rsidRPr="00001A51">
        <w:rPr>
          <w:rFonts w:ascii="KFGQPC HAFS Uthmanic Script" w:hAnsi="Times New Roman" w:cs="KFGQPC HAFS Uthmanic Script"/>
          <w:color w:val="000000"/>
          <w:sz w:val="28"/>
          <w:szCs w:val="28"/>
          <w:rtl/>
        </w:rPr>
        <w:t xml:space="preserve"> نَصِيبٗا مَّفۡرُوضٗا ٧ﵞﵝالنِّسَاء</w:t>
      </w:r>
      <w:r w:rsidR="005D7B91" w:rsidRPr="00001A51">
        <w:rPr>
          <w:rFonts w:ascii="KFGQPC HAFS Uthmanic Script" w:hAnsi="Times New Roman" w:cs="KFGQPC HAFS Uthmanic Script"/>
          <w:color w:val="000000"/>
          <w:sz w:val="28"/>
          <w:szCs w:val="28"/>
          <w:rtl/>
        </w:rPr>
        <w:t xml:space="preserve">: </w:t>
      </w:r>
      <w:r w:rsidRPr="00001A51">
        <w:rPr>
          <w:rFonts w:ascii="KFGQPC HAFS Uthmanic Script" w:hAnsi="Times New Roman" w:cs="KFGQPC HAFS Uthmanic Script"/>
          <w:color w:val="000000"/>
          <w:sz w:val="28"/>
          <w:szCs w:val="28"/>
          <w:rtl/>
        </w:rPr>
        <w:t>ﵗﵜ</w:t>
      </w:r>
      <w:r w:rsidRPr="00001A51">
        <w:rPr>
          <w:rFonts w:ascii="Arabic Transparent" w:hAnsi="Arabic Transparent" w:cs="Arabic Transparent"/>
          <w:sz w:val="28"/>
          <w:szCs w:val="28"/>
          <w:rtl/>
          <w:lang w:bidi="ar-JO"/>
        </w:rPr>
        <w:t xml:space="preserve"> </w:t>
      </w:r>
      <w:r w:rsidRPr="00001A51">
        <w:rPr>
          <w:rFonts w:ascii="Arabic Transparent" w:hAnsi="Arabic Transparent" w:cs="Arabic Transparent"/>
          <w:b/>
          <w:bCs/>
          <w:sz w:val="28"/>
          <w:szCs w:val="28"/>
          <w:rtl/>
          <w:lang w:bidi="ar-JO"/>
        </w:rPr>
        <w:t xml:space="preserve">وجه الدلالة: </w:t>
      </w:r>
      <w:r w:rsidRPr="00001A51">
        <w:rPr>
          <w:rFonts w:ascii="Arabic Transparent" w:hAnsi="Arabic Transparent" w:cs="Arabic Transparent"/>
          <w:sz w:val="28"/>
          <w:szCs w:val="28"/>
          <w:rtl/>
          <w:lang w:bidi="ar-JO"/>
        </w:rPr>
        <w:t xml:space="preserve">جاءت الآية الكريمة لتأكد على حق النساء في الميراث، وفي ثناياها ذكرت التفاوت في المتروك القليل والكثير، حيث يقع فيه التوارث، فهنا التفاوت غير مقصود لذاته بل ورد على سبيل التأكيد، </w:t>
      </w:r>
      <w:r w:rsidR="0095634B" w:rsidRPr="00001A51">
        <w:rPr>
          <w:rFonts w:ascii="Arabic Transparent" w:hAnsi="Arabic Transparent" w:cs="Arabic Transparent" w:hint="cs"/>
          <w:sz w:val="28"/>
          <w:szCs w:val="28"/>
          <w:rtl/>
          <w:lang w:bidi="ar-JO"/>
        </w:rPr>
        <w:t>"</w:t>
      </w:r>
      <w:r w:rsidRPr="00001A51">
        <w:rPr>
          <w:rFonts w:ascii="Arabic Transparent" w:hAnsi="Arabic Transparent" w:cs="Arabic Transparent"/>
          <w:sz w:val="28"/>
          <w:szCs w:val="28"/>
          <w:rtl/>
          <w:lang w:bidi="ar-JO"/>
        </w:rPr>
        <w:t>‌فذكرت (مِما ‌قَلَّ ‌مِنه ‌أَو ‌كَثرَ) بدل (مِمَّا تَرك) بتكرير العامل، وهذا البدل جاء على سبيل التوكيد</w:t>
      </w:r>
      <w:r w:rsidR="0095634B" w:rsidRPr="00001A51">
        <w:rPr>
          <w:rFonts w:ascii="Arabic Transparent" w:hAnsi="Arabic Transparent" w:cs="Arabic Transparent" w:hint="cs"/>
          <w:sz w:val="28"/>
          <w:szCs w:val="28"/>
          <w:rtl/>
          <w:lang w:bidi="ar-JO"/>
        </w:rPr>
        <w:t>"</w:t>
      </w:r>
      <w:r w:rsidR="0095634B" w:rsidRPr="00001A51">
        <w:rPr>
          <w:rFonts w:ascii="Arabic Transparent" w:hAnsi="Arabic Transparent" w:cs="Arabic Transparent"/>
          <w:sz w:val="28"/>
          <w:szCs w:val="28"/>
          <w:vertAlign w:val="superscript"/>
          <w:rtl/>
          <w:lang w:bidi="ar-JO"/>
        </w:rPr>
        <w:t>(</w:t>
      </w:r>
      <w:r w:rsidR="0095634B" w:rsidRPr="00001A51">
        <w:rPr>
          <w:rFonts w:ascii="Arabic Transparent" w:hAnsi="Arabic Transparent" w:cs="Arabic Transparent"/>
          <w:sz w:val="28"/>
          <w:szCs w:val="28"/>
          <w:vertAlign w:val="superscript"/>
          <w:rtl/>
          <w:lang w:bidi="ar-JO"/>
        </w:rPr>
        <w:footnoteReference w:id="237"/>
      </w:r>
      <w:r w:rsidR="0095634B"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كما يقول أبو حيّان الأندلسي وليس على سبيل المغايرة، أو المفاضلة، أو قصد التفاوت بينهما.</w:t>
      </w:r>
    </w:p>
    <w:p w14:paraId="4B87F384" w14:textId="3CA9E212" w:rsidR="007E23E6" w:rsidRPr="00001A51" w:rsidRDefault="00017DFE" w:rsidP="007E23E6">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3- يقول تعالى: </w:t>
      </w:r>
      <w:r w:rsidRPr="00001A51">
        <w:rPr>
          <w:rFonts w:ascii="KFGQPC HAFS Uthmanic Script" w:hAnsi="Times New Roman" w:cs="KFGQPC HAFS Uthmanic Script"/>
          <w:color w:val="000000"/>
          <w:sz w:val="28"/>
          <w:szCs w:val="28"/>
          <w:rtl/>
        </w:rPr>
        <w:t xml:space="preserve">ﵟ وَلَا يُنفِقُونَ نَفَقَةٗ </w:t>
      </w:r>
      <w:r w:rsidRPr="00001A51">
        <w:rPr>
          <w:rFonts w:ascii="KFGQPC HAFS Uthmanic Script" w:hAnsi="Times New Roman" w:cs="KFGQPC HAFS Uthmanic Script"/>
          <w:color w:val="000000"/>
          <w:sz w:val="28"/>
          <w:szCs w:val="28"/>
          <w:u w:val="single"/>
          <w:rtl/>
        </w:rPr>
        <w:t>صَغِيرَةٗ</w:t>
      </w:r>
      <w:r w:rsidRPr="00001A51">
        <w:rPr>
          <w:rFonts w:ascii="KFGQPC HAFS Uthmanic Script" w:hAnsi="Times New Roman" w:cs="KFGQPC HAFS Uthmanic Script"/>
          <w:color w:val="000000"/>
          <w:sz w:val="28"/>
          <w:szCs w:val="28"/>
          <w:rtl/>
        </w:rPr>
        <w:t xml:space="preserve"> وَلَا </w:t>
      </w:r>
      <w:r w:rsidRPr="00001A51">
        <w:rPr>
          <w:rFonts w:ascii="KFGQPC HAFS Uthmanic Script" w:hAnsi="Times New Roman" w:cs="KFGQPC HAFS Uthmanic Script"/>
          <w:color w:val="000000"/>
          <w:sz w:val="28"/>
          <w:szCs w:val="28"/>
          <w:u w:val="single"/>
          <w:rtl/>
        </w:rPr>
        <w:t>كَبِيرَةٗ</w:t>
      </w:r>
      <w:r w:rsidRPr="00001A51">
        <w:rPr>
          <w:rFonts w:ascii="KFGQPC HAFS Uthmanic Script" w:hAnsi="Times New Roman" w:cs="KFGQPC HAFS Uthmanic Script"/>
          <w:color w:val="000000"/>
          <w:sz w:val="28"/>
          <w:szCs w:val="28"/>
          <w:rtl/>
        </w:rPr>
        <w:t xml:space="preserve"> وَلَا يَقۡطَعُونَ وَادِيًا إِلَّا كُتِبَ لَهُمۡ لِيَجۡزِيَهُمُ ٱللَّهُ أَحۡسَنَ مَا كَانُواْ يَعۡمَلُونَ ١٢١ﵞ ﵝالتَّوۡبَة</w:t>
      </w:r>
      <w:r w:rsidR="005D7B91" w:rsidRPr="00001A51">
        <w:rPr>
          <w:rFonts w:ascii="KFGQPC HAFS Uthmanic Script" w:hAnsi="Times New Roman" w:cs="KFGQPC HAFS Uthmanic Script"/>
          <w:color w:val="000000"/>
          <w:sz w:val="28"/>
          <w:szCs w:val="28"/>
          <w:rtl/>
        </w:rPr>
        <w:t xml:space="preserve">: </w:t>
      </w:r>
      <w:r w:rsidRPr="00001A51">
        <w:rPr>
          <w:rFonts w:ascii="KFGQPC HAFS Uthmanic Script" w:hAnsi="Times New Roman" w:cs="KFGQPC HAFS Uthmanic Script"/>
          <w:color w:val="000000"/>
          <w:sz w:val="28"/>
          <w:szCs w:val="28"/>
          <w:rtl/>
        </w:rPr>
        <w:t>ﵑﵒﵑﵜ</w:t>
      </w:r>
      <w:r w:rsidRPr="00001A51">
        <w:rPr>
          <w:rFonts w:ascii="Arabic Transparent" w:hAnsi="Arabic Transparent" w:cs="Arabic Transparent"/>
          <w:sz w:val="28"/>
          <w:szCs w:val="28"/>
          <w:rtl/>
          <w:lang w:bidi="ar-JO"/>
        </w:rPr>
        <w:t xml:space="preserve"> </w:t>
      </w:r>
      <w:r w:rsidRPr="00001A51">
        <w:rPr>
          <w:rFonts w:ascii="Arabic Transparent" w:hAnsi="Arabic Transparent" w:cs="Arabic Transparent"/>
          <w:b/>
          <w:bCs/>
          <w:sz w:val="28"/>
          <w:szCs w:val="28"/>
          <w:rtl/>
          <w:lang w:bidi="ar-JO"/>
        </w:rPr>
        <w:t>وجه الدلالة:</w:t>
      </w:r>
      <w:r w:rsidRPr="00001A51">
        <w:rPr>
          <w:rFonts w:ascii="Arabic Transparent" w:hAnsi="Arabic Transparent" w:cs="Arabic Transparent"/>
          <w:sz w:val="28"/>
          <w:szCs w:val="28"/>
          <w:rtl/>
          <w:lang w:bidi="ar-JO"/>
        </w:rPr>
        <w:t xml:space="preserve"> الآية الكريمة تشير أنَّ التفاوت بين النفقة الصغيرة والكبيرة كله مقبول، وجاءت على سبيل "الحث والتأكيد على لوجوب الغزو مع رسول الله </w:t>
      </w:r>
      <w:r w:rsidR="005E3842" w:rsidRPr="00001A51">
        <w:rPr>
          <w:rFonts w:ascii="AGA Arabesque" w:hAnsi="AGA Arabesque" w:cs="AGA Arabesque"/>
          <w:sz w:val="28"/>
          <w:szCs w:val="28"/>
          <w:lang w:bidi="ar-JO"/>
        </w:rPr>
        <w:t></w:t>
      </w:r>
      <w:r w:rsidRPr="00001A51">
        <w:rPr>
          <w:rFonts w:ascii="Arabic Transparent" w:hAnsi="Arabic Transparent" w:cs="Arabic Transparent"/>
          <w:sz w:val="28"/>
          <w:szCs w:val="28"/>
          <w:rtl/>
          <w:lang w:bidi="ar-JO"/>
        </w:rPr>
        <w:t xml:space="preserve"> وما فيه من الأجر العظيم، وحظر تخلف أحد عنه إلا بإذنه، بما فيه من تفضيل أنفسهم على نفسه"</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238"/>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xml:space="preserve">،ويذكر محمد رشيد رضا الوجه من تفسير الآيات فيقول: "أي كذلك شأنهم فيما ينفقون في سبيل الله صغر أم كبر، قل أم كثر، وفي كل واد يقطعونه في سيرهم غادين أو رائحين لا يترك شيء منه أو </w:t>
      </w:r>
      <w:r w:rsidR="00B154EE" w:rsidRPr="00001A51">
        <w:rPr>
          <w:rFonts w:ascii="Arabic Transparent" w:hAnsi="Arabic Transparent" w:cs="Arabic Transparent" w:hint="cs"/>
          <w:sz w:val="28"/>
          <w:szCs w:val="28"/>
          <w:rtl/>
          <w:lang w:bidi="ar-JO"/>
        </w:rPr>
        <w:t>ينسى</w:t>
      </w:r>
      <w:r w:rsidR="00B154EE" w:rsidRPr="00001A51">
        <w:rPr>
          <w:rFonts w:ascii="Arabic Transparent" w:hAnsi="Arabic Transparent" w:cs="Arabic Transparent" w:hint="eastAsia"/>
          <w:sz w:val="28"/>
          <w:szCs w:val="28"/>
          <w:rtl/>
          <w:lang w:bidi="ar-JO"/>
        </w:rPr>
        <w:t>،</w:t>
      </w:r>
      <w:r w:rsidRPr="00001A51">
        <w:rPr>
          <w:rFonts w:ascii="Arabic Transparent" w:hAnsi="Arabic Transparent" w:cs="Arabic Transparent"/>
          <w:sz w:val="28"/>
          <w:szCs w:val="28"/>
          <w:rtl/>
          <w:lang w:bidi="ar-JO"/>
        </w:rPr>
        <w:t xml:space="preserve"> بل يكتب لهم: (ليجزيهم الله) بكتابته في صحف أعمالهم (أحسن ما كانوا يعملون) وهو الجهاد</w:t>
      </w:r>
      <w:r w:rsidR="0064615F" w:rsidRPr="00001A51">
        <w:rPr>
          <w:rFonts w:ascii="Arabic Transparent" w:hAnsi="Arabic Transparent" w:cs="Arabic Transparent" w:hint="cs"/>
          <w:sz w:val="28"/>
          <w:szCs w:val="28"/>
          <w:rtl/>
          <w:lang w:bidi="ar-JO"/>
        </w:rPr>
        <w:t>"</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239"/>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w:t>
      </w:r>
      <w:r w:rsidR="007E23E6" w:rsidRPr="00001A51">
        <w:rPr>
          <w:rFonts w:ascii="Arabic Transparent" w:hAnsi="Arabic Transparent" w:cs="Arabic Transparent"/>
          <w:sz w:val="28"/>
          <w:szCs w:val="28"/>
          <w:rtl/>
          <w:lang w:bidi="ar-JO"/>
        </w:rPr>
        <w:br w:type="page"/>
      </w:r>
    </w:p>
    <w:p w14:paraId="4C2E4973" w14:textId="77777777" w:rsidR="00017DFE" w:rsidRPr="00001A51" w:rsidRDefault="00017DFE" w:rsidP="00017DFE">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ثانياً: السنة النبوية الشريفة.</w:t>
      </w:r>
    </w:p>
    <w:p w14:paraId="26C4AA5A" w14:textId="43E07012" w:rsidR="00017DFE" w:rsidRPr="00001A51" w:rsidRDefault="00211C19" w:rsidP="00211C19">
      <w:pPr>
        <w:spacing w:after="0" w:line="348" w:lineRule="auto"/>
        <w:jc w:val="both"/>
        <w:rPr>
          <w:rFonts w:ascii="Arabic Transparent" w:hAnsi="Arabic Transparent" w:cs="Arabic Transparent"/>
          <w:sz w:val="28"/>
          <w:szCs w:val="28"/>
          <w:rtl/>
          <w:lang w:bidi="ar-JO"/>
        </w:rPr>
      </w:pPr>
      <w:r w:rsidRPr="00001A51">
        <w:rPr>
          <w:rFonts w:ascii="Arabic Transparent" w:hAnsi="Arabic Transparent" w:cs="Arabic Transparent" w:hint="cs"/>
          <w:sz w:val="28"/>
          <w:szCs w:val="28"/>
          <w:rtl/>
          <w:lang w:bidi="ar-JO"/>
        </w:rPr>
        <w:t xml:space="preserve">     </w:t>
      </w:r>
      <w:r w:rsidR="00017DFE" w:rsidRPr="00001A51">
        <w:rPr>
          <w:rFonts w:ascii="Arabic Transparent" w:hAnsi="Arabic Transparent" w:cs="Arabic Transparent"/>
          <w:sz w:val="28"/>
          <w:szCs w:val="28"/>
          <w:rtl/>
          <w:lang w:bidi="ar-JO"/>
        </w:rPr>
        <w:t>كما أشارت الآيات القرآنية إلى التفاوت سواء أكان مؤثراً، أم غير مؤثر في الحكم وورد ليؤكد المعنى المراد من الآية، فإن الناظر يجد أن السنة دلت على مشروعية التفاوت وسنعرض نماذج منها على قسمين كما يأتي:</w:t>
      </w:r>
    </w:p>
    <w:p w14:paraId="53FD75F8" w14:textId="77777777" w:rsidR="00017DFE" w:rsidRPr="00001A51" w:rsidRDefault="00017DFE" w:rsidP="00211C19">
      <w:pPr>
        <w:spacing w:after="0" w:line="348" w:lineRule="auto"/>
        <w:jc w:val="both"/>
        <w:rPr>
          <w:rFonts w:ascii="Arabic Transparent" w:hAnsi="Arabic Transparent" w:cs="Arabic Transparent"/>
          <w:sz w:val="28"/>
          <w:szCs w:val="28"/>
          <w:rtl/>
          <w:lang w:bidi="ar-JO"/>
        </w:rPr>
      </w:pPr>
      <w:r w:rsidRPr="00001A51">
        <w:rPr>
          <w:rFonts w:ascii="Arabic Transparent" w:hAnsi="Arabic Transparent" w:cs="Arabic Transparent"/>
          <w:b/>
          <w:bCs/>
          <w:sz w:val="28"/>
          <w:szCs w:val="28"/>
          <w:rtl/>
          <w:lang w:bidi="ar-JO"/>
        </w:rPr>
        <w:t>القسم الأول: الأدلة من السنة النبوية على التفاوت المؤثر:</w:t>
      </w:r>
      <w:r w:rsidRPr="00001A51">
        <w:rPr>
          <w:rFonts w:ascii="Arabic Transparent" w:hAnsi="Arabic Transparent" w:cs="Arabic Transparent"/>
          <w:sz w:val="28"/>
          <w:szCs w:val="28"/>
          <w:rtl/>
          <w:lang w:bidi="ar-JO"/>
        </w:rPr>
        <w:t xml:space="preserve"> </w:t>
      </w:r>
    </w:p>
    <w:p w14:paraId="712FFB05" w14:textId="00B3739E" w:rsidR="00017DFE" w:rsidRPr="00001A51" w:rsidRDefault="00017DFE" w:rsidP="00211C19">
      <w:pPr>
        <w:spacing w:after="0" w:line="348"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1- عَن أَبِي هُرَيرَةَ </w:t>
      </w:r>
      <w:r w:rsidR="005224A0" w:rsidRPr="00001A51">
        <w:rPr>
          <w:rFonts w:ascii="AGA Arabesque" w:hAnsi="AGA Arabesque" w:cs="AGA Arabesque"/>
          <w:sz w:val="28"/>
          <w:szCs w:val="28"/>
          <w:lang w:bidi="ar-JO"/>
        </w:rPr>
        <w:t></w:t>
      </w:r>
      <w:r w:rsidRPr="00001A51">
        <w:rPr>
          <w:rFonts w:ascii="Arabic Transparent" w:hAnsi="Arabic Transparent" w:cs="Arabic Transparent"/>
          <w:sz w:val="28"/>
          <w:szCs w:val="28"/>
          <w:rtl/>
          <w:lang w:bidi="ar-JO"/>
        </w:rPr>
        <w:t xml:space="preserve">، قَالَ: "كَان لِرَجلٍ عَلَى النَّبِي </w:t>
      </w:r>
      <w:r w:rsidR="005E3842" w:rsidRPr="00001A51">
        <w:rPr>
          <w:rFonts w:ascii="AGA Arabesque" w:hAnsi="AGA Arabesque" w:cs="AGA Arabesque"/>
          <w:sz w:val="28"/>
          <w:szCs w:val="28"/>
          <w:lang w:bidi="ar-JO"/>
        </w:rPr>
        <w:t></w:t>
      </w:r>
      <w:r w:rsidRPr="00001A51">
        <w:rPr>
          <w:rFonts w:ascii="Arabic Transparent" w:hAnsi="Arabic Transparent" w:cs="Arabic Transparent"/>
          <w:sz w:val="28"/>
          <w:szCs w:val="28"/>
          <w:rtl/>
          <w:lang w:bidi="ar-JO"/>
        </w:rPr>
        <w:t xml:space="preserve"> ‌سِن ‌مِن ‌الإِبِلِ، فَجاءَه </w:t>
      </w:r>
      <w:r w:rsidRPr="00001A51">
        <w:rPr>
          <w:rFonts w:ascii="Arabic Transparent" w:hAnsi="Arabic Transparent" w:cs="Arabic Transparent"/>
          <w:sz w:val="28"/>
          <w:szCs w:val="28"/>
          <w:u w:val="single"/>
          <w:rtl/>
          <w:lang w:bidi="ar-JO"/>
        </w:rPr>
        <w:t>يتقاضاه</w:t>
      </w:r>
      <w:r w:rsidRPr="00001A51">
        <w:rPr>
          <w:rFonts w:ascii="Arabic Transparent" w:hAnsi="Arabic Transparent" w:cs="Arabic Transparent"/>
          <w:sz w:val="28"/>
          <w:szCs w:val="28"/>
          <w:rtl/>
          <w:lang w:bidi="ar-JO"/>
        </w:rPr>
        <w:t>، فقالَ: َ</w:t>
      </w:r>
      <w:r w:rsidR="00A13B75" w:rsidRPr="00001A51">
        <w:rPr>
          <w:rFonts w:ascii="Arabic Transparent" w:hAnsi="Arabic Transparent" w:cs="Arabic Transparent" w:hint="cs"/>
          <w:sz w:val="28"/>
          <w:szCs w:val="28"/>
          <w:rtl/>
          <w:lang w:bidi="ar-JO"/>
        </w:rPr>
        <w:t>أ</w:t>
      </w:r>
      <w:r w:rsidRPr="00001A51">
        <w:rPr>
          <w:rFonts w:ascii="Arabic Transparent" w:hAnsi="Arabic Transparent" w:cs="Arabic Transparent"/>
          <w:sz w:val="28"/>
          <w:szCs w:val="28"/>
          <w:rtl/>
          <w:lang w:bidi="ar-JO"/>
        </w:rPr>
        <w:t xml:space="preserve">عطوه. فَطلبوا سنّهُ فَلم يجدوا لهُ إِلا سنّا </w:t>
      </w:r>
      <w:r w:rsidRPr="00001A51">
        <w:rPr>
          <w:rFonts w:ascii="Arabic Transparent" w:hAnsi="Arabic Transparent" w:cs="Arabic Transparent"/>
          <w:sz w:val="28"/>
          <w:szCs w:val="28"/>
          <w:u w:val="single"/>
          <w:rtl/>
          <w:lang w:bidi="ar-JO"/>
        </w:rPr>
        <w:t>فوقهَا</w:t>
      </w:r>
      <w:r w:rsidRPr="00001A51">
        <w:rPr>
          <w:rFonts w:ascii="Arabic Transparent" w:hAnsi="Arabic Transparent" w:cs="Arabic Transparent"/>
          <w:sz w:val="28"/>
          <w:szCs w:val="28"/>
          <w:rtl/>
          <w:lang w:bidi="ar-JO"/>
        </w:rPr>
        <w:t xml:space="preserve">، فَقالَ: </w:t>
      </w:r>
      <w:r w:rsidR="00A13B75" w:rsidRPr="00001A51">
        <w:rPr>
          <w:rFonts w:ascii="Arabic Transparent" w:hAnsi="Arabic Transparent" w:cs="Arabic Transparent" w:hint="cs"/>
          <w:sz w:val="28"/>
          <w:szCs w:val="28"/>
          <w:rtl/>
          <w:lang w:bidi="ar-JO"/>
        </w:rPr>
        <w:t>أ</w:t>
      </w:r>
      <w:r w:rsidRPr="00001A51">
        <w:rPr>
          <w:rFonts w:ascii="Arabic Transparent" w:hAnsi="Arabic Transparent" w:cs="Arabic Transparent"/>
          <w:sz w:val="28"/>
          <w:szCs w:val="28"/>
          <w:rtl/>
          <w:lang w:bidi="ar-JO"/>
        </w:rPr>
        <w:t xml:space="preserve">عطوه. فَقَالَ: أوفَيتنِي أَوفى اللَّه بِك. قَال النَّبِي </w:t>
      </w:r>
      <w:r w:rsidR="005E3842" w:rsidRPr="00001A51">
        <w:rPr>
          <w:rFonts w:ascii="AGA Arabesque" w:hAnsi="AGA Arabesque" w:cs="AGA Arabesque"/>
          <w:sz w:val="28"/>
          <w:szCs w:val="28"/>
          <w:lang w:bidi="ar-JO"/>
        </w:rPr>
        <w:t></w:t>
      </w:r>
      <w:r w:rsidRPr="00001A51">
        <w:rPr>
          <w:rFonts w:ascii="Arabic Transparent" w:hAnsi="Arabic Transparent" w:cs="Arabic Transparent"/>
          <w:sz w:val="28"/>
          <w:szCs w:val="28"/>
          <w:rtl/>
          <w:lang w:bidi="ar-JO"/>
        </w:rPr>
        <w:t>: إِنّ خِيارَكم أَحسَنكُم قضَاءً".</w:t>
      </w:r>
      <w:r w:rsidRPr="00001A51">
        <w:rPr>
          <w:rFonts w:ascii="Arabic Transparent" w:hAnsi="Arabic Transparent" w:cs="Arabic Transparent"/>
          <w:b/>
          <w:bCs/>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240"/>
      </w:r>
      <w:r w:rsidRPr="00001A51">
        <w:rPr>
          <w:rFonts w:ascii="Arabic Transparent" w:hAnsi="Arabic Transparent" w:cs="Arabic Transparent"/>
          <w:sz w:val="28"/>
          <w:szCs w:val="28"/>
          <w:vertAlign w:val="superscript"/>
          <w:rtl/>
          <w:lang w:bidi="ar-JO"/>
        </w:rPr>
        <w:t xml:space="preserve">) </w:t>
      </w:r>
      <w:r w:rsidRPr="00001A51">
        <w:rPr>
          <w:rFonts w:ascii="Arabic Transparent" w:hAnsi="Arabic Transparent" w:cs="Arabic Transparent"/>
          <w:b/>
          <w:bCs/>
          <w:sz w:val="28"/>
          <w:szCs w:val="28"/>
          <w:rtl/>
          <w:lang w:bidi="ar-JO"/>
        </w:rPr>
        <w:t>وجه الدلالة:</w:t>
      </w:r>
      <w:r w:rsidRPr="00001A51">
        <w:rPr>
          <w:rFonts w:ascii="Arabic Transparent" w:hAnsi="Arabic Transparent" w:cs="Arabic Transparent"/>
          <w:sz w:val="28"/>
          <w:szCs w:val="28"/>
          <w:rtl/>
          <w:lang w:bidi="ar-JO"/>
        </w:rPr>
        <w:t xml:space="preserve"> الشاهد أن التفاوت مقصود في الحديث بالزيادة على سبيل الهبة والإحسان، وليس على سبيل الربا والزيادة الممنوعة فيه، لذا يقول النووي في شرح الحديث:</w:t>
      </w:r>
      <w:r w:rsidR="00151AED" w:rsidRPr="00001A51">
        <w:rPr>
          <w:rFonts w:ascii="Arabic Transparent" w:hAnsi="Arabic Transparent" w:cs="Arabic Transparent"/>
          <w:sz w:val="28"/>
          <w:szCs w:val="28"/>
          <w:rtl/>
          <w:lang w:bidi="ar-JO"/>
        </w:rPr>
        <w:t xml:space="preserve"> "</w:t>
      </w:r>
      <w:r w:rsidRPr="00001A51">
        <w:rPr>
          <w:rFonts w:ascii="Arabic Transparent" w:hAnsi="Arabic Transparent" w:cs="Arabic Transparent"/>
          <w:sz w:val="28"/>
          <w:szCs w:val="28"/>
          <w:rtl/>
          <w:lang w:bidi="ar-JO"/>
        </w:rPr>
        <w:t>يستحب لمن عليه دين من قرض وغيره ‌أن ‌يرد ‌أجود ‌من ‌الذي ‌عليه وهذا من السنة ومكارم الأخلاق وليس هو من قرض جر منفعة، فإنه منهي عنه؛ لأن المنهي عنه ما كان مشروطا في عقد القرض، ومذهبنا أنه يستحب الزيادة في الأداء عما عليه، ويجوز للمقرض أخذها سواء زاد في الصفة أو في العدد بأن أقرضه عشرة فأعطاه أحد عشر، بناءً على الحديث الشريف المتقدم"</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241"/>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xml:space="preserve"> ففيه الأجر والإحسان والتصدق على الدائن عند أداء الدين</w:t>
      </w:r>
      <w:r w:rsidR="007E23E6" w:rsidRPr="00001A51">
        <w:rPr>
          <w:rFonts w:ascii="Arabic Transparent" w:hAnsi="Arabic Transparent" w:cs="Arabic Transparent" w:hint="cs"/>
          <w:sz w:val="28"/>
          <w:szCs w:val="28"/>
          <w:rtl/>
          <w:lang w:bidi="ar-JO"/>
        </w:rPr>
        <w:t>.</w:t>
      </w:r>
    </w:p>
    <w:p w14:paraId="1868148E" w14:textId="6BE94581" w:rsidR="007E23E6" w:rsidRPr="00001A51" w:rsidRDefault="00017DFE" w:rsidP="00211C19">
      <w:pPr>
        <w:spacing w:after="0" w:line="348"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2-</w:t>
      </w:r>
      <w:r w:rsidRPr="00001A51">
        <w:rPr>
          <w:rFonts w:ascii="Aptos" w:hAnsi="Aptos"/>
          <w:rtl/>
        </w:rPr>
        <w:t xml:space="preserve"> </w:t>
      </w:r>
      <w:r w:rsidRPr="00001A51">
        <w:rPr>
          <w:rFonts w:ascii="Arabic Transparent" w:hAnsi="Arabic Transparent" w:cs="Arabic Transparent"/>
          <w:sz w:val="28"/>
          <w:szCs w:val="28"/>
          <w:rtl/>
          <w:lang w:bidi="ar-JO"/>
        </w:rPr>
        <w:t>عَن أَبِي سعِيدٍ الخدرِيِّ وأبي هرَيرَةَ رضي الله عنهما:</w:t>
      </w:r>
      <w:r w:rsidR="00545BC7" w:rsidRPr="00001A51">
        <w:rPr>
          <w:rFonts w:ascii="Arabic Transparent" w:hAnsi="Arabic Transparent" w:cs="Arabic Transparent" w:hint="cs"/>
          <w:sz w:val="28"/>
          <w:szCs w:val="28"/>
          <w:rtl/>
          <w:lang w:bidi="ar-JO"/>
        </w:rPr>
        <w:t xml:space="preserve"> </w:t>
      </w:r>
      <w:r w:rsidRPr="00001A51">
        <w:rPr>
          <w:rFonts w:ascii="Arabic Transparent" w:hAnsi="Arabic Transparent" w:cs="Arabic Transparent"/>
          <w:sz w:val="28"/>
          <w:szCs w:val="28"/>
          <w:rtl/>
          <w:lang w:bidi="ar-JO"/>
        </w:rPr>
        <w:t>"</w:t>
      </w:r>
      <w:r w:rsidR="00A30D6F" w:rsidRPr="00001A51">
        <w:rPr>
          <w:rFonts w:ascii="Arabic Transparent" w:hAnsi="Arabic Transparent" w:cs="Arabic Transparent"/>
          <w:sz w:val="28"/>
          <w:szCs w:val="28"/>
          <w:rtl/>
          <w:lang w:bidi="ar-JO"/>
        </w:rPr>
        <w:t xml:space="preserve">أن رسول الله </w:t>
      </w:r>
      <w:r w:rsidR="005E3842" w:rsidRPr="00001A51">
        <w:rPr>
          <w:rFonts w:ascii="AGA Arabesque" w:hAnsi="AGA Arabesque" w:cs="AGA Arabesque"/>
          <w:sz w:val="28"/>
          <w:szCs w:val="28"/>
          <w:lang w:bidi="ar-JO"/>
        </w:rPr>
        <w:t></w:t>
      </w:r>
      <w:r w:rsidR="00A30D6F" w:rsidRPr="00001A51">
        <w:rPr>
          <w:rFonts w:ascii="Arabic Transparent" w:hAnsi="Arabic Transparent" w:cs="Arabic Transparent"/>
          <w:sz w:val="28"/>
          <w:szCs w:val="28"/>
          <w:rtl/>
          <w:lang w:bidi="ar-JO"/>
        </w:rPr>
        <w:t xml:space="preserve"> ‌استعمل ‌رجلا ‌على ‌خيبر، ‌فجاءهم ‌بتمر ‌جنيب، فقال: أكل تمر خيبر </w:t>
      </w:r>
      <w:r w:rsidR="00B154EE" w:rsidRPr="00001A51">
        <w:rPr>
          <w:rFonts w:ascii="Arabic Transparent" w:hAnsi="Arabic Transparent" w:cs="Arabic Transparent" w:hint="cs"/>
          <w:sz w:val="28"/>
          <w:szCs w:val="28"/>
          <w:rtl/>
          <w:lang w:bidi="ar-JO"/>
        </w:rPr>
        <w:t>هكذا،</w:t>
      </w:r>
      <w:r w:rsidR="00A30D6F" w:rsidRPr="00001A51">
        <w:rPr>
          <w:rFonts w:ascii="Arabic Transparent" w:hAnsi="Arabic Transparent" w:cs="Arabic Transparent"/>
          <w:sz w:val="28"/>
          <w:szCs w:val="28"/>
          <w:rtl/>
          <w:lang w:bidi="ar-JO"/>
        </w:rPr>
        <w:t xml:space="preserve"> فقال: إنا لنأخذ الصاع من هذا بالصاعين، والصاعين بالثلاثة. فقال: لا تفعل، بع الجمع بالدراهم، ثم ابتع بالدراهم جنيبا</w:t>
      </w:r>
      <w:r w:rsidRPr="00001A51">
        <w:rPr>
          <w:rFonts w:ascii="Arabic Transparent" w:hAnsi="Arabic Transparent" w:cs="Arabic Transparent"/>
          <w:sz w:val="28"/>
          <w:szCs w:val="28"/>
          <w:rtl/>
          <w:lang w:bidi="ar-JO"/>
        </w:rPr>
        <w:t>"</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242"/>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xml:space="preserve"> </w:t>
      </w:r>
      <w:r w:rsidRPr="00001A51">
        <w:rPr>
          <w:rFonts w:ascii="Arabic Transparent" w:hAnsi="Arabic Transparent" w:cs="Arabic Transparent"/>
          <w:b/>
          <w:bCs/>
          <w:sz w:val="28"/>
          <w:szCs w:val="28"/>
          <w:rtl/>
          <w:lang w:bidi="ar-JO"/>
        </w:rPr>
        <w:t>وجه الدلالة:</w:t>
      </w:r>
      <w:r w:rsidRPr="00001A51">
        <w:rPr>
          <w:rFonts w:ascii="Arabic Transparent" w:hAnsi="Arabic Transparent" w:cs="Arabic Transparent"/>
          <w:sz w:val="28"/>
          <w:szCs w:val="28"/>
          <w:rtl/>
          <w:lang w:bidi="ar-JO"/>
        </w:rPr>
        <w:t xml:space="preserve"> إنَّ التمر من الأصناف الربوية الستة التي يجب عند المعاملة بها شروط الصرف من التقابض</w:t>
      </w:r>
      <w:r w:rsidR="00545BC7" w:rsidRPr="00001A51">
        <w:rPr>
          <w:rFonts w:ascii="Arabic Transparent" w:hAnsi="Arabic Transparent" w:cs="Arabic Transparent" w:hint="cs"/>
          <w:sz w:val="28"/>
          <w:szCs w:val="28"/>
          <w:rtl/>
          <w:lang w:bidi="ar-JO"/>
        </w:rPr>
        <w:t>،</w:t>
      </w:r>
      <w:r w:rsidRPr="00001A51">
        <w:rPr>
          <w:rFonts w:ascii="Arabic Transparent" w:hAnsi="Arabic Transparent" w:cs="Arabic Transparent"/>
          <w:sz w:val="28"/>
          <w:szCs w:val="28"/>
          <w:rtl/>
          <w:lang w:bidi="ar-JO"/>
        </w:rPr>
        <w:t xml:space="preserve"> والتماثل، واتحاد المجلس، وفي هذا الحديث وجّه النبي </w:t>
      </w:r>
      <w:r w:rsidR="005E3842" w:rsidRPr="00001A51">
        <w:rPr>
          <w:rFonts w:ascii="AGA Arabesque" w:hAnsi="AGA Arabesque" w:cs="AGA Arabesque"/>
          <w:sz w:val="28"/>
          <w:szCs w:val="28"/>
          <w:lang w:bidi="ar-JO"/>
        </w:rPr>
        <w:t></w:t>
      </w:r>
      <w:r w:rsidRPr="00001A51">
        <w:rPr>
          <w:rFonts w:ascii="Arabic Transparent" w:hAnsi="Arabic Transparent" w:cs="Arabic Transparent"/>
          <w:sz w:val="28"/>
          <w:szCs w:val="28"/>
          <w:rtl/>
          <w:lang w:bidi="ar-JO"/>
        </w:rPr>
        <w:t xml:space="preserve"> عامل الصدقة إلى عدم مبادلة الرديء بالجيد؛ لأن التفاوت بين الصنفين يوقع العامل بالحرام، فأمره أن يبيع ما يجمع من التمر الرديء، ويشتري نوعاً جيداً مقابل الثمن حتى يبتعد عن الربا، فالشاهد أنَّ الحديث يشير إلى أنَّ التفاوت في المقدار بين الأصناف الربوية الستة موثر ويجعل المعاملة محرمة لا تجوز.</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243"/>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xml:space="preserve"> </w:t>
      </w:r>
      <w:r w:rsidR="007E23E6" w:rsidRPr="00001A51">
        <w:rPr>
          <w:rFonts w:ascii="Arabic Transparent" w:hAnsi="Arabic Transparent" w:cs="Arabic Transparent"/>
          <w:sz w:val="28"/>
          <w:szCs w:val="28"/>
          <w:rtl/>
          <w:lang w:bidi="ar-JO"/>
        </w:rPr>
        <w:br w:type="page"/>
      </w:r>
    </w:p>
    <w:p w14:paraId="3C3203A2" w14:textId="77777777" w:rsidR="00017DFE" w:rsidRPr="00001A51" w:rsidRDefault="00017DFE" w:rsidP="00017DFE">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b/>
          <w:bCs/>
          <w:sz w:val="28"/>
          <w:szCs w:val="28"/>
          <w:rtl/>
          <w:lang w:bidi="ar-JO"/>
        </w:rPr>
        <w:t>القسم الثاني: الأدلة من السنة النبوية على التفاوت غير المؤثر:</w:t>
      </w:r>
    </w:p>
    <w:p w14:paraId="65C2221C" w14:textId="50B58CB8" w:rsidR="00017DFE" w:rsidRPr="00001A51" w:rsidRDefault="00017DFE" w:rsidP="00017DFE">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1. عَن جَابرِ </w:t>
      </w:r>
      <w:r w:rsidR="005224A0" w:rsidRPr="00001A51">
        <w:rPr>
          <w:rFonts w:ascii="AGA Arabesque" w:hAnsi="AGA Arabesque" w:cs="AGA Arabesque"/>
          <w:sz w:val="28"/>
          <w:szCs w:val="28"/>
          <w:lang w:bidi="ar-JO"/>
        </w:rPr>
        <w:t></w:t>
      </w:r>
      <w:r w:rsidRPr="00001A51">
        <w:rPr>
          <w:rFonts w:ascii="Arabic Transparent" w:hAnsi="Arabic Transparent" w:cs="Arabic Transparent"/>
          <w:sz w:val="28"/>
          <w:szCs w:val="28"/>
          <w:rtl/>
          <w:lang w:bidi="ar-JO"/>
        </w:rPr>
        <w:t xml:space="preserve">، أَنَّ رَسولَ اللَّهِ </w:t>
      </w:r>
      <w:r w:rsidR="005E3842" w:rsidRPr="00001A51">
        <w:rPr>
          <w:rFonts w:ascii="AGA Arabesque" w:hAnsi="AGA Arabesque" w:cs="AGA Arabesque"/>
          <w:sz w:val="28"/>
          <w:szCs w:val="28"/>
          <w:lang w:bidi="ar-JO"/>
        </w:rPr>
        <w:t></w:t>
      </w:r>
      <w:r w:rsidRPr="00001A51">
        <w:rPr>
          <w:rFonts w:ascii="Arabic Transparent" w:hAnsi="Arabic Transparent" w:cs="Arabic Transparent"/>
          <w:sz w:val="28"/>
          <w:szCs w:val="28"/>
          <w:rtl/>
          <w:lang w:bidi="ar-JO"/>
        </w:rPr>
        <w:t xml:space="preserve"> قَالَ: "</w:t>
      </w:r>
      <w:r w:rsidR="00A30D6F" w:rsidRPr="00001A51">
        <w:rPr>
          <w:rFonts w:ascii="Arabic Transparent" w:hAnsi="Arabic Transparent" w:cs="Arabic Transparent"/>
          <w:sz w:val="28"/>
          <w:szCs w:val="28"/>
          <w:rtl/>
          <w:lang w:bidi="ar-JO"/>
        </w:rPr>
        <w:t>‌ما ‌أسكر ‌كثيره، ‌فقليله حرام</w:t>
      </w:r>
      <w:r w:rsidRPr="00001A51">
        <w:rPr>
          <w:rFonts w:ascii="Arabic Transparent" w:hAnsi="Arabic Transparent" w:cs="Arabic Transparent"/>
          <w:sz w:val="28"/>
          <w:szCs w:val="28"/>
          <w:rtl/>
          <w:lang w:bidi="ar-JO"/>
        </w:rPr>
        <w:t>"</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244"/>
      </w:r>
      <w:r w:rsidRPr="00001A51">
        <w:rPr>
          <w:rFonts w:ascii="Arabic Transparent" w:hAnsi="Arabic Transparent" w:cs="Arabic Transparent"/>
          <w:sz w:val="28"/>
          <w:szCs w:val="28"/>
          <w:vertAlign w:val="superscript"/>
          <w:rtl/>
          <w:lang w:bidi="ar-JO"/>
        </w:rPr>
        <w:t>)</w:t>
      </w:r>
      <w:r w:rsidR="0095634B" w:rsidRPr="00001A51">
        <w:rPr>
          <w:rFonts w:ascii="Arabic Transparent" w:hAnsi="Arabic Transparent" w:cs="Arabic Transparent" w:hint="cs"/>
          <w:sz w:val="28"/>
          <w:szCs w:val="28"/>
          <w:rtl/>
          <w:lang w:bidi="ar-JO"/>
        </w:rPr>
        <w:t>.</w:t>
      </w:r>
    </w:p>
    <w:p w14:paraId="63A37837" w14:textId="7961D2BB" w:rsidR="00017DFE" w:rsidRPr="00001A51" w:rsidRDefault="0095634B" w:rsidP="007E23E6">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hint="cs"/>
          <w:b/>
          <w:bCs/>
          <w:sz w:val="28"/>
          <w:szCs w:val="28"/>
          <w:rtl/>
          <w:lang w:bidi="ar-JO"/>
        </w:rPr>
        <w:t xml:space="preserve">     </w:t>
      </w:r>
      <w:r w:rsidR="00017DFE" w:rsidRPr="00001A51">
        <w:rPr>
          <w:rFonts w:ascii="Arabic Transparent" w:hAnsi="Arabic Transparent" w:cs="Arabic Transparent"/>
          <w:b/>
          <w:bCs/>
          <w:sz w:val="28"/>
          <w:szCs w:val="28"/>
          <w:rtl/>
          <w:lang w:bidi="ar-JO"/>
        </w:rPr>
        <w:t xml:space="preserve">وجه الدلالة: </w:t>
      </w:r>
      <w:r w:rsidR="00017DFE" w:rsidRPr="00001A51">
        <w:rPr>
          <w:rFonts w:ascii="Arabic Transparent" w:hAnsi="Arabic Transparent" w:cs="Arabic Transparent"/>
          <w:sz w:val="28"/>
          <w:szCs w:val="28"/>
          <w:rtl/>
          <w:lang w:bidi="ar-JO"/>
        </w:rPr>
        <w:t>بين عليه السلام أن التفاوت في درجات الإسكار كلها تأخذ حكماً واحداً، حيث يقول الزرقاني: "‌وفي ‌ذلك ‌جواز ‌القياس باطراد العلة فتحرم جميع الأنبذة المسكرة"</w:t>
      </w:r>
      <w:r w:rsidR="00017DFE" w:rsidRPr="00001A51">
        <w:rPr>
          <w:rFonts w:ascii="Arabic Transparent" w:hAnsi="Arabic Transparent" w:cs="Arabic Transparent"/>
          <w:sz w:val="28"/>
          <w:szCs w:val="28"/>
          <w:vertAlign w:val="superscript"/>
          <w:rtl/>
          <w:lang w:bidi="ar-JO"/>
        </w:rPr>
        <w:t>(</w:t>
      </w:r>
      <w:r w:rsidR="00017DFE" w:rsidRPr="00001A51">
        <w:rPr>
          <w:rFonts w:ascii="Arabic Transparent" w:hAnsi="Arabic Transparent" w:cs="Arabic Transparent"/>
          <w:sz w:val="28"/>
          <w:szCs w:val="28"/>
          <w:vertAlign w:val="superscript"/>
          <w:rtl/>
          <w:lang w:bidi="ar-JO"/>
        </w:rPr>
        <w:footnoteReference w:id="245"/>
      </w:r>
      <w:r w:rsidR="00017DFE" w:rsidRPr="00001A51">
        <w:rPr>
          <w:rFonts w:ascii="Arabic Transparent" w:hAnsi="Arabic Transparent" w:cs="Arabic Transparent"/>
          <w:sz w:val="28"/>
          <w:szCs w:val="28"/>
          <w:vertAlign w:val="superscript"/>
          <w:rtl/>
          <w:lang w:bidi="ar-JO"/>
        </w:rPr>
        <w:t xml:space="preserve">) </w:t>
      </w:r>
      <w:r w:rsidR="00017DFE" w:rsidRPr="00001A51">
        <w:rPr>
          <w:rFonts w:ascii="Arabic Transparent" w:hAnsi="Arabic Transparent" w:cs="Arabic Transparent"/>
          <w:sz w:val="28"/>
          <w:szCs w:val="28"/>
          <w:rtl/>
          <w:lang w:bidi="ar-JO"/>
        </w:rPr>
        <w:t>بصرف النظر عن درجة الإسكار فيها، فلو كانت قليلة، أو كثيرة فهي محرمة ممنوعة ولو كانت النسبة قليلة لا تسبب الإسكار وهذا باتفاق الفقهاء من الحنفية</w:t>
      </w:r>
      <w:r w:rsidR="00017DFE" w:rsidRPr="00001A51">
        <w:rPr>
          <w:rFonts w:ascii="Arabic Transparent" w:hAnsi="Arabic Transparent" w:cs="Arabic Transparent"/>
          <w:sz w:val="28"/>
          <w:szCs w:val="28"/>
          <w:vertAlign w:val="superscript"/>
          <w:rtl/>
          <w:lang w:bidi="ar-JO"/>
        </w:rPr>
        <w:t>(</w:t>
      </w:r>
      <w:r w:rsidR="00017DFE" w:rsidRPr="00001A51">
        <w:rPr>
          <w:rFonts w:ascii="Arabic Transparent" w:hAnsi="Arabic Transparent" w:cs="Arabic Transparent"/>
          <w:sz w:val="28"/>
          <w:szCs w:val="28"/>
          <w:vertAlign w:val="superscript"/>
          <w:rtl/>
          <w:lang w:bidi="ar-JO"/>
        </w:rPr>
        <w:footnoteReference w:id="246"/>
      </w:r>
      <w:r w:rsidR="00017DFE" w:rsidRPr="00001A51">
        <w:rPr>
          <w:rFonts w:ascii="Arabic Transparent" w:hAnsi="Arabic Transparent" w:cs="Arabic Transparent"/>
          <w:sz w:val="28"/>
          <w:szCs w:val="28"/>
          <w:vertAlign w:val="superscript"/>
          <w:rtl/>
          <w:lang w:bidi="ar-JO"/>
        </w:rPr>
        <w:t>)</w:t>
      </w:r>
      <w:r w:rsidR="00017DFE" w:rsidRPr="00001A51">
        <w:rPr>
          <w:rFonts w:ascii="Arabic Transparent" w:hAnsi="Arabic Transparent" w:cs="Arabic Transparent"/>
          <w:sz w:val="28"/>
          <w:szCs w:val="28"/>
          <w:rtl/>
          <w:lang w:bidi="ar-JO"/>
        </w:rPr>
        <w:t>، والمالكية</w:t>
      </w:r>
      <w:r w:rsidR="00017DFE" w:rsidRPr="00001A51">
        <w:rPr>
          <w:rFonts w:ascii="Arabic Transparent" w:hAnsi="Arabic Transparent" w:cs="Arabic Transparent"/>
          <w:sz w:val="28"/>
          <w:szCs w:val="28"/>
          <w:vertAlign w:val="superscript"/>
          <w:rtl/>
          <w:lang w:bidi="ar-JO"/>
        </w:rPr>
        <w:t>(</w:t>
      </w:r>
      <w:r w:rsidR="00017DFE" w:rsidRPr="00001A51">
        <w:rPr>
          <w:rFonts w:ascii="Arabic Transparent" w:hAnsi="Arabic Transparent" w:cs="Arabic Transparent"/>
          <w:sz w:val="28"/>
          <w:szCs w:val="28"/>
          <w:vertAlign w:val="superscript"/>
          <w:rtl/>
          <w:lang w:bidi="ar-JO"/>
        </w:rPr>
        <w:footnoteReference w:id="247"/>
      </w:r>
      <w:r w:rsidR="00017DFE" w:rsidRPr="00001A51">
        <w:rPr>
          <w:rFonts w:ascii="Arabic Transparent" w:hAnsi="Arabic Transparent" w:cs="Arabic Transparent"/>
          <w:sz w:val="28"/>
          <w:szCs w:val="28"/>
          <w:vertAlign w:val="superscript"/>
          <w:rtl/>
          <w:lang w:bidi="ar-JO"/>
        </w:rPr>
        <w:t>)</w:t>
      </w:r>
      <w:r w:rsidR="00017DFE" w:rsidRPr="00001A51">
        <w:rPr>
          <w:rFonts w:ascii="Arabic Transparent" w:hAnsi="Arabic Transparent" w:cs="Arabic Transparent"/>
          <w:sz w:val="28"/>
          <w:szCs w:val="28"/>
          <w:rtl/>
          <w:lang w:bidi="ar-JO"/>
        </w:rPr>
        <w:t>، والشافعية</w:t>
      </w:r>
      <w:r w:rsidR="00017DFE" w:rsidRPr="00001A51">
        <w:rPr>
          <w:rFonts w:ascii="Arabic Transparent" w:hAnsi="Arabic Transparent" w:cs="Arabic Transparent"/>
          <w:sz w:val="28"/>
          <w:szCs w:val="28"/>
          <w:vertAlign w:val="superscript"/>
          <w:rtl/>
          <w:lang w:bidi="ar-JO"/>
        </w:rPr>
        <w:t>(</w:t>
      </w:r>
      <w:r w:rsidR="00017DFE" w:rsidRPr="00001A51">
        <w:rPr>
          <w:rFonts w:ascii="Arabic Transparent" w:hAnsi="Arabic Transparent" w:cs="Arabic Transparent"/>
          <w:sz w:val="28"/>
          <w:szCs w:val="28"/>
          <w:vertAlign w:val="superscript"/>
          <w:rtl/>
          <w:lang w:bidi="ar-JO"/>
        </w:rPr>
        <w:footnoteReference w:id="248"/>
      </w:r>
      <w:r w:rsidR="00017DFE" w:rsidRPr="00001A51">
        <w:rPr>
          <w:rFonts w:ascii="Arabic Transparent" w:hAnsi="Arabic Transparent" w:cs="Arabic Transparent"/>
          <w:sz w:val="28"/>
          <w:szCs w:val="28"/>
          <w:vertAlign w:val="superscript"/>
          <w:rtl/>
          <w:lang w:bidi="ar-JO"/>
        </w:rPr>
        <w:t>)</w:t>
      </w:r>
      <w:r w:rsidR="00017DFE" w:rsidRPr="00001A51">
        <w:rPr>
          <w:rFonts w:ascii="Arabic Transparent" w:hAnsi="Arabic Transparent" w:cs="Arabic Transparent"/>
          <w:sz w:val="28"/>
          <w:szCs w:val="28"/>
          <w:rtl/>
          <w:lang w:bidi="ar-JO"/>
        </w:rPr>
        <w:t xml:space="preserve"> والحنابلة</w:t>
      </w:r>
      <w:r w:rsidR="00017DFE" w:rsidRPr="00001A51">
        <w:rPr>
          <w:rFonts w:ascii="Arabic Transparent" w:hAnsi="Arabic Transparent" w:cs="Arabic Transparent"/>
          <w:sz w:val="28"/>
          <w:szCs w:val="28"/>
          <w:vertAlign w:val="superscript"/>
          <w:rtl/>
          <w:lang w:bidi="ar-JO"/>
        </w:rPr>
        <w:t>(</w:t>
      </w:r>
      <w:r w:rsidR="00017DFE" w:rsidRPr="00001A51">
        <w:rPr>
          <w:rFonts w:ascii="Arabic Transparent" w:hAnsi="Arabic Transparent" w:cs="Arabic Transparent"/>
          <w:sz w:val="28"/>
          <w:szCs w:val="28"/>
          <w:vertAlign w:val="superscript"/>
          <w:rtl/>
          <w:lang w:bidi="ar-JO"/>
        </w:rPr>
        <w:footnoteReference w:id="249"/>
      </w:r>
      <w:r w:rsidR="00017DFE" w:rsidRPr="00001A51">
        <w:rPr>
          <w:rFonts w:ascii="Arabic Transparent" w:hAnsi="Arabic Transparent" w:cs="Arabic Transparent"/>
          <w:sz w:val="28"/>
          <w:szCs w:val="28"/>
          <w:vertAlign w:val="superscript"/>
          <w:rtl/>
          <w:lang w:bidi="ar-JO"/>
        </w:rPr>
        <w:t>)</w:t>
      </w:r>
      <w:r w:rsidR="00017DFE" w:rsidRPr="00001A51">
        <w:rPr>
          <w:rFonts w:ascii="Arabic Transparent" w:hAnsi="Arabic Transparent" w:cs="Arabic Transparent"/>
          <w:sz w:val="28"/>
          <w:szCs w:val="28"/>
          <w:rtl/>
          <w:lang w:bidi="ar-JO"/>
        </w:rPr>
        <w:t xml:space="preserve"> </w:t>
      </w:r>
    </w:p>
    <w:p w14:paraId="1147D357" w14:textId="41313D6E" w:rsidR="00017DFE" w:rsidRPr="00001A51" w:rsidRDefault="00017DFE" w:rsidP="007E23E6">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sz w:val="28"/>
          <w:szCs w:val="28"/>
          <w:rtl/>
          <w:lang w:bidi="ar-JO"/>
        </w:rPr>
        <w:t>2.</w:t>
      </w:r>
      <w:r w:rsidRPr="00001A51">
        <w:rPr>
          <w:rFonts w:ascii="Aptos" w:hAnsi="Aptos"/>
          <w:rtl/>
        </w:rPr>
        <w:t xml:space="preserve"> </w:t>
      </w:r>
      <w:r w:rsidRPr="00001A51">
        <w:rPr>
          <w:rFonts w:ascii="Arabic Transparent" w:hAnsi="Arabic Transparent" w:cs="Arabic Transparent"/>
          <w:sz w:val="28"/>
          <w:szCs w:val="28"/>
          <w:rtl/>
          <w:lang w:bidi="ar-JO"/>
        </w:rPr>
        <w:t xml:space="preserve">عَن أَبِي هرَيرَةَ، عن النبي </w:t>
      </w:r>
      <w:r w:rsidRPr="00001A51">
        <w:rPr>
          <w:rFonts w:ascii="AGA Arabesque" w:hAnsi="AGA Arabesque" w:cs="AGA Arabesque"/>
          <w:sz w:val="28"/>
          <w:szCs w:val="28"/>
          <w:lang w:bidi="ar-JO"/>
        </w:rPr>
        <w:t></w:t>
      </w:r>
      <w:r w:rsidRPr="00001A51">
        <w:rPr>
          <w:rFonts w:ascii="Arabic Transparent" w:hAnsi="Arabic Transparent" w:cs="Arabic Transparent"/>
          <w:sz w:val="28"/>
          <w:szCs w:val="28"/>
          <w:rtl/>
          <w:lang w:bidi="ar-JO"/>
        </w:rPr>
        <w:t xml:space="preserve"> قال: "</w:t>
      </w:r>
      <w:r w:rsidR="00A30D6F" w:rsidRPr="00001A51">
        <w:rPr>
          <w:rFonts w:ascii="Arabic Transparent" w:hAnsi="Arabic Transparent" w:cs="Arabic Transparent"/>
          <w:sz w:val="28"/>
          <w:szCs w:val="28"/>
          <w:rtl/>
          <w:lang w:bidi="ar-JO"/>
        </w:rPr>
        <w:t>‌الإيمان ‌بضع ‌وسبعون ‌شعبة، ‌والحياء شعبة من الإيمان</w:t>
      </w:r>
      <w:r w:rsidRPr="00001A51">
        <w:rPr>
          <w:rFonts w:ascii="Arabic Transparent" w:hAnsi="Arabic Transparent" w:cs="Arabic Transparent"/>
          <w:sz w:val="28"/>
          <w:szCs w:val="28"/>
          <w:rtl/>
          <w:lang w:bidi="ar-JO"/>
        </w:rPr>
        <w:t>"</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250"/>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b/>
          <w:bCs/>
          <w:sz w:val="28"/>
          <w:szCs w:val="28"/>
          <w:rtl/>
          <w:lang w:bidi="ar-JO"/>
        </w:rPr>
        <w:t xml:space="preserve"> </w:t>
      </w:r>
    </w:p>
    <w:p w14:paraId="7B35B506" w14:textId="77126BF8" w:rsidR="00017DFE" w:rsidRPr="00001A51" w:rsidRDefault="0095634B" w:rsidP="007E23E6">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hint="cs"/>
          <w:b/>
          <w:bCs/>
          <w:sz w:val="28"/>
          <w:szCs w:val="28"/>
          <w:rtl/>
          <w:lang w:bidi="ar-JO"/>
        </w:rPr>
        <w:t xml:space="preserve">     </w:t>
      </w:r>
      <w:r w:rsidR="00017DFE" w:rsidRPr="00001A51">
        <w:rPr>
          <w:rFonts w:ascii="Arabic Transparent" w:hAnsi="Arabic Transparent" w:cs="Arabic Transparent"/>
          <w:b/>
          <w:bCs/>
          <w:sz w:val="28"/>
          <w:szCs w:val="28"/>
          <w:rtl/>
          <w:lang w:bidi="ar-JO"/>
        </w:rPr>
        <w:t>وجه الدلالة:</w:t>
      </w:r>
      <w:r w:rsidR="00017DFE" w:rsidRPr="00001A51">
        <w:rPr>
          <w:rFonts w:ascii="Arabic Transparent" w:hAnsi="Arabic Transparent" w:cs="Arabic Transparent"/>
          <w:sz w:val="28"/>
          <w:szCs w:val="28"/>
          <w:rtl/>
          <w:lang w:bidi="ar-JO"/>
        </w:rPr>
        <w:t xml:space="preserve"> دلَّ</w:t>
      </w:r>
      <w:r w:rsidR="00017DFE" w:rsidRPr="00001A51">
        <w:rPr>
          <w:rFonts w:ascii="Arabic Transparent" w:hAnsi="Arabic Transparent" w:cs="Arabic Transparent"/>
          <w:b/>
          <w:bCs/>
          <w:sz w:val="28"/>
          <w:szCs w:val="28"/>
          <w:rtl/>
          <w:lang w:bidi="ar-JO"/>
        </w:rPr>
        <w:t xml:space="preserve"> </w:t>
      </w:r>
      <w:r w:rsidR="00017DFE" w:rsidRPr="00001A51">
        <w:rPr>
          <w:rFonts w:ascii="Arabic Transparent" w:hAnsi="Arabic Transparent" w:cs="Arabic Transparent"/>
          <w:sz w:val="28"/>
          <w:szCs w:val="28"/>
          <w:rtl/>
          <w:lang w:bidi="ar-JO"/>
        </w:rPr>
        <w:t>الحديث الشريف بمنطوقه أن التفاوت والتباين بين الدرجات مقرر في الشريعة الإسلامية، فالإيمان يزيد وينقص، وهناك أعمال تزيد منه وأعمال أخرى تنقص منه بالنسبة للمسلم، وكأن الحياء غريزة من الإيمان الذي هو مكتسب بالأعمال الصالحة؛ لأن الحياء يمنع من المعصية والمجاهرة فيها، كما يمنع الإيمان عنها والتفاوت هنا غير مقصود أصالةً، لأنه؛ لم يرتب عليه</w:t>
      </w:r>
      <w:r w:rsidR="007E23E6" w:rsidRPr="00001A51">
        <w:rPr>
          <w:rFonts w:ascii="Arabic Transparent" w:hAnsi="Arabic Transparent" w:cs="Arabic Transparent" w:hint="cs"/>
          <w:sz w:val="28"/>
          <w:szCs w:val="28"/>
          <w:rtl/>
          <w:lang w:bidi="ar-JO"/>
        </w:rPr>
        <w:t xml:space="preserve"> </w:t>
      </w:r>
      <w:r w:rsidR="00017DFE" w:rsidRPr="00001A51">
        <w:rPr>
          <w:rFonts w:ascii="Arabic Transparent" w:hAnsi="Arabic Transparent" w:cs="Arabic Transparent"/>
          <w:sz w:val="28"/>
          <w:szCs w:val="28"/>
          <w:rtl/>
          <w:lang w:bidi="ar-JO"/>
        </w:rPr>
        <w:t>حكم، فكان التفاوت بالدرجات على سبيل الدعوة إلى التحلي بالحياء والحث عليه؛ لأنه سبيل من سُبل زيادة الإيمان لدى المسلم</w:t>
      </w:r>
      <w:r w:rsidR="00017DFE" w:rsidRPr="00001A51">
        <w:rPr>
          <w:rFonts w:ascii="Arabic Transparent" w:hAnsi="Arabic Transparent" w:cs="Arabic Transparent"/>
          <w:sz w:val="28"/>
          <w:szCs w:val="28"/>
          <w:vertAlign w:val="superscript"/>
          <w:rtl/>
          <w:lang w:bidi="ar-JO"/>
        </w:rPr>
        <w:t>(</w:t>
      </w:r>
      <w:r w:rsidR="00017DFE" w:rsidRPr="00001A51">
        <w:rPr>
          <w:rFonts w:ascii="Arabic Transparent" w:hAnsi="Arabic Transparent" w:cs="Arabic Transparent"/>
          <w:sz w:val="28"/>
          <w:szCs w:val="28"/>
          <w:vertAlign w:val="superscript"/>
          <w:rtl/>
          <w:lang w:bidi="ar-JO"/>
        </w:rPr>
        <w:footnoteReference w:id="251"/>
      </w:r>
      <w:r w:rsidR="00017DFE" w:rsidRPr="00001A51">
        <w:rPr>
          <w:rFonts w:ascii="Arabic Transparent" w:hAnsi="Arabic Transparent" w:cs="Arabic Transparent"/>
          <w:sz w:val="28"/>
          <w:szCs w:val="28"/>
          <w:vertAlign w:val="superscript"/>
          <w:rtl/>
          <w:lang w:bidi="ar-JO"/>
        </w:rPr>
        <w:t>)</w:t>
      </w:r>
      <w:r w:rsidR="00017DFE" w:rsidRPr="00001A51">
        <w:rPr>
          <w:rFonts w:ascii="Arabic Transparent" w:hAnsi="Arabic Transparent" w:cs="Arabic Transparent"/>
          <w:sz w:val="28"/>
          <w:szCs w:val="28"/>
          <w:rtl/>
          <w:lang w:bidi="ar-JO"/>
        </w:rPr>
        <w:t>.</w:t>
      </w:r>
      <w:r w:rsidR="00017DFE" w:rsidRPr="00001A51">
        <w:rPr>
          <w:rFonts w:ascii="Arabic Transparent" w:hAnsi="Arabic Transparent" w:cs="Arabic Transparent"/>
          <w:sz w:val="28"/>
          <w:szCs w:val="28"/>
          <w:rtl/>
          <w:lang w:bidi="ar-JO"/>
        </w:rPr>
        <w:br w:type="page"/>
      </w:r>
    </w:p>
    <w:p w14:paraId="6CA71C0B" w14:textId="77777777" w:rsidR="00017DFE" w:rsidRPr="00001A51" w:rsidRDefault="00017DFE" w:rsidP="00017DFE">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 xml:space="preserve">ثالثاً: الإجماع: </w:t>
      </w:r>
    </w:p>
    <w:p w14:paraId="61EBD412" w14:textId="171B57C9" w:rsidR="00017DFE" w:rsidRPr="00001A51" w:rsidRDefault="005D7B91" w:rsidP="00017DFE">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017DFE" w:rsidRPr="00001A51">
        <w:rPr>
          <w:rFonts w:ascii="Arabic Transparent" w:hAnsi="Arabic Transparent" w:cs="Arabic Transparent"/>
          <w:sz w:val="28"/>
          <w:szCs w:val="28"/>
          <w:rtl/>
          <w:lang w:bidi="ar-JO"/>
        </w:rPr>
        <w:t>نقل القرافي الإجماع على التفاوت بين درجات الغرر والجهالة في الكثير والقليل، حيث قال هي: "ثلاثة أقسام ‌كثير ‌ممتنع ‌إجماعا كالطير</w:t>
      </w:r>
      <w:r w:rsidR="00017DFE" w:rsidRPr="00001A51">
        <w:rPr>
          <w:rFonts w:ascii="Aptos" w:hAnsi="Aptos"/>
          <w:rtl/>
        </w:rPr>
        <w:t xml:space="preserve"> </w:t>
      </w:r>
      <w:r w:rsidR="00017DFE" w:rsidRPr="00001A51">
        <w:rPr>
          <w:rFonts w:ascii="Arabic Transparent" w:hAnsi="Arabic Transparent" w:cs="Arabic Transparent"/>
          <w:sz w:val="28"/>
          <w:szCs w:val="28"/>
          <w:rtl/>
          <w:lang w:bidi="ar-JO"/>
        </w:rPr>
        <w:t>في الهواء</w:t>
      </w:r>
      <w:r w:rsidR="00017DFE" w:rsidRPr="00001A51">
        <w:rPr>
          <w:rFonts w:ascii="Arabic Transparent" w:hAnsi="Arabic Transparent" w:cs="Arabic Transparent"/>
          <w:sz w:val="28"/>
          <w:szCs w:val="28"/>
          <w:vertAlign w:val="superscript"/>
          <w:rtl/>
          <w:lang w:bidi="ar-JO"/>
        </w:rPr>
        <w:t>(</w:t>
      </w:r>
      <w:r w:rsidR="00017DFE" w:rsidRPr="00001A51">
        <w:rPr>
          <w:rFonts w:ascii="Arabic Transparent" w:hAnsi="Arabic Transparent" w:cs="Arabic Transparent"/>
          <w:sz w:val="28"/>
          <w:szCs w:val="28"/>
          <w:vertAlign w:val="superscript"/>
          <w:rtl/>
          <w:lang w:bidi="ar-JO"/>
        </w:rPr>
        <w:footnoteReference w:id="252"/>
      </w:r>
      <w:r w:rsidR="00017DFE" w:rsidRPr="00001A51">
        <w:rPr>
          <w:rFonts w:ascii="Arabic Transparent" w:hAnsi="Arabic Transparent" w:cs="Arabic Transparent"/>
          <w:sz w:val="28"/>
          <w:szCs w:val="28"/>
          <w:vertAlign w:val="superscript"/>
          <w:rtl/>
          <w:lang w:bidi="ar-JO"/>
        </w:rPr>
        <w:t>)</w:t>
      </w:r>
      <w:r w:rsidR="00017DFE" w:rsidRPr="00001A51">
        <w:rPr>
          <w:rFonts w:ascii="Arabic Transparent" w:hAnsi="Arabic Transparent" w:cs="Arabic Transparent"/>
          <w:sz w:val="28"/>
          <w:szCs w:val="28"/>
          <w:rtl/>
          <w:lang w:bidi="ar-JO"/>
        </w:rPr>
        <w:t>، وقليل جائز إجماعا كأساس الدار، وقطن الجبة</w:t>
      </w:r>
      <w:r w:rsidR="00017DFE" w:rsidRPr="00001A51">
        <w:rPr>
          <w:rFonts w:ascii="Arabic Transparent" w:hAnsi="Arabic Transparent" w:cs="Arabic Transparent"/>
          <w:sz w:val="28"/>
          <w:szCs w:val="28"/>
          <w:vertAlign w:val="superscript"/>
          <w:rtl/>
          <w:lang w:bidi="ar-JO"/>
        </w:rPr>
        <w:t>(</w:t>
      </w:r>
      <w:r w:rsidR="00017DFE" w:rsidRPr="00001A51">
        <w:rPr>
          <w:rFonts w:ascii="Arabic Transparent" w:hAnsi="Arabic Transparent" w:cs="Arabic Transparent"/>
          <w:sz w:val="28"/>
          <w:szCs w:val="28"/>
          <w:vertAlign w:val="superscript"/>
          <w:rtl/>
          <w:lang w:bidi="ar-JO"/>
        </w:rPr>
        <w:footnoteReference w:id="253"/>
      </w:r>
      <w:r w:rsidR="00017DFE" w:rsidRPr="00001A51">
        <w:rPr>
          <w:rFonts w:ascii="Arabic Transparent" w:hAnsi="Arabic Transparent" w:cs="Arabic Transparent"/>
          <w:sz w:val="28"/>
          <w:szCs w:val="28"/>
          <w:vertAlign w:val="superscript"/>
          <w:rtl/>
          <w:lang w:bidi="ar-JO"/>
        </w:rPr>
        <w:t>)</w:t>
      </w:r>
      <w:r w:rsidR="00017DFE" w:rsidRPr="00001A51">
        <w:rPr>
          <w:rFonts w:ascii="Arabic Transparent" w:hAnsi="Arabic Transparent" w:cs="Arabic Transparent"/>
          <w:sz w:val="28"/>
          <w:szCs w:val="28"/>
          <w:rtl/>
          <w:lang w:bidi="ar-JO"/>
        </w:rPr>
        <w:t>، ومتوسط اختلف فيه هل يلحق بالأول، أو الثاني، فلارتفاعه عن القليل ألحق بالكثير ولانحطاطه عن الكثير ألحق بالقليل، وهذا هو سبب اختلاف العلماء في فروع الغرر والجهالة"</w:t>
      </w:r>
      <w:r w:rsidR="00017DFE" w:rsidRPr="00001A51">
        <w:rPr>
          <w:rFonts w:ascii="Arabic Transparent" w:hAnsi="Arabic Transparent" w:cs="Arabic Transparent"/>
          <w:sz w:val="28"/>
          <w:szCs w:val="28"/>
          <w:vertAlign w:val="superscript"/>
          <w:rtl/>
          <w:lang w:bidi="ar-JO"/>
        </w:rPr>
        <w:t>(</w:t>
      </w:r>
      <w:r w:rsidR="00017DFE" w:rsidRPr="00001A51">
        <w:rPr>
          <w:rFonts w:ascii="Arabic Transparent" w:hAnsi="Arabic Transparent" w:cs="Arabic Transparent"/>
          <w:sz w:val="28"/>
          <w:szCs w:val="28"/>
          <w:vertAlign w:val="superscript"/>
          <w:rtl/>
          <w:lang w:bidi="ar-JO"/>
        </w:rPr>
        <w:footnoteReference w:id="254"/>
      </w:r>
      <w:r w:rsidR="00017DFE" w:rsidRPr="00001A51">
        <w:rPr>
          <w:rFonts w:ascii="Arabic Transparent" w:hAnsi="Arabic Transparent" w:cs="Arabic Transparent"/>
          <w:sz w:val="28"/>
          <w:szCs w:val="28"/>
          <w:vertAlign w:val="superscript"/>
          <w:rtl/>
          <w:lang w:bidi="ar-JO"/>
        </w:rPr>
        <w:t>)</w:t>
      </w:r>
      <w:r w:rsidR="0095634B" w:rsidRPr="00001A51">
        <w:rPr>
          <w:rFonts w:ascii="Arabic Transparent" w:hAnsi="Arabic Transparent" w:cs="Arabic Transparent" w:hint="cs"/>
          <w:sz w:val="28"/>
          <w:szCs w:val="28"/>
          <w:rtl/>
          <w:lang w:bidi="ar-JO"/>
        </w:rPr>
        <w:t>.</w:t>
      </w:r>
    </w:p>
    <w:p w14:paraId="5708E8A8" w14:textId="0BD24AFA" w:rsidR="003749C6" w:rsidRPr="00001A51" w:rsidRDefault="005D7B91" w:rsidP="003749C6">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017DFE" w:rsidRPr="00001A51">
        <w:rPr>
          <w:rFonts w:ascii="Arabic Transparent" w:hAnsi="Arabic Transparent" w:cs="Arabic Transparent"/>
          <w:sz w:val="28"/>
          <w:szCs w:val="28"/>
          <w:rtl/>
          <w:lang w:bidi="ar-JO"/>
        </w:rPr>
        <w:t xml:space="preserve">ونُقل الإجماع على أن تفاوت الوصف اليسير الذي تعارف الناس عليه لا يعد ناقضاً للبيع للحاجة؛ لأن في اعتباره سدٌ لباب البياعات، وقلما يخلو عوضان عن تفاوت يسير في القيمة، أو </w:t>
      </w:r>
      <w:r w:rsidR="00017DFE" w:rsidRPr="00001A51">
        <w:rPr>
          <w:rFonts w:ascii="Arabic Transparent" w:hAnsi="Arabic Transparent" w:cs="Arabic Transparent"/>
          <w:sz w:val="28"/>
          <w:szCs w:val="28"/>
          <w:rtl/>
          <w:lang w:bidi="ar-JO"/>
        </w:rPr>
        <w:lastRenderedPageBreak/>
        <w:t>الوصف، أو الجهالة، أو القدر، وغيرها مما تعارف الناس على المسامحة بها لا المشاحة.</w:t>
      </w:r>
      <w:r w:rsidR="00017DFE" w:rsidRPr="00001A51">
        <w:rPr>
          <w:rFonts w:ascii="Arabic Transparent" w:hAnsi="Arabic Transparent" w:cs="Arabic Transparent"/>
          <w:sz w:val="28"/>
          <w:szCs w:val="28"/>
          <w:vertAlign w:val="superscript"/>
          <w:rtl/>
          <w:lang w:bidi="ar-JO"/>
        </w:rPr>
        <w:t>(</w:t>
      </w:r>
      <w:r w:rsidR="00017DFE" w:rsidRPr="00001A51">
        <w:rPr>
          <w:rFonts w:ascii="Arabic Transparent" w:hAnsi="Arabic Transparent" w:cs="Arabic Transparent"/>
          <w:sz w:val="28"/>
          <w:szCs w:val="28"/>
          <w:vertAlign w:val="superscript"/>
          <w:rtl/>
          <w:lang w:bidi="ar-JO"/>
        </w:rPr>
        <w:footnoteReference w:id="255"/>
      </w:r>
      <w:r w:rsidR="00017DFE" w:rsidRPr="00001A51">
        <w:rPr>
          <w:rFonts w:ascii="Arabic Transparent" w:hAnsi="Arabic Transparent" w:cs="Arabic Transparent"/>
          <w:sz w:val="28"/>
          <w:szCs w:val="28"/>
          <w:vertAlign w:val="superscript"/>
          <w:rtl/>
          <w:lang w:bidi="ar-JO"/>
        </w:rPr>
        <w:t>)</w:t>
      </w:r>
      <w:r w:rsidR="007E23E6" w:rsidRPr="00001A51">
        <w:rPr>
          <w:rFonts w:ascii="Arabic Transparent" w:hAnsi="Arabic Transparent" w:cs="Arabic Transparent" w:hint="cs"/>
          <w:sz w:val="28"/>
          <w:szCs w:val="28"/>
          <w:rtl/>
          <w:lang w:bidi="ar-JO"/>
        </w:rPr>
        <w:t xml:space="preserve"> </w:t>
      </w:r>
      <w:r w:rsidR="00017DFE" w:rsidRPr="00001A51">
        <w:rPr>
          <w:rFonts w:ascii="Arabic Transparent" w:hAnsi="Arabic Transparent" w:cs="Arabic Transparent"/>
          <w:sz w:val="28"/>
          <w:szCs w:val="28"/>
          <w:rtl/>
          <w:lang w:bidi="ar-JO"/>
        </w:rPr>
        <w:t xml:space="preserve">وكذلك </w:t>
      </w:r>
      <w:r w:rsidR="003749C6" w:rsidRPr="00001A51">
        <w:rPr>
          <w:rFonts w:ascii="Arabic Transparent" w:hAnsi="Arabic Transparent" w:cs="Arabic Transparent"/>
          <w:sz w:val="28"/>
          <w:szCs w:val="28"/>
          <w:rtl/>
          <w:lang w:bidi="ar-JO"/>
        </w:rPr>
        <w:br w:type="page"/>
      </w:r>
    </w:p>
    <w:p w14:paraId="727D03AA" w14:textId="1DB49E3F" w:rsidR="00017DFE" w:rsidRPr="00001A51" w:rsidRDefault="00017DFE" w:rsidP="007E23E6">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تحدث الفقهاء عن تفاوت النظار والمجتهدين، حيث يقول أمير باد شاه:</w:t>
      </w:r>
      <w:r w:rsidR="00545BC7" w:rsidRPr="00001A51">
        <w:rPr>
          <w:rFonts w:ascii="Arabic Transparent" w:hAnsi="Arabic Transparent" w:cs="Arabic Transparent" w:hint="cs"/>
          <w:sz w:val="28"/>
          <w:szCs w:val="28"/>
          <w:rtl/>
          <w:lang w:bidi="ar-JO"/>
        </w:rPr>
        <w:t xml:space="preserve"> </w:t>
      </w:r>
      <w:r w:rsidRPr="00001A51">
        <w:rPr>
          <w:rFonts w:ascii="Arabic Transparent" w:hAnsi="Arabic Transparent" w:cs="Arabic Transparent"/>
          <w:sz w:val="28"/>
          <w:szCs w:val="28"/>
          <w:rtl/>
          <w:lang w:bidi="ar-JO"/>
        </w:rPr>
        <w:t>"</w:t>
      </w:r>
      <w:r w:rsidR="007A75DB" w:rsidRPr="00001A51">
        <w:rPr>
          <w:rFonts w:ascii="Arabic Transparent" w:hAnsi="Arabic Transparent" w:cs="Arabic Transparent" w:hint="cs"/>
          <w:sz w:val="28"/>
          <w:szCs w:val="28"/>
          <w:rtl/>
          <w:lang w:bidi="ar-JO"/>
        </w:rPr>
        <w:t xml:space="preserve">إنَّ </w:t>
      </w:r>
      <w:r w:rsidR="007A75DB" w:rsidRPr="00001A51">
        <w:rPr>
          <w:rFonts w:ascii="Arabic Transparent" w:hAnsi="Arabic Transparent" w:cs="Arabic Transparent"/>
          <w:sz w:val="28"/>
          <w:szCs w:val="28"/>
          <w:rtl/>
          <w:lang w:bidi="ar-JO"/>
        </w:rPr>
        <w:t>المجتهدين يتفاوتون في استنباط الأحكام من الآيات باختلاف ‌القرائح ‌والأذهان ‌وما ‌يفتحه الله تعالى على عباده</w:t>
      </w:r>
      <w:r w:rsidRPr="00001A51">
        <w:rPr>
          <w:rFonts w:ascii="Arabic Transparent" w:hAnsi="Arabic Transparent" w:cs="Arabic Transparent"/>
          <w:sz w:val="28"/>
          <w:szCs w:val="28"/>
          <w:rtl/>
          <w:lang w:bidi="ar-JO"/>
        </w:rPr>
        <w:t>"</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256"/>
      </w:r>
      <w:r w:rsidRPr="00001A51">
        <w:rPr>
          <w:rFonts w:ascii="Arabic Transparent" w:hAnsi="Arabic Transparent" w:cs="Arabic Transparent"/>
          <w:sz w:val="28"/>
          <w:szCs w:val="28"/>
          <w:vertAlign w:val="superscript"/>
          <w:rtl/>
          <w:lang w:bidi="ar-JO"/>
        </w:rPr>
        <w:t>)</w:t>
      </w:r>
      <w:r w:rsidR="00211C19" w:rsidRPr="00001A51">
        <w:rPr>
          <w:rFonts w:ascii="Arabic Transparent" w:hAnsi="Arabic Transparent" w:cs="Arabic Transparent" w:hint="cs"/>
          <w:sz w:val="28"/>
          <w:szCs w:val="28"/>
          <w:rtl/>
          <w:lang w:bidi="ar-JO"/>
        </w:rPr>
        <w:t>.</w:t>
      </w:r>
    </w:p>
    <w:p w14:paraId="4102778F" w14:textId="165337CB" w:rsidR="00017DFE" w:rsidRPr="00001A51" w:rsidRDefault="005D7B91" w:rsidP="00017DFE">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017DFE" w:rsidRPr="00001A51">
        <w:rPr>
          <w:rFonts w:ascii="Arabic Transparent" w:hAnsi="Arabic Transparent" w:cs="Arabic Transparent"/>
          <w:sz w:val="28"/>
          <w:szCs w:val="28"/>
          <w:rtl/>
          <w:lang w:bidi="ar-JO"/>
        </w:rPr>
        <w:t>وتحدث الشاطبي عن التفاوت عند حديثه عن تحقيق المناط الخاص، حيث عدَّه أصلاً كلياً في الاجتهاد التطبيقي، وأنه من عمل المجتهدين لا من عمل العوام؛ لأنه يتضمن ملاحظة مقاصد الشارع ومقاصد المكلَّف معًا، ومراعاة اختلاف الأحوال والأزمان والأشخاص، ومراعاة طبيعة الواقعة ووجود التفاوت فيها بتغير الأوصاف، أو الأحوال، أو المقادير</w:t>
      </w:r>
      <w:r w:rsidR="00017DFE" w:rsidRPr="00001A51">
        <w:rPr>
          <w:rFonts w:ascii="Arabic Transparent" w:hAnsi="Arabic Transparent" w:cs="Arabic Transparent"/>
          <w:sz w:val="28"/>
          <w:szCs w:val="28"/>
          <w:vertAlign w:val="superscript"/>
          <w:rtl/>
          <w:lang w:bidi="ar-JO"/>
        </w:rPr>
        <w:t>(</w:t>
      </w:r>
      <w:r w:rsidR="00017DFE" w:rsidRPr="00001A51">
        <w:rPr>
          <w:rFonts w:ascii="Arabic Transparent" w:hAnsi="Arabic Transparent" w:cs="Arabic Transparent"/>
          <w:sz w:val="28"/>
          <w:szCs w:val="28"/>
          <w:vertAlign w:val="superscript"/>
          <w:rtl/>
          <w:lang w:bidi="ar-JO"/>
        </w:rPr>
        <w:footnoteReference w:id="257"/>
      </w:r>
      <w:r w:rsidR="00017DFE" w:rsidRPr="00001A51">
        <w:rPr>
          <w:rFonts w:ascii="Arabic Transparent" w:hAnsi="Arabic Transparent" w:cs="Arabic Transparent"/>
          <w:sz w:val="28"/>
          <w:szCs w:val="28"/>
          <w:vertAlign w:val="superscript"/>
          <w:rtl/>
          <w:lang w:bidi="ar-JO"/>
        </w:rPr>
        <w:t>)</w:t>
      </w:r>
      <w:r w:rsidR="00017DFE" w:rsidRPr="00001A51">
        <w:rPr>
          <w:rFonts w:ascii="Arabic Transparent" w:hAnsi="Arabic Transparent" w:cs="Arabic Transparent"/>
          <w:sz w:val="28"/>
          <w:szCs w:val="28"/>
          <w:rtl/>
          <w:lang w:bidi="ar-JO"/>
        </w:rPr>
        <w:t>.</w:t>
      </w:r>
    </w:p>
    <w:p w14:paraId="16B18AE2" w14:textId="77777777" w:rsidR="00017DFE" w:rsidRPr="00001A51" w:rsidRDefault="00017DFE" w:rsidP="00017DFE">
      <w:pPr>
        <w:spacing w:after="0" w:line="360" w:lineRule="auto"/>
        <w:jc w:val="both"/>
        <w:rPr>
          <w:rFonts w:ascii="Arabic Transparent" w:hAnsi="Arabic Transparent" w:cs="Arabic Transparent"/>
          <w:b/>
          <w:bCs/>
          <w:sz w:val="32"/>
          <w:szCs w:val="32"/>
          <w:rtl/>
          <w:lang w:bidi="ar-JO"/>
        </w:rPr>
      </w:pPr>
      <w:r w:rsidRPr="00001A51">
        <w:rPr>
          <w:rFonts w:ascii="Arabic Transparent" w:hAnsi="Arabic Transparent" w:cs="Arabic Transparent"/>
          <w:b/>
          <w:bCs/>
          <w:sz w:val="32"/>
          <w:szCs w:val="32"/>
          <w:rtl/>
          <w:lang w:bidi="ar-JO"/>
        </w:rPr>
        <w:t xml:space="preserve">الفرع الثاني: أنواع التفاوت في المعاملات </w:t>
      </w:r>
    </w:p>
    <w:p w14:paraId="3429C317" w14:textId="5F453A25" w:rsidR="00017DFE" w:rsidRPr="00001A51" w:rsidRDefault="005D7B91" w:rsidP="00017DFE">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 xml:space="preserve">     </w:t>
      </w:r>
      <w:r w:rsidR="00017DFE" w:rsidRPr="00001A51">
        <w:rPr>
          <w:rFonts w:ascii="Arabic Transparent" w:hAnsi="Arabic Transparent" w:cs="Arabic Transparent"/>
          <w:sz w:val="28"/>
          <w:szCs w:val="28"/>
          <w:rtl/>
          <w:lang w:bidi="ar-JO"/>
        </w:rPr>
        <w:t xml:space="preserve">عرفّ الباحث أنّ التفاوت هو: اختلاف يندرج تحت الأجناس المتحدة، وبعد الاستقراء تبين أن التفاوت عند الفقهاء، إما أن يكون طبيعي غير مؤثر، وإما أن يكون مؤثراً يعود إلى ذات الواقعة كأن يقع في الجنس، أو الوصف، أو القدر، أو يعود إلى تقدير المجتهد، وبيان كل نوع من أنواعه كما يأتي: </w:t>
      </w:r>
    </w:p>
    <w:p w14:paraId="412E0BAB" w14:textId="77777777" w:rsidR="00017DFE" w:rsidRPr="00001A51" w:rsidRDefault="00017DFE" w:rsidP="00017DFE">
      <w:pPr>
        <w:spacing w:after="0" w:line="360" w:lineRule="auto"/>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 xml:space="preserve">أولاً: التفاوت غير المؤثر: </w:t>
      </w:r>
    </w:p>
    <w:p w14:paraId="1E826F72" w14:textId="5F54C443" w:rsidR="00017DFE" w:rsidRPr="00001A51" w:rsidRDefault="005D7B91" w:rsidP="00017DFE">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017DFE" w:rsidRPr="00001A51">
        <w:rPr>
          <w:rFonts w:ascii="Arabic Transparent" w:hAnsi="Arabic Transparent" w:cs="Arabic Transparent"/>
          <w:sz w:val="28"/>
          <w:szCs w:val="28"/>
          <w:rtl/>
          <w:lang w:bidi="ar-JO"/>
        </w:rPr>
        <w:t xml:space="preserve">هو التفاوت الناشئ عن صنع الله عز وجل، وهو غير مؤثر في المعاملات المالية التي تجري بين الناس لقول الله تعالى </w:t>
      </w:r>
      <w:r w:rsidR="00017DFE" w:rsidRPr="00001A51">
        <w:rPr>
          <w:rFonts w:ascii="KFGQPC HAFS Uthmanic Script" w:hAnsi="Aptos" w:cs="KFGQPC HAFS Uthmanic Script"/>
          <w:color w:val="000000"/>
          <w:sz w:val="28"/>
          <w:szCs w:val="28"/>
          <w:rtl/>
        </w:rPr>
        <w:t>ﵟ وَٱللَّهُ فَضَّلَ بَعۡضَكُمۡ عَلَىٰ بَعۡضٖ فِي ٱلرِّزۡقِۚ فَمَا ٱلَّذِينَ فُضِّلُواْ بِرَآدِّي رِزۡقِهِمۡ عَلَىٰ مَا مَلَكَتۡ أَيۡمَٰنُهُمۡ فَهُمۡ فِيهِ سَوَآءٌۚ أَفَبِنِعۡمَةِ ٱللَّهِ يَجۡحَدُونَ ٧١ﵞﵝالنَّحۡل</w:t>
      </w:r>
      <w:r w:rsidRPr="00001A51">
        <w:rPr>
          <w:rFonts w:ascii="KFGQPC HAFS Uthmanic Script" w:hAnsi="Aptos" w:cs="KFGQPC HAFS Uthmanic Script"/>
          <w:color w:val="000000"/>
          <w:sz w:val="28"/>
          <w:szCs w:val="28"/>
          <w:rtl/>
        </w:rPr>
        <w:t xml:space="preserve">: </w:t>
      </w:r>
      <w:r w:rsidR="00017DFE" w:rsidRPr="00001A51">
        <w:rPr>
          <w:rFonts w:ascii="KFGQPC HAFS Uthmanic Script" w:hAnsi="Aptos" w:cs="KFGQPC HAFS Uthmanic Script"/>
          <w:color w:val="000000"/>
          <w:sz w:val="28"/>
          <w:szCs w:val="28"/>
          <w:rtl/>
        </w:rPr>
        <w:t xml:space="preserve">ﵑﵗﵜ </w:t>
      </w:r>
      <w:r w:rsidR="00017DFE" w:rsidRPr="00001A51">
        <w:rPr>
          <w:rFonts w:ascii="Arabic Transparent" w:hAnsi="Arabic Transparent" w:cs="Arabic Transparent"/>
          <w:b/>
          <w:bCs/>
          <w:color w:val="000000"/>
          <w:sz w:val="28"/>
          <w:szCs w:val="28"/>
          <w:rtl/>
        </w:rPr>
        <w:t>وجه الدلالة</w:t>
      </w:r>
      <w:r w:rsidR="00017DFE" w:rsidRPr="00001A51">
        <w:rPr>
          <w:rFonts w:ascii="KFGQPC HAFS Uthmanic Script" w:hAnsi="Aptos" w:cs="Cambria"/>
          <w:b/>
          <w:bCs/>
          <w:color w:val="000000"/>
          <w:sz w:val="28"/>
          <w:szCs w:val="28"/>
          <w:rtl/>
        </w:rPr>
        <w:t>:</w:t>
      </w:r>
      <w:r w:rsidR="00017DFE" w:rsidRPr="00001A51">
        <w:rPr>
          <w:rFonts w:ascii="KFGQPC HAFS Uthmanic Script" w:hAnsi="Aptos" w:cs="Cambria"/>
          <w:color w:val="000000"/>
          <w:sz w:val="28"/>
          <w:szCs w:val="28"/>
          <w:rtl/>
        </w:rPr>
        <w:t xml:space="preserve"> </w:t>
      </w:r>
      <w:r w:rsidR="00017DFE" w:rsidRPr="00001A51">
        <w:rPr>
          <w:rFonts w:ascii="Arabic Transparent" w:hAnsi="Arabic Transparent" w:cs="Arabic Transparent"/>
          <w:sz w:val="28"/>
          <w:szCs w:val="28"/>
          <w:rtl/>
          <w:lang w:bidi="ar-JO"/>
        </w:rPr>
        <w:t xml:space="preserve">ما جَبَلَ اللهُ </w:t>
      </w:r>
    </w:p>
    <w:p w14:paraId="758E7257" w14:textId="6175F926" w:rsidR="00017DFE" w:rsidRPr="00001A51" w:rsidRDefault="00017DFE" w:rsidP="003D70B2">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الناسَ عليه من اختلافٍ في الأرزاق والقدرات والمهارات والحاجات والأذواق، مما لا يُكتسَب ابتداءً باختيار الإنسان، بل هو سنة كونية مقررة في نصوص الكتاب والسنة</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258"/>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w:t>
      </w:r>
    </w:p>
    <w:p w14:paraId="2033BBFD" w14:textId="77777777" w:rsidR="002C272D" w:rsidRPr="00001A51" w:rsidRDefault="005D7B91" w:rsidP="00017DFE">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017DFE" w:rsidRPr="00001A51">
        <w:rPr>
          <w:rFonts w:ascii="Arabic Transparent" w:hAnsi="Arabic Transparent" w:cs="Arabic Transparent"/>
          <w:sz w:val="28"/>
          <w:szCs w:val="28"/>
          <w:rtl/>
          <w:lang w:bidi="ar-JO"/>
        </w:rPr>
        <w:t xml:space="preserve">ومن الأمثلة على هذا التفاوت غير المؤثر في المعاملات، تفاوت الرزق، فيشتري الغني من الفقير ويبيع الفقير ما يملك للغني، والتفاوت بين الغنى والفقر لا يؤثر في المعاملة مطلقاً، وكذلك كون البائع عربياً، أو أعجمياً، أو طويلاً، أو قصيراً، أو الذكورة، أو الأنوثة، بين المتعاقدين، وهذه الأوصاف التي يسميها علماء الأصول بالأوصاف الطردية، أو الأوصاف الملغاة، أو الأوصاف </w:t>
      </w:r>
    </w:p>
    <w:p w14:paraId="0378AA17" w14:textId="77777777" w:rsidR="002C272D" w:rsidRPr="00001A51" w:rsidRDefault="002C272D">
      <w:pPr>
        <w:bidi w:val="0"/>
        <w:spacing w:after="0" w:line="240" w:lineRule="auto"/>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br w:type="page"/>
      </w:r>
    </w:p>
    <w:p w14:paraId="751FFEA7" w14:textId="7BBFADBA" w:rsidR="00017DFE" w:rsidRPr="00001A51" w:rsidRDefault="00017DFE" w:rsidP="00017DFE">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غير المؤثرة، وهو كل وصف لا يشهد له دليل بالاعتبار، ولم يظهر وجه ارتباطه بالحكم، فهو مُلغى ولا يلتفت إليه عند علماء الأصول</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259"/>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xml:space="preserve">. </w:t>
      </w:r>
    </w:p>
    <w:p w14:paraId="677931BF" w14:textId="77777777" w:rsidR="00017DFE" w:rsidRPr="00001A51" w:rsidRDefault="00017DFE" w:rsidP="00017DFE">
      <w:pPr>
        <w:spacing w:after="0" w:line="360" w:lineRule="auto"/>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 xml:space="preserve">ثانياً: التفاوت المؤثر: </w:t>
      </w:r>
    </w:p>
    <w:p w14:paraId="2F764793" w14:textId="4721EF06" w:rsidR="00017DFE" w:rsidRPr="00001A51" w:rsidRDefault="005D7B91" w:rsidP="00017DFE">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017DFE" w:rsidRPr="00001A51">
        <w:rPr>
          <w:rFonts w:ascii="Arabic Transparent" w:hAnsi="Arabic Transparent" w:cs="Arabic Transparent"/>
          <w:sz w:val="28"/>
          <w:szCs w:val="28"/>
          <w:rtl/>
          <w:lang w:bidi="ar-JO"/>
        </w:rPr>
        <w:t>الأصل العام في التفاوت أنه صُنع الخالق سبحانه وتعالى وهو طبيعي في الكون، ويكون التفاوت مؤثراً في المعاملات إذا كان مقصوداً في المعاملة وله وجه اعتبار بالحكم، كالتفاوت بالجنس، أو الوصف، أو القدر، فكلها من أنواع التفاوت المؤثر؛ لأن الذي يجري معاملة من غير أن يهتم بالجنس والوصف والقدر يقع بالإثم أحياناً، فهي جوانب مؤثرة تعود إلى ذات الواقعة باختلاف الحكم عند تنزيله على بعض وقائعه، والقسم الآخر يعود إلى تقدير المجتهد في مدى مناسبة الحكم العام للواقعة ذات الطبيعة الجديدة، والظروف الخاصة التي ظهرت له، وتفصيلها كما يأتي:</w:t>
      </w:r>
    </w:p>
    <w:p w14:paraId="67A4AE6A" w14:textId="77777777" w:rsidR="00017DFE" w:rsidRPr="00001A51" w:rsidRDefault="00017DFE" w:rsidP="00017DFE">
      <w:pPr>
        <w:spacing w:after="0" w:line="360" w:lineRule="auto"/>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 xml:space="preserve">القسم الأول: يعود إلى الواقعة </w:t>
      </w:r>
    </w:p>
    <w:p w14:paraId="33C3F472" w14:textId="77777777" w:rsidR="00017DFE" w:rsidRPr="00001A51" w:rsidRDefault="00017DFE" w:rsidP="00017DFE">
      <w:pPr>
        <w:spacing w:after="0" w:line="360" w:lineRule="auto"/>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 xml:space="preserve">1- تفاوت بالجنس: </w:t>
      </w:r>
    </w:p>
    <w:p w14:paraId="32EE899E" w14:textId="77777777" w:rsidR="002C272D" w:rsidRPr="00001A51" w:rsidRDefault="005D7B91" w:rsidP="003D70B2">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b/>
          <w:bCs/>
          <w:sz w:val="28"/>
          <w:szCs w:val="28"/>
          <w:rtl/>
          <w:lang w:bidi="ar-JO"/>
        </w:rPr>
        <w:t xml:space="preserve">     </w:t>
      </w:r>
      <w:r w:rsidR="00017DFE" w:rsidRPr="00001A51">
        <w:rPr>
          <w:rFonts w:ascii="Arabic Transparent" w:hAnsi="Arabic Transparent" w:cs="Arabic Transparent"/>
          <w:sz w:val="28"/>
          <w:szCs w:val="28"/>
          <w:rtl/>
          <w:lang w:bidi="ar-JO"/>
        </w:rPr>
        <w:t>الاختلاف في أفراد الجنس الواحد هو محل للتفاوت، كالخضروات جنس يتفرع عنها العديد من الأنواع، مثل: الخيار، والخس، وكذلك أصناف المشروبات والمطعومات جنس تندرج تحتها الكثير من الأنواع، ويدل على ذلك قول الشيرازي</w:t>
      </w:r>
      <w:r w:rsidRPr="00001A51">
        <w:rPr>
          <w:rFonts w:ascii="Arabic Transparent" w:hAnsi="Arabic Transparent" w:cs="Arabic Transparent"/>
          <w:sz w:val="28"/>
          <w:szCs w:val="28"/>
          <w:rtl/>
          <w:lang w:bidi="ar-JO"/>
        </w:rPr>
        <w:t xml:space="preserve">: </w:t>
      </w:r>
      <w:r w:rsidR="00017DFE" w:rsidRPr="00001A51">
        <w:rPr>
          <w:rFonts w:ascii="Arabic Transparent" w:hAnsi="Arabic Transparent" w:cs="Arabic Transparent"/>
          <w:sz w:val="28"/>
          <w:szCs w:val="28"/>
          <w:rtl/>
          <w:lang w:bidi="ar-JO"/>
        </w:rPr>
        <w:t>"كل شيئين اتفقا في الاسم الخاص من أصل الخلقة ‌كالتمر ‌البرني والتمر المعقلي فهما جنس واحد وكل شيئين اختلفا في الاسم من أصل الخلقة كالحنطة والشعير والتمر والزبيب فهما جنسان"</w:t>
      </w:r>
      <w:r w:rsidR="00017DFE" w:rsidRPr="00001A51">
        <w:rPr>
          <w:rFonts w:ascii="Arabic Transparent" w:hAnsi="Arabic Transparent" w:cs="Arabic Transparent"/>
          <w:sz w:val="28"/>
          <w:szCs w:val="28"/>
          <w:vertAlign w:val="superscript"/>
          <w:rtl/>
          <w:lang w:bidi="ar-JO"/>
        </w:rPr>
        <w:t>(</w:t>
      </w:r>
      <w:r w:rsidR="00017DFE" w:rsidRPr="00001A51">
        <w:rPr>
          <w:rFonts w:ascii="Arabic Transparent" w:hAnsi="Arabic Transparent" w:cs="Arabic Transparent"/>
          <w:sz w:val="28"/>
          <w:szCs w:val="28"/>
          <w:vertAlign w:val="superscript"/>
          <w:rtl/>
          <w:lang w:bidi="ar-JO"/>
        </w:rPr>
        <w:footnoteReference w:id="260"/>
      </w:r>
      <w:r w:rsidR="00017DFE" w:rsidRPr="00001A51">
        <w:rPr>
          <w:rFonts w:ascii="Arabic Transparent" w:hAnsi="Arabic Transparent" w:cs="Arabic Transparent"/>
          <w:sz w:val="28"/>
          <w:szCs w:val="28"/>
          <w:vertAlign w:val="superscript"/>
          <w:rtl/>
          <w:lang w:bidi="ar-JO"/>
        </w:rPr>
        <w:t>)</w:t>
      </w:r>
      <w:r w:rsidR="003D70B2" w:rsidRPr="00001A51">
        <w:rPr>
          <w:rFonts w:ascii="Arabic Transparent" w:hAnsi="Arabic Transparent" w:cs="Arabic Transparent" w:hint="cs"/>
          <w:sz w:val="28"/>
          <w:szCs w:val="28"/>
          <w:rtl/>
          <w:lang w:bidi="ar-JO"/>
        </w:rPr>
        <w:t xml:space="preserve">، </w:t>
      </w:r>
      <w:r w:rsidR="00017DFE" w:rsidRPr="00001A51">
        <w:rPr>
          <w:rFonts w:ascii="Arabic Transparent" w:hAnsi="Arabic Transparent" w:cs="Arabic Transparent"/>
          <w:sz w:val="28"/>
          <w:szCs w:val="28"/>
          <w:rtl/>
          <w:lang w:bidi="ar-JO"/>
        </w:rPr>
        <w:t>ويشير الماوردي إلى جواز التفاوت بالنوع في بيع العرايا بقوله:</w:t>
      </w:r>
      <w:r w:rsidR="00151AED" w:rsidRPr="00001A51">
        <w:rPr>
          <w:rFonts w:ascii="Arabic Transparent" w:hAnsi="Arabic Transparent" w:cs="Arabic Transparent"/>
          <w:sz w:val="28"/>
          <w:szCs w:val="28"/>
          <w:rtl/>
          <w:lang w:bidi="ar-JO"/>
        </w:rPr>
        <w:t xml:space="preserve"> "</w:t>
      </w:r>
      <w:r w:rsidR="00017DFE" w:rsidRPr="00001A51">
        <w:rPr>
          <w:rFonts w:ascii="Arabic Transparent" w:hAnsi="Arabic Transparent" w:cs="Arabic Transparent"/>
          <w:sz w:val="28"/>
          <w:szCs w:val="28"/>
          <w:rtl/>
          <w:lang w:bidi="ar-JO"/>
        </w:rPr>
        <w:t>فلا فرق بين أن يتساويا في النوع ‌كالتمر ‌البرني بالرطب البرني أو يختلفا في النوع ‌كالتمر ‌البرني بالرطب المعقلي في جواز ذلك كله"</w:t>
      </w:r>
      <w:r w:rsidR="00017DFE" w:rsidRPr="00001A51">
        <w:rPr>
          <w:rFonts w:ascii="Arabic Transparent" w:hAnsi="Arabic Transparent" w:cs="Arabic Transparent"/>
          <w:sz w:val="28"/>
          <w:szCs w:val="28"/>
          <w:vertAlign w:val="superscript"/>
          <w:rtl/>
          <w:lang w:bidi="ar-JO"/>
        </w:rPr>
        <w:t>(</w:t>
      </w:r>
      <w:r w:rsidR="00017DFE" w:rsidRPr="00001A51">
        <w:rPr>
          <w:rFonts w:ascii="Arabic Transparent" w:hAnsi="Arabic Transparent" w:cs="Arabic Transparent"/>
          <w:sz w:val="28"/>
          <w:szCs w:val="28"/>
          <w:vertAlign w:val="superscript"/>
          <w:rtl/>
          <w:lang w:bidi="ar-JO"/>
        </w:rPr>
        <w:footnoteReference w:id="261"/>
      </w:r>
      <w:r w:rsidR="00017DFE" w:rsidRPr="00001A51">
        <w:rPr>
          <w:rFonts w:ascii="Arabic Transparent" w:hAnsi="Arabic Transparent" w:cs="Arabic Transparent"/>
          <w:sz w:val="28"/>
          <w:szCs w:val="28"/>
          <w:vertAlign w:val="superscript"/>
          <w:rtl/>
          <w:lang w:bidi="ar-JO"/>
        </w:rPr>
        <w:t>)</w:t>
      </w:r>
      <w:r w:rsidR="00017DFE" w:rsidRPr="00001A51">
        <w:rPr>
          <w:rFonts w:ascii="Arabic Transparent" w:hAnsi="Arabic Transparent" w:cs="Arabic Transparent"/>
          <w:sz w:val="28"/>
          <w:szCs w:val="28"/>
          <w:rtl/>
          <w:lang w:bidi="ar-JO"/>
        </w:rPr>
        <w:t xml:space="preserve"> والغاية أن الجنس واحد يدخل في رخصة بيع الرطب على رؤوس النخل بكيلها تمراً على وجه الأرض لما رواه‌ ‌أَبِو ‌هُرَيرَةَ </w:t>
      </w:r>
      <w:r w:rsidR="005224A0" w:rsidRPr="00001A51">
        <w:rPr>
          <w:rFonts w:ascii="AGA Arabesque" w:hAnsi="AGA Arabesque" w:cs="AGA Arabesque"/>
          <w:sz w:val="28"/>
          <w:szCs w:val="28"/>
          <w:lang w:bidi="ar-JO"/>
        </w:rPr>
        <w:t></w:t>
      </w:r>
      <w:r w:rsidR="00017DFE" w:rsidRPr="00001A51">
        <w:rPr>
          <w:rFonts w:ascii="Arabic Transparent" w:hAnsi="Arabic Transparent" w:cs="Arabic Transparent"/>
          <w:sz w:val="28"/>
          <w:szCs w:val="28"/>
          <w:rtl/>
          <w:lang w:bidi="ar-JO"/>
        </w:rPr>
        <w:t xml:space="preserve"> ‌قَالَ: "</w:t>
      </w:r>
      <w:r w:rsidR="007A75DB" w:rsidRPr="00001A51">
        <w:rPr>
          <w:rFonts w:ascii="Arabic Transparent" w:hAnsi="Arabic Transparent" w:cs="Arabic Transparent"/>
          <w:sz w:val="28"/>
          <w:szCs w:val="28"/>
          <w:rtl/>
          <w:lang w:bidi="ar-JO"/>
        </w:rPr>
        <w:t>رخ</w:t>
      </w:r>
      <w:r w:rsidR="0064615F" w:rsidRPr="00001A51">
        <w:rPr>
          <w:rFonts w:ascii="Arabic Transparent" w:hAnsi="Arabic Transparent" w:cs="Arabic Transparent" w:hint="cs"/>
          <w:sz w:val="28"/>
          <w:szCs w:val="28"/>
          <w:rtl/>
          <w:lang w:bidi="ar-JO"/>
        </w:rPr>
        <w:t>ّ</w:t>
      </w:r>
      <w:r w:rsidR="007A75DB" w:rsidRPr="00001A51">
        <w:rPr>
          <w:rFonts w:ascii="Arabic Transparent" w:hAnsi="Arabic Transparent" w:cs="Arabic Transparent"/>
          <w:sz w:val="28"/>
          <w:szCs w:val="28"/>
          <w:rtl/>
          <w:lang w:bidi="ar-JO"/>
        </w:rPr>
        <w:t xml:space="preserve">ص </w:t>
      </w:r>
      <w:r w:rsidR="007A75DB" w:rsidRPr="00001A51">
        <w:rPr>
          <w:rFonts w:ascii="AGA Arabesque" w:hAnsi="AGA Arabesque" w:cs="AGA Arabesque"/>
          <w:sz w:val="28"/>
          <w:szCs w:val="28"/>
          <w:lang w:bidi="ar-JO"/>
        </w:rPr>
        <w:t></w:t>
      </w:r>
      <w:r w:rsidR="007A75DB" w:rsidRPr="00001A51">
        <w:rPr>
          <w:rFonts w:ascii="Arabic Transparent" w:hAnsi="Arabic Transparent" w:cs="Arabic Transparent" w:hint="cs"/>
          <w:sz w:val="28"/>
          <w:szCs w:val="28"/>
          <w:rtl/>
          <w:lang w:bidi="ar-JO"/>
        </w:rPr>
        <w:t xml:space="preserve"> </w:t>
      </w:r>
      <w:r w:rsidR="007A75DB" w:rsidRPr="00001A51">
        <w:rPr>
          <w:rFonts w:ascii="Arabic Transparent" w:hAnsi="Arabic Transparent" w:cs="Arabic Transparent"/>
          <w:sz w:val="28"/>
          <w:szCs w:val="28"/>
          <w:rtl/>
          <w:lang w:bidi="ar-JO"/>
        </w:rPr>
        <w:t xml:space="preserve">في ‌بيع </w:t>
      </w:r>
    </w:p>
    <w:p w14:paraId="30BCE9E3" w14:textId="77777777" w:rsidR="002C272D" w:rsidRPr="00001A51" w:rsidRDefault="002C272D">
      <w:pPr>
        <w:bidi w:val="0"/>
        <w:spacing w:after="0" w:line="240" w:lineRule="auto"/>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lastRenderedPageBreak/>
        <w:br w:type="page"/>
      </w:r>
    </w:p>
    <w:p w14:paraId="41B41EB1" w14:textId="04223E4E" w:rsidR="00017DFE" w:rsidRPr="00001A51" w:rsidRDefault="007A75DB" w:rsidP="003D70B2">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sz w:val="28"/>
          <w:szCs w:val="28"/>
          <w:rtl/>
          <w:lang w:bidi="ar-JO"/>
        </w:rPr>
        <w:t xml:space="preserve">‌العرايا ‌بخرصها ‌من ‌التمر </w:t>
      </w:r>
      <w:r w:rsidR="00017DFE" w:rsidRPr="00001A51">
        <w:rPr>
          <w:rFonts w:ascii="Arabic Transparent" w:hAnsi="Arabic Transparent" w:cs="Arabic Transparent"/>
          <w:sz w:val="28"/>
          <w:szCs w:val="28"/>
          <w:rtl/>
          <w:lang w:bidi="ar-JO"/>
        </w:rPr>
        <w:t>"</w:t>
      </w:r>
      <w:r w:rsidR="00017DFE" w:rsidRPr="00001A51">
        <w:rPr>
          <w:rFonts w:ascii="Arabic Transparent" w:hAnsi="Arabic Transparent" w:cs="Arabic Transparent"/>
          <w:sz w:val="28"/>
          <w:szCs w:val="28"/>
          <w:vertAlign w:val="superscript"/>
          <w:rtl/>
          <w:lang w:bidi="ar-JO"/>
        </w:rPr>
        <w:t>(</w:t>
      </w:r>
      <w:r w:rsidR="00017DFE" w:rsidRPr="00001A51">
        <w:rPr>
          <w:rFonts w:ascii="Arabic Transparent" w:hAnsi="Arabic Transparent" w:cs="Arabic Transparent"/>
          <w:sz w:val="28"/>
          <w:szCs w:val="28"/>
          <w:vertAlign w:val="superscript"/>
          <w:rtl/>
          <w:lang w:bidi="ar-JO"/>
        </w:rPr>
        <w:footnoteReference w:id="262"/>
      </w:r>
      <w:r w:rsidR="00017DFE" w:rsidRPr="00001A51">
        <w:rPr>
          <w:rFonts w:ascii="Arabic Transparent" w:hAnsi="Arabic Transparent" w:cs="Arabic Transparent"/>
          <w:sz w:val="28"/>
          <w:szCs w:val="28"/>
          <w:vertAlign w:val="superscript"/>
          <w:rtl/>
          <w:lang w:bidi="ar-JO"/>
        </w:rPr>
        <w:t>)</w:t>
      </w:r>
      <w:r w:rsidR="00017DFE" w:rsidRPr="00001A51">
        <w:rPr>
          <w:rFonts w:ascii="Arabic Transparent" w:hAnsi="Arabic Transparent" w:cs="Arabic Transparent"/>
          <w:sz w:val="28"/>
          <w:szCs w:val="28"/>
          <w:rtl/>
          <w:lang w:bidi="ar-JO"/>
        </w:rPr>
        <w:t xml:space="preserve"> حيث إنَّ الأصل الشرعي عدم الجواز؛ لأنها من الأموال الربوية، التي يجب فيها التماثل في القدر والوصف ولكن النبي </w:t>
      </w:r>
      <w:r w:rsidR="00017DFE" w:rsidRPr="00001A51">
        <w:rPr>
          <w:rFonts w:ascii="AGA Arabesque" w:hAnsi="AGA Arabesque" w:cs="AGA Arabesque"/>
          <w:sz w:val="28"/>
          <w:szCs w:val="28"/>
          <w:lang w:bidi="ar-JO"/>
        </w:rPr>
        <w:t></w:t>
      </w:r>
      <w:r w:rsidR="00017DFE" w:rsidRPr="00001A51">
        <w:rPr>
          <w:rFonts w:ascii="Arabic Transparent" w:hAnsi="Arabic Transparent" w:cs="Arabic Transparent"/>
          <w:sz w:val="28"/>
          <w:szCs w:val="28"/>
          <w:rtl/>
          <w:lang w:bidi="ar-JO"/>
        </w:rPr>
        <w:t xml:space="preserve"> رخّص لحاجة بعض المسلمين من الأنصار فيما دون الخمسة أوسق</w:t>
      </w:r>
      <w:r w:rsidR="00017DFE" w:rsidRPr="00001A51">
        <w:rPr>
          <w:rFonts w:ascii="Arabic Transparent" w:hAnsi="Arabic Transparent" w:cs="Arabic Transparent"/>
          <w:sz w:val="28"/>
          <w:szCs w:val="28"/>
          <w:vertAlign w:val="superscript"/>
          <w:rtl/>
          <w:lang w:bidi="ar-JO"/>
        </w:rPr>
        <w:t>(</w:t>
      </w:r>
      <w:r w:rsidR="00017DFE" w:rsidRPr="00001A51">
        <w:rPr>
          <w:rFonts w:ascii="Arabic Transparent" w:hAnsi="Arabic Transparent" w:cs="Arabic Transparent"/>
          <w:sz w:val="28"/>
          <w:szCs w:val="28"/>
          <w:vertAlign w:val="superscript"/>
          <w:rtl/>
          <w:lang w:bidi="ar-JO"/>
        </w:rPr>
        <w:footnoteReference w:id="263"/>
      </w:r>
      <w:r w:rsidR="00017DFE" w:rsidRPr="00001A51">
        <w:rPr>
          <w:rFonts w:ascii="Arabic Transparent" w:hAnsi="Arabic Transparent" w:cs="Arabic Transparent"/>
          <w:sz w:val="28"/>
          <w:szCs w:val="28"/>
          <w:vertAlign w:val="superscript"/>
          <w:rtl/>
          <w:lang w:bidi="ar-JO"/>
        </w:rPr>
        <w:t>)</w:t>
      </w:r>
      <w:r w:rsidR="00017DFE" w:rsidRPr="00001A51">
        <w:rPr>
          <w:rFonts w:ascii="Arabic Transparent" w:hAnsi="Arabic Transparent" w:cs="Arabic Transparent"/>
          <w:sz w:val="28"/>
          <w:szCs w:val="28"/>
          <w:rtl/>
          <w:lang w:bidi="ar-JO"/>
        </w:rPr>
        <w:t>، وكذلك الاختلاف في الاجتهاد والفتوى هو راجع إلى التفاوت في النوع، حيث يقول النووي، "فَيظهر ‌التّفَاوت ‌بَين ‌المجتهدين فِيهَا (نصوص القبلة) والفتاوى أمارتها معنوية"</w:t>
      </w:r>
      <w:r w:rsidR="00017DFE" w:rsidRPr="00001A51">
        <w:rPr>
          <w:rFonts w:ascii="Arabic Transparent" w:hAnsi="Arabic Transparent" w:cs="Arabic Transparent"/>
          <w:sz w:val="28"/>
          <w:szCs w:val="28"/>
          <w:vertAlign w:val="superscript"/>
          <w:rtl/>
          <w:lang w:bidi="ar-JO"/>
        </w:rPr>
        <w:t>(</w:t>
      </w:r>
      <w:r w:rsidR="00017DFE" w:rsidRPr="00001A51">
        <w:rPr>
          <w:rFonts w:ascii="Arabic Transparent" w:hAnsi="Arabic Transparent" w:cs="Arabic Transparent"/>
          <w:sz w:val="28"/>
          <w:szCs w:val="28"/>
          <w:vertAlign w:val="superscript"/>
          <w:rtl/>
          <w:lang w:bidi="ar-JO"/>
        </w:rPr>
        <w:footnoteReference w:id="264"/>
      </w:r>
      <w:r w:rsidR="00017DFE" w:rsidRPr="00001A51">
        <w:rPr>
          <w:rFonts w:ascii="Arabic Transparent" w:hAnsi="Arabic Transparent" w:cs="Arabic Transparent"/>
          <w:sz w:val="28"/>
          <w:szCs w:val="28"/>
          <w:vertAlign w:val="superscript"/>
          <w:rtl/>
          <w:lang w:bidi="ar-JO"/>
        </w:rPr>
        <w:t>)</w:t>
      </w:r>
      <w:r w:rsidR="00017DFE" w:rsidRPr="00001A51">
        <w:rPr>
          <w:rFonts w:ascii="Arabic Transparent" w:hAnsi="Arabic Transparent" w:cs="Arabic Transparent"/>
          <w:sz w:val="28"/>
          <w:szCs w:val="28"/>
          <w:rtl/>
          <w:lang w:bidi="ar-JO"/>
        </w:rPr>
        <w:t>، لذلك التفاوت يتعلق في كثير من الأنواع التي تشترك في جنس واحد.</w:t>
      </w:r>
    </w:p>
    <w:p w14:paraId="360A4517" w14:textId="77777777" w:rsidR="00017DFE" w:rsidRPr="00001A51" w:rsidRDefault="00017DFE" w:rsidP="00017DFE">
      <w:pPr>
        <w:spacing w:after="0" w:line="360" w:lineRule="auto"/>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 xml:space="preserve">2- تفاوت بالوصف: </w:t>
      </w:r>
    </w:p>
    <w:p w14:paraId="067C372F" w14:textId="033D1B15" w:rsidR="0056621D" w:rsidRPr="00001A51" w:rsidRDefault="005D7B91" w:rsidP="0056621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017DFE" w:rsidRPr="00001A51">
        <w:rPr>
          <w:rFonts w:ascii="Arabic Transparent" w:hAnsi="Arabic Transparent" w:cs="Arabic Transparent"/>
          <w:sz w:val="28"/>
          <w:szCs w:val="28"/>
          <w:rtl/>
          <w:lang w:bidi="ar-JO"/>
        </w:rPr>
        <w:t>حيث يعد الاختلاف في أوصاف وصفات الأنواع محلاً للتفاوت، فالصفة دون الجنس وأنواعه المختلفة،</w:t>
      </w:r>
      <w:r w:rsidR="00017DFE" w:rsidRPr="00001A51">
        <w:rPr>
          <w:rFonts w:ascii="Arabic Transparent" w:hAnsi="Arabic Transparent" w:cs="Arabic Transparent"/>
          <w:sz w:val="28"/>
          <w:szCs w:val="28"/>
          <w:vertAlign w:val="superscript"/>
          <w:rtl/>
          <w:lang w:bidi="ar-JO"/>
        </w:rPr>
        <w:t>(</w:t>
      </w:r>
      <w:r w:rsidR="00017DFE" w:rsidRPr="00001A51">
        <w:rPr>
          <w:rFonts w:ascii="Arabic Transparent" w:hAnsi="Arabic Transparent" w:cs="Arabic Transparent"/>
          <w:sz w:val="28"/>
          <w:szCs w:val="28"/>
          <w:vertAlign w:val="superscript"/>
          <w:rtl/>
          <w:lang w:bidi="ar-JO"/>
        </w:rPr>
        <w:footnoteReference w:id="265"/>
      </w:r>
      <w:r w:rsidR="00017DFE" w:rsidRPr="00001A51">
        <w:rPr>
          <w:rFonts w:ascii="Arabic Transparent" w:hAnsi="Arabic Transparent" w:cs="Arabic Transparent"/>
          <w:sz w:val="28"/>
          <w:szCs w:val="28"/>
          <w:vertAlign w:val="superscript"/>
          <w:rtl/>
          <w:lang w:bidi="ar-JO"/>
        </w:rPr>
        <w:t>)</w:t>
      </w:r>
      <w:r w:rsidR="00017DFE" w:rsidRPr="00001A51">
        <w:rPr>
          <w:rFonts w:ascii="Arabic Transparent" w:hAnsi="Arabic Transparent" w:cs="Arabic Transparent"/>
          <w:sz w:val="28"/>
          <w:szCs w:val="28"/>
          <w:rtl/>
          <w:lang w:bidi="ar-JO"/>
        </w:rPr>
        <w:t xml:space="preserve"> وهو </w:t>
      </w:r>
      <w:r w:rsidR="002C272D" w:rsidRPr="00001A51">
        <w:rPr>
          <w:rFonts w:ascii="Arabic Transparent" w:hAnsi="Arabic Transparent" w:cs="Arabic Transparent" w:hint="cs"/>
          <w:sz w:val="28"/>
          <w:szCs w:val="28"/>
          <w:rtl/>
          <w:lang w:bidi="ar-JO"/>
        </w:rPr>
        <w:t>"</w:t>
      </w:r>
      <w:r w:rsidR="00017DFE" w:rsidRPr="00001A51">
        <w:rPr>
          <w:rFonts w:ascii="Arabic Transparent" w:hAnsi="Arabic Transparent" w:cs="Arabic Transparent"/>
          <w:sz w:val="28"/>
          <w:szCs w:val="28"/>
          <w:rtl/>
          <w:lang w:bidi="ar-JO"/>
        </w:rPr>
        <w:t>مصدر وَصَفَ، ويقال وصف الشيء بمعنى نعته بما فيه من المعاني والعلامات الفارقة، وهو الحلية والأمارة اللازمة للشيء التي تدل على معنى قائم به مثل: الطول، والقصر، والقدرة، والعجز، وغيرها</w:t>
      </w:r>
      <w:r w:rsidR="002C272D" w:rsidRPr="00001A51">
        <w:rPr>
          <w:rFonts w:ascii="Arabic Transparent" w:hAnsi="Arabic Transparent" w:cs="Arabic Transparent" w:hint="cs"/>
          <w:sz w:val="28"/>
          <w:szCs w:val="28"/>
          <w:rtl/>
          <w:lang w:bidi="ar-JO"/>
        </w:rPr>
        <w:t>"</w:t>
      </w:r>
      <w:r w:rsidR="00017DFE" w:rsidRPr="00001A51">
        <w:rPr>
          <w:rFonts w:ascii="Arabic Transparent" w:hAnsi="Arabic Transparent" w:cs="Arabic Transparent"/>
          <w:sz w:val="28"/>
          <w:szCs w:val="28"/>
          <w:vertAlign w:val="superscript"/>
          <w:rtl/>
          <w:lang w:bidi="ar-JO"/>
        </w:rPr>
        <w:t>(</w:t>
      </w:r>
      <w:r w:rsidR="00017DFE" w:rsidRPr="00001A51">
        <w:rPr>
          <w:rFonts w:ascii="Arabic Transparent" w:hAnsi="Arabic Transparent" w:cs="Arabic Transparent"/>
          <w:sz w:val="28"/>
          <w:szCs w:val="28"/>
          <w:vertAlign w:val="superscript"/>
          <w:rtl/>
          <w:lang w:bidi="ar-JO"/>
        </w:rPr>
        <w:footnoteReference w:id="266"/>
      </w:r>
      <w:r w:rsidR="00017DFE" w:rsidRPr="00001A51">
        <w:rPr>
          <w:rFonts w:ascii="Arabic Transparent" w:hAnsi="Arabic Transparent" w:cs="Arabic Transparent"/>
          <w:sz w:val="28"/>
          <w:szCs w:val="28"/>
          <w:vertAlign w:val="superscript"/>
          <w:rtl/>
          <w:lang w:bidi="ar-JO"/>
        </w:rPr>
        <w:t>)</w:t>
      </w:r>
      <w:r w:rsidR="0056621D" w:rsidRPr="00001A51">
        <w:rPr>
          <w:rFonts w:ascii="Arabic Transparent" w:hAnsi="Arabic Transparent" w:cs="Arabic Transparent" w:hint="cs"/>
          <w:sz w:val="28"/>
          <w:szCs w:val="28"/>
          <w:rtl/>
          <w:lang w:bidi="ar-JO"/>
        </w:rPr>
        <w:t xml:space="preserve"> </w:t>
      </w:r>
    </w:p>
    <w:p w14:paraId="5AB068AB" w14:textId="4243A299" w:rsidR="00017DFE" w:rsidRPr="00001A51" w:rsidRDefault="00017DFE" w:rsidP="0056621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وفي الاصطلاح: فالصفة هي: "أمر زائد على الذات، والأمارة اللازمة بذات الموصوف الذي يعرف بها</w:t>
      </w:r>
      <w:r w:rsidR="0064615F" w:rsidRPr="00001A51">
        <w:rPr>
          <w:rFonts w:ascii="Arabic Transparent" w:hAnsi="Arabic Transparent" w:cs="Arabic Transparent" w:hint="cs"/>
          <w:sz w:val="28"/>
          <w:szCs w:val="28"/>
          <w:rtl/>
          <w:lang w:bidi="ar-JO"/>
        </w:rPr>
        <w:t>،</w:t>
      </w:r>
      <w:r w:rsidRPr="00001A51">
        <w:rPr>
          <w:rFonts w:ascii="Arabic Transparent" w:hAnsi="Arabic Transparent" w:cs="Arabic Transparent"/>
          <w:sz w:val="28"/>
          <w:szCs w:val="28"/>
          <w:rtl/>
          <w:lang w:bidi="ar-JO"/>
        </w:rPr>
        <w:t xml:space="preserve"> فيدخل فيه الألوان، والأكوان، والأصوات، والإدراكات، وغيرها"</w:t>
      </w:r>
      <w:r w:rsidR="0064615F" w:rsidRPr="00001A51">
        <w:rPr>
          <w:rFonts w:ascii="Arabic Transparent" w:hAnsi="Arabic Transparent" w:cs="Arabic Transparent"/>
          <w:sz w:val="28"/>
          <w:szCs w:val="28"/>
          <w:vertAlign w:val="superscript"/>
          <w:rtl/>
          <w:lang w:bidi="ar-JO"/>
        </w:rPr>
        <w:t>(</w:t>
      </w:r>
      <w:r w:rsidR="0064615F" w:rsidRPr="00001A51">
        <w:rPr>
          <w:rFonts w:ascii="Arabic Transparent" w:hAnsi="Arabic Transparent" w:cs="Arabic Transparent"/>
          <w:sz w:val="28"/>
          <w:szCs w:val="28"/>
          <w:vertAlign w:val="superscript"/>
          <w:rtl/>
          <w:lang w:bidi="ar-JO"/>
        </w:rPr>
        <w:footnoteReference w:id="267"/>
      </w:r>
      <w:r w:rsidR="0064615F"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وذلك نحو الذكاء والجنون، والشح، والسفه، وغيرها من الأحوال.</w:t>
      </w:r>
    </w:p>
    <w:p w14:paraId="41F68C7D" w14:textId="77777777" w:rsidR="00ED53A5" w:rsidRPr="00001A51" w:rsidRDefault="005D7B91" w:rsidP="00ED53A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017DFE" w:rsidRPr="00001A51">
        <w:rPr>
          <w:rFonts w:ascii="Arabic Transparent" w:hAnsi="Arabic Transparent" w:cs="Arabic Transparent"/>
          <w:sz w:val="28"/>
          <w:szCs w:val="28"/>
          <w:rtl/>
          <w:lang w:bidi="ar-JO"/>
        </w:rPr>
        <w:t>وعلى المعنى السابق يتبين أنَّ الصفة لا تفارق الموصوف؛ لأنها لا يمكن أن تفهم بمعزل عنه، ولا تستقل الصفة بنفسها، لكنها تقوم بغيرها، كالقول في جانب زكاة الأنعام السائمة، والمعلوفة</w:t>
      </w:r>
      <w:r w:rsidR="0056621D" w:rsidRPr="00001A51">
        <w:rPr>
          <w:rFonts w:ascii="Arabic Transparent" w:hAnsi="Arabic Transparent" w:cs="Arabic Transparent" w:hint="cs"/>
          <w:sz w:val="28"/>
          <w:szCs w:val="28"/>
          <w:rtl/>
          <w:lang w:bidi="ar-JO"/>
        </w:rPr>
        <w:t>،</w:t>
      </w:r>
      <w:r w:rsidR="00017DFE" w:rsidRPr="00001A51">
        <w:rPr>
          <w:rFonts w:ascii="Arabic Transparent" w:hAnsi="Arabic Transparent" w:cs="Arabic Transparent"/>
          <w:sz w:val="28"/>
          <w:szCs w:val="28"/>
          <w:rtl/>
          <w:lang w:bidi="ar-JO"/>
        </w:rPr>
        <w:t xml:space="preserve"> فهي أوصاف تتفاوت بينها الأنعام، وكذلك في زكاة الزروع والثمار هناك المروية والبعلية، فهذه الصفات تتفاوت فيما بينها عندما تتعلق بجنس واحد، والصفة هي محل للتفاوت، حيث يمكن أن يقال: إنّ التمر منه الجيد، ومنه الرديء، ومنه المتوسط بحسب الجودة، وهذا التفاوت تحدث عنه بعض </w:t>
      </w:r>
    </w:p>
    <w:p w14:paraId="6A94AACC" w14:textId="77777777" w:rsidR="00ED53A5" w:rsidRPr="00001A51" w:rsidRDefault="00ED53A5">
      <w:pPr>
        <w:bidi w:val="0"/>
        <w:spacing w:after="0" w:line="240" w:lineRule="auto"/>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br w:type="page"/>
      </w:r>
    </w:p>
    <w:p w14:paraId="3AA446EC" w14:textId="64694AB8" w:rsidR="00017DFE" w:rsidRPr="00001A51" w:rsidRDefault="00017DFE" w:rsidP="00ED53A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العلماء</w:t>
      </w:r>
      <w:r w:rsidR="00ED53A5" w:rsidRPr="00001A51">
        <w:rPr>
          <w:rFonts w:ascii="Arabic Transparent" w:hAnsi="Arabic Transparent" w:cs="Arabic Transparent" w:hint="cs"/>
          <w:sz w:val="28"/>
          <w:szCs w:val="28"/>
          <w:rtl/>
          <w:lang w:bidi="ar-JO"/>
        </w:rPr>
        <w:t>،</w:t>
      </w:r>
      <w:r w:rsidRPr="00001A51">
        <w:rPr>
          <w:rFonts w:ascii="Arabic Transparent" w:hAnsi="Arabic Transparent" w:cs="Arabic Transparent"/>
          <w:sz w:val="28"/>
          <w:szCs w:val="28"/>
          <w:rtl/>
          <w:lang w:bidi="ar-JO"/>
        </w:rPr>
        <w:t xml:space="preserve"> حيث قال المرغيناني: "لا يجوز بيع الجيد بالرديء مما فيه الربا إلا مثلا بمثل لإهدار ‌التفاوت ‌بالوصف"</w:t>
      </w:r>
      <w:r w:rsidR="004F1369" w:rsidRPr="00001A51">
        <w:rPr>
          <w:rFonts w:ascii="Arabic Transparent" w:hAnsi="Arabic Transparent" w:cs="Arabic Transparent"/>
          <w:sz w:val="28"/>
          <w:szCs w:val="28"/>
          <w:vertAlign w:val="superscript"/>
          <w:rtl/>
          <w:lang w:bidi="ar-JO"/>
        </w:rPr>
        <w:t>(</w:t>
      </w:r>
      <w:r w:rsidR="004F1369" w:rsidRPr="00001A51">
        <w:rPr>
          <w:rFonts w:ascii="Arabic Transparent" w:hAnsi="Arabic Transparent" w:cs="Arabic Transparent"/>
          <w:sz w:val="28"/>
          <w:szCs w:val="28"/>
          <w:vertAlign w:val="superscript"/>
          <w:rtl/>
          <w:lang w:bidi="ar-JO"/>
        </w:rPr>
        <w:footnoteReference w:id="268"/>
      </w:r>
      <w:r w:rsidR="004F1369" w:rsidRPr="00001A51">
        <w:rPr>
          <w:rFonts w:ascii="Arabic Transparent" w:hAnsi="Arabic Transparent" w:cs="Arabic Transparent"/>
          <w:sz w:val="28"/>
          <w:szCs w:val="28"/>
          <w:vertAlign w:val="superscript"/>
          <w:rtl/>
          <w:lang w:bidi="ar-JO"/>
        </w:rPr>
        <w:t>)</w:t>
      </w:r>
      <w:r w:rsidR="004F1369" w:rsidRPr="00001A51">
        <w:rPr>
          <w:rFonts w:ascii="Aptos" w:hAnsi="Aptos" w:hint="cs"/>
          <w:sz w:val="28"/>
          <w:szCs w:val="28"/>
          <w:rtl/>
        </w:rPr>
        <w:t xml:space="preserve">، </w:t>
      </w:r>
      <w:r w:rsidRPr="00001A51">
        <w:rPr>
          <w:rFonts w:ascii="Aptos" w:hAnsi="Aptos"/>
          <w:sz w:val="28"/>
          <w:szCs w:val="28"/>
          <w:rtl/>
        </w:rPr>
        <w:t xml:space="preserve">فيما يتعلق </w:t>
      </w:r>
      <w:r w:rsidRPr="00001A51">
        <w:rPr>
          <w:rFonts w:ascii="Arabic Transparent" w:hAnsi="Arabic Transparent" w:cs="Arabic Transparent"/>
          <w:sz w:val="28"/>
          <w:szCs w:val="28"/>
          <w:rtl/>
          <w:lang w:bidi="ar-JO"/>
        </w:rPr>
        <w:t>الجودة، والرداءة شرعا وعرفا.</w:t>
      </w:r>
    </w:p>
    <w:p w14:paraId="037D6FEB" w14:textId="3D47C6AA" w:rsidR="0056621D" w:rsidRPr="00001A51" w:rsidRDefault="005D7B91" w:rsidP="003749C6">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017DFE" w:rsidRPr="00001A51">
        <w:rPr>
          <w:rFonts w:ascii="Arabic Transparent" w:hAnsi="Arabic Transparent" w:cs="Arabic Transparent"/>
          <w:sz w:val="28"/>
          <w:szCs w:val="28"/>
          <w:rtl/>
          <w:lang w:bidi="ar-JO"/>
        </w:rPr>
        <w:t>ويبين الشنقيطي وهو يرد على قول أبي زرعة من جهة أن التفاوت بالصفة مؤثرٌ في الحكم في بعض المسائل حيث يقول:</w:t>
      </w:r>
      <w:r w:rsidR="00151AED" w:rsidRPr="00001A51">
        <w:rPr>
          <w:rFonts w:ascii="Arabic Transparent" w:hAnsi="Arabic Transparent" w:cs="Arabic Transparent"/>
          <w:sz w:val="28"/>
          <w:szCs w:val="28"/>
          <w:rtl/>
          <w:lang w:bidi="ar-JO"/>
        </w:rPr>
        <w:t xml:space="preserve"> "</w:t>
      </w:r>
      <w:r w:rsidR="00017DFE" w:rsidRPr="00001A51">
        <w:rPr>
          <w:rFonts w:ascii="Arabic Transparent" w:hAnsi="Arabic Transparent" w:cs="Arabic Transparent"/>
          <w:sz w:val="28"/>
          <w:szCs w:val="28"/>
          <w:rtl/>
          <w:lang w:bidi="ar-JO"/>
        </w:rPr>
        <w:t>يرد عليه أن التفاوت بالرِّق والحرية والإسلام والكفر ‌تفاوت ‌بالصفة وهو مؤثر في عدم وجوب القصاص"</w:t>
      </w:r>
      <w:r w:rsidR="00017DFE" w:rsidRPr="00001A51">
        <w:rPr>
          <w:rFonts w:ascii="Arabic Transparent" w:hAnsi="Arabic Transparent" w:cs="Arabic Transparent"/>
          <w:sz w:val="28"/>
          <w:szCs w:val="28"/>
          <w:vertAlign w:val="superscript"/>
          <w:rtl/>
          <w:lang w:bidi="ar-JO"/>
        </w:rPr>
        <w:t>(</w:t>
      </w:r>
      <w:r w:rsidR="00017DFE" w:rsidRPr="00001A51">
        <w:rPr>
          <w:rFonts w:ascii="Arabic Transparent" w:hAnsi="Arabic Transparent" w:cs="Arabic Transparent"/>
          <w:sz w:val="28"/>
          <w:szCs w:val="28"/>
          <w:vertAlign w:val="superscript"/>
          <w:rtl/>
          <w:lang w:bidi="ar-JO"/>
        </w:rPr>
        <w:footnoteReference w:id="269"/>
      </w:r>
      <w:r w:rsidR="00017DFE" w:rsidRPr="00001A51">
        <w:rPr>
          <w:rFonts w:ascii="Arabic Transparent" w:hAnsi="Arabic Transparent" w:cs="Arabic Transparent"/>
          <w:sz w:val="28"/>
          <w:szCs w:val="28"/>
          <w:vertAlign w:val="superscript"/>
          <w:rtl/>
          <w:lang w:bidi="ar-JO"/>
        </w:rPr>
        <w:t>)</w:t>
      </w:r>
      <w:r w:rsidR="00017DFE" w:rsidRPr="00001A51">
        <w:rPr>
          <w:rFonts w:ascii="Arabic Transparent" w:hAnsi="Arabic Transparent" w:cs="Arabic Transparent"/>
          <w:sz w:val="28"/>
          <w:szCs w:val="28"/>
          <w:rtl/>
          <w:lang w:bidi="ar-JO"/>
        </w:rPr>
        <w:t>، ويقول في موضع آخر إن التفاوت في وسيلة القتل غير مؤثر في الحكم ولا يمنع القصاص، فيقول: "لا يمنع القصاص تفاوت الآلات ككونه بسيف، أو غيرهما وتفاوت القتل ككونه يحز عنقاً، أو قطع عضو، وتفاوت القطع ككونه يحز المفصل من جهة واحدة أو من جهتين، أو بغير ذلك وفي ذلك"</w:t>
      </w:r>
      <w:r w:rsidR="00017DFE" w:rsidRPr="00001A51">
        <w:rPr>
          <w:rFonts w:ascii="Arabic Transparent" w:hAnsi="Arabic Transparent" w:cs="Arabic Transparent"/>
          <w:sz w:val="28"/>
          <w:szCs w:val="28"/>
          <w:vertAlign w:val="superscript"/>
          <w:rtl/>
          <w:lang w:bidi="ar-JO"/>
        </w:rPr>
        <w:t>(</w:t>
      </w:r>
      <w:r w:rsidR="00017DFE" w:rsidRPr="00001A51">
        <w:rPr>
          <w:rFonts w:ascii="Arabic Transparent" w:hAnsi="Arabic Transparent" w:cs="Arabic Transparent"/>
          <w:sz w:val="28"/>
          <w:szCs w:val="28"/>
          <w:vertAlign w:val="superscript"/>
          <w:rtl/>
          <w:lang w:bidi="ar-JO"/>
        </w:rPr>
        <w:footnoteReference w:id="270"/>
      </w:r>
      <w:r w:rsidR="00017DFE" w:rsidRPr="00001A51">
        <w:rPr>
          <w:rFonts w:ascii="Arabic Transparent" w:hAnsi="Arabic Transparent" w:cs="Arabic Transparent"/>
          <w:sz w:val="28"/>
          <w:szCs w:val="28"/>
          <w:vertAlign w:val="superscript"/>
          <w:rtl/>
          <w:lang w:bidi="ar-JO"/>
        </w:rPr>
        <w:t>)</w:t>
      </w:r>
      <w:r w:rsidR="00017DFE" w:rsidRPr="00001A51">
        <w:rPr>
          <w:rFonts w:ascii="Arabic Transparent" w:hAnsi="Arabic Transparent" w:cs="Arabic Transparent"/>
          <w:sz w:val="28"/>
          <w:szCs w:val="28"/>
          <w:rtl/>
          <w:lang w:bidi="ar-JO"/>
        </w:rPr>
        <w:t xml:space="preserve"> لذلك جرت عادة الفقهاء على اعتبار الوصف، ومن الأمثلة التي تذكر لدى الفقهاء التفاوت في الوصف في بيع السلم، فإذا سلم المبيع وأوصافه تتفاوت عن ما هو موصوف في الذمة فالمشتري بالخيار بين رده وقبوله</w:t>
      </w:r>
      <w:r w:rsidR="00017DFE" w:rsidRPr="00001A51">
        <w:rPr>
          <w:rFonts w:ascii="Arabic Transparent" w:hAnsi="Arabic Transparent" w:cs="Arabic Transparent"/>
          <w:sz w:val="28"/>
          <w:szCs w:val="28"/>
          <w:vertAlign w:val="superscript"/>
          <w:rtl/>
          <w:lang w:bidi="ar-JO"/>
        </w:rPr>
        <w:t>(</w:t>
      </w:r>
      <w:r w:rsidR="00017DFE" w:rsidRPr="00001A51">
        <w:rPr>
          <w:rFonts w:ascii="Arabic Transparent" w:hAnsi="Arabic Transparent" w:cs="Arabic Transparent"/>
          <w:sz w:val="28"/>
          <w:szCs w:val="28"/>
          <w:vertAlign w:val="superscript"/>
          <w:rtl/>
          <w:lang w:bidi="ar-JO"/>
        </w:rPr>
        <w:footnoteReference w:id="271"/>
      </w:r>
      <w:r w:rsidR="00017DFE" w:rsidRPr="00001A51">
        <w:rPr>
          <w:rFonts w:ascii="Arabic Transparent" w:hAnsi="Arabic Transparent" w:cs="Arabic Transparent"/>
          <w:sz w:val="28"/>
          <w:szCs w:val="28"/>
          <w:vertAlign w:val="superscript"/>
          <w:rtl/>
          <w:lang w:bidi="ar-JO"/>
        </w:rPr>
        <w:t>)</w:t>
      </w:r>
      <w:r w:rsidR="00017DFE" w:rsidRPr="00001A51">
        <w:rPr>
          <w:rFonts w:ascii="Arabic Transparent" w:hAnsi="Arabic Transparent" w:cs="Arabic Transparent"/>
          <w:sz w:val="28"/>
          <w:szCs w:val="28"/>
          <w:rtl/>
          <w:lang w:bidi="ar-JO"/>
        </w:rPr>
        <w:t>.</w:t>
      </w:r>
    </w:p>
    <w:p w14:paraId="31629F9A" w14:textId="77777777" w:rsidR="00017DFE" w:rsidRPr="00001A51" w:rsidRDefault="00017DFE" w:rsidP="00017DFE">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3- تفاوت بالقدر:</w:t>
      </w:r>
    </w:p>
    <w:p w14:paraId="2F919570" w14:textId="626CD928" w:rsidR="00017DFE" w:rsidRPr="00001A51" w:rsidRDefault="005D7B91" w:rsidP="00017DFE">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017DFE" w:rsidRPr="00001A51">
        <w:rPr>
          <w:rFonts w:ascii="Arabic Transparent" w:hAnsi="Arabic Transparent" w:cs="Arabic Transparent"/>
          <w:sz w:val="28"/>
          <w:szCs w:val="28"/>
          <w:rtl/>
          <w:lang w:bidi="ar-JO"/>
        </w:rPr>
        <w:t xml:space="preserve"> </w:t>
      </w:r>
      <w:r w:rsidR="004F1369" w:rsidRPr="00001A51">
        <w:rPr>
          <w:rFonts w:ascii="Arabic Transparent" w:hAnsi="Arabic Transparent" w:cs="Arabic Transparent" w:hint="cs"/>
          <w:sz w:val="28"/>
          <w:szCs w:val="28"/>
          <w:rtl/>
          <w:lang w:bidi="ar-JO"/>
        </w:rPr>
        <w:t>"</w:t>
      </w:r>
      <w:r w:rsidR="00017DFE" w:rsidRPr="00001A51">
        <w:rPr>
          <w:rFonts w:ascii="Arabic Transparent" w:hAnsi="Arabic Transparent" w:cs="Arabic Transparent"/>
          <w:sz w:val="28"/>
          <w:szCs w:val="28"/>
          <w:rtl/>
          <w:lang w:bidi="ar-JO"/>
        </w:rPr>
        <w:t>المقدار، أو القدر عند اختلافه هو محل للتفاوت، ويقصد به الاختلاف بالكيل، أو الوزن، أو العدد، أو الذرع، لأفراد الجنس الواحد</w:t>
      </w:r>
      <w:r w:rsidR="004F1369" w:rsidRPr="00001A51">
        <w:rPr>
          <w:rFonts w:ascii="Arabic Transparent" w:hAnsi="Arabic Transparent" w:cs="Arabic Transparent" w:hint="cs"/>
          <w:sz w:val="28"/>
          <w:szCs w:val="28"/>
          <w:rtl/>
          <w:lang w:bidi="ar-JO"/>
        </w:rPr>
        <w:t>"</w:t>
      </w:r>
      <w:r w:rsidR="00017DFE" w:rsidRPr="00001A51">
        <w:rPr>
          <w:rFonts w:ascii="Arabic Transparent" w:hAnsi="Arabic Transparent" w:cs="Arabic Transparent"/>
          <w:sz w:val="28"/>
          <w:szCs w:val="28"/>
          <w:vertAlign w:val="superscript"/>
          <w:rtl/>
          <w:lang w:bidi="ar-JO"/>
        </w:rPr>
        <w:t>(</w:t>
      </w:r>
      <w:r w:rsidR="00017DFE" w:rsidRPr="00001A51">
        <w:rPr>
          <w:rFonts w:ascii="Arabic Transparent" w:hAnsi="Arabic Transparent" w:cs="Arabic Transparent"/>
          <w:sz w:val="28"/>
          <w:szCs w:val="28"/>
          <w:vertAlign w:val="superscript"/>
          <w:rtl/>
          <w:lang w:bidi="ar-JO"/>
        </w:rPr>
        <w:footnoteReference w:id="272"/>
      </w:r>
      <w:r w:rsidR="00017DFE" w:rsidRPr="00001A51">
        <w:rPr>
          <w:rFonts w:ascii="Arabic Transparent" w:hAnsi="Arabic Transparent" w:cs="Arabic Transparent"/>
          <w:sz w:val="28"/>
          <w:szCs w:val="28"/>
          <w:vertAlign w:val="superscript"/>
          <w:rtl/>
          <w:lang w:bidi="ar-JO"/>
        </w:rPr>
        <w:t>)</w:t>
      </w:r>
      <w:r w:rsidR="00017DFE" w:rsidRPr="00001A51">
        <w:rPr>
          <w:rFonts w:ascii="Arabic Transparent" w:hAnsi="Arabic Transparent" w:cs="Arabic Transparent"/>
          <w:sz w:val="28"/>
          <w:szCs w:val="28"/>
          <w:rtl/>
          <w:lang w:bidi="ar-JO"/>
        </w:rPr>
        <w:t xml:space="preserve">، لذا يعتبر الحنفية التفاوت بالقدر أكثر تأثيراً من التفاوت بالصفة، أو بالنوع، فهو عندهم علة تحريم الربا في الأصناف الربوية في حين أن </w:t>
      </w:r>
      <w:r w:rsidR="004F1369" w:rsidRPr="00001A51">
        <w:rPr>
          <w:rFonts w:ascii="Arabic Transparent" w:hAnsi="Arabic Transparent" w:cs="Arabic Transparent" w:hint="cs"/>
          <w:sz w:val="28"/>
          <w:szCs w:val="28"/>
          <w:rtl/>
          <w:lang w:bidi="ar-JO"/>
        </w:rPr>
        <w:t>"</w:t>
      </w:r>
      <w:r w:rsidR="00017DFE" w:rsidRPr="00001A51">
        <w:rPr>
          <w:rFonts w:ascii="Arabic Transparent" w:hAnsi="Arabic Transparent" w:cs="Arabic Transparent"/>
          <w:sz w:val="28"/>
          <w:szCs w:val="28"/>
          <w:rtl/>
          <w:lang w:bidi="ar-JO"/>
        </w:rPr>
        <w:t>التفاوت بالصفة ليس معتبراً</w:t>
      </w:r>
      <w:r w:rsidR="004F1369" w:rsidRPr="00001A51">
        <w:rPr>
          <w:rFonts w:ascii="Arabic Transparent" w:hAnsi="Arabic Transparent" w:cs="Arabic Transparent" w:hint="cs"/>
          <w:sz w:val="28"/>
          <w:szCs w:val="28"/>
          <w:rtl/>
          <w:lang w:bidi="ar-JO"/>
        </w:rPr>
        <w:t>"</w:t>
      </w:r>
      <w:r w:rsidR="004F1369" w:rsidRPr="00001A51">
        <w:rPr>
          <w:rFonts w:ascii="Arabic Transparent" w:hAnsi="Arabic Transparent" w:cs="Arabic Transparent"/>
          <w:sz w:val="28"/>
          <w:szCs w:val="28"/>
          <w:vertAlign w:val="superscript"/>
          <w:rtl/>
          <w:lang w:bidi="ar-JO"/>
        </w:rPr>
        <w:t>(</w:t>
      </w:r>
      <w:r w:rsidR="004F1369" w:rsidRPr="00001A51">
        <w:rPr>
          <w:rFonts w:ascii="Arabic Transparent" w:hAnsi="Arabic Transparent" w:cs="Arabic Transparent"/>
          <w:sz w:val="28"/>
          <w:szCs w:val="28"/>
          <w:vertAlign w:val="superscript"/>
          <w:rtl/>
          <w:lang w:bidi="ar-JO"/>
        </w:rPr>
        <w:footnoteReference w:id="273"/>
      </w:r>
      <w:r w:rsidR="004F1369" w:rsidRPr="00001A51">
        <w:rPr>
          <w:rFonts w:ascii="Arabic Transparent" w:hAnsi="Arabic Transparent" w:cs="Arabic Transparent"/>
          <w:sz w:val="28"/>
          <w:szCs w:val="28"/>
          <w:vertAlign w:val="superscript"/>
          <w:rtl/>
          <w:lang w:bidi="ar-JO"/>
        </w:rPr>
        <w:t>)</w:t>
      </w:r>
      <w:r w:rsidR="00017DFE" w:rsidRPr="00001A51">
        <w:rPr>
          <w:rFonts w:ascii="Arabic Transparent" w:hAnsi="Arabic Transparent" w:cs="Arabic Transparent"/>
          <w:sz w:val="28"/>
          <w:szCs w:val="28"/>
          <w:rtl/>
          <w:lang w:bidi="ar-JO"/>
        </w:rPr>
        <w:t xml:space="preserve"> كما يرى السرخسي من الحنفية.</w:t>
      </w:r>
    </w:p>
    <w:p w14:paraId="2EEC6FBC" w14:textId="608EB1C5" w:rsidR="004F1369" w:rsidRPr="00001A51" w:rsidRDefault="00ED53A5" w:rsidP="003749C6">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hint="cs"/>
          <w:sz w:val="28"/>
          <w:szCs w:val="28"/>
          <w:rtl/>
          <w:lang w:bidi="ar-JO"/>
        </w:rPr>
        <w:t xml:space="preserve">     </w:t>
      </w:r>
      <w:r w:rsidR="00017DFE" w:rsidRPr="00001A51">
        <w:rPr>
          <w:rFonts w:ascii="Arabic Transparent" w:hAnsi="Arabic Transparent" w:cs="Arabic Transparent"/>
          <w:sz w:val="28"/>
          <w:szCs w:val="28"/>
          <w:rtl/>
          <w:lang w:bidi="ar-JO"/>
        </w:rPr>
        <w:t xml:space="preserve">والتفاوت في المقدار ذو أهمية كبير في المعاملات المالية، ففي باب المعاوضات يتحدث عنه الفقهاء تحت أبواب البيوع، والصرف، والسلم، والاستصناع، وفي كثير من المعاملات التفاوت في القدر يؤدي إلى تحريم المعاملة، وعدم صحة العقد كما هو الحال ببيع التمر بالتمر، أو القمح </w:t>
      </w:r>
      <w:r w:rsidR="00017DFE" w:rsidRPr="00001A51">
        <w:rPr>
          <w:rFonts w:ascii="Arabic Transparent" w:hAnsi="Arabic Transparent" w:cs="Arabic Transparent"/>
          <w:sz w:val="28"/>
          <w:szCs w:val="28"/>
          <w:rtl/>
          <w:lang w:bidi="ar-JO"/>
        </w:rPr>
        <w:lastRenderedPageBreak/>
        <w:t xml:space="preserve">بالقمح، وغيرها من الأصناف الربوية فلا يجوز أن تباع هذه الأصناف بجنسها متفاوتة بالقدر؛ لأنه يجري </w:t>
      </w:r>
    </w:p>
    <w:p w14:paraId="41D5FA8A" w14:textId="77777777" w:rsidR="004F1369" w:rsidRPr="00001A51" w:rsidRDefault="004F1369">
      <w:pPr>
        <w:bidi w:val="0"/>
        <w:spacing w:after="0" w:line="240" w:lineRule="auto"/>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br w:type="page"/>
      </w:r>
    </w:p>
    <w:p w14:paraId="03FF5D85" w14:textId="3F873A57" w:rsidR="0056621D" w:rsidRPr="00001A51" w:rsidRDefault="00017DFE" w:rsidP="003749C6">
      <w:pPr>
        <w:spacing w:after="0" w:line="360" w:lineRule="auto"/>
        <w:jc w:val="both"/>
        <w:rPr>
          <w:rFonts w:ascii="Arabic Transparent" w:hAnsi="Arabic Transparent" w:cs="Arabic Transparent"/>
          <w:sz w:val="28"/>
          <w:szCs w:val="28"/>
          <w:lang w:bidi="ar-JO"/>
        </w:rPr>
      </w:pPr>
      <w:r w:rsidRPr="00001A51">
        <w:rPr>
          <w:rFonts w:ascii="Arabic Transparent" w:hAnsi="Arabic Transparent" w:cs="Arabic Transparent"/>
          <w:sz w:val="28"/>
          <w:szCs w:val="28"/>
          <w:rtl/>
          <w:lang w:bidi="ar-JO"/>
        </w:rPr>
        <w:t>فيها الربا،</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274"/>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xml:space="preserve"> وكذلك القسمة بين الشركاء التي تحدث عنها الجويني: "من صور الفصل أن العرصة لو كانت مقسومة بين شريكين، وكانت القسمة تختلف بسبب قُربِ شقٍّ من الماء وبعدِ الشق الآخر منه، فلا تتأتى القسمة تعويلاً على مجرد التقدير المساحي، بل لا بد من تعديل القيمة مع ‌التفاوت في المقدار، فقد يقع النصف ثلثاً بالمساحة، والنصف الآخر ثلثين"</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275"/>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xml:space="preserve"> ويقصد الجويني أن التفاوت في القسمة وذهاب المنفعة عن أحد الشركين تقتضي تعديل القيمة مع التفاوت في المقدار بناءً على المساحة، إذن التفاوت مؤثر في الحكم عند إجراء التقسيم الجديد.ومن تعبيرات الفقهاء حول التفاوت بالقدر، التفاوت بالقليل، أو الكثير، أو المتوسط، أو الفاحش، أو القيمة، أو الصغر، أو الكبر، بالنسبة إلى الحجم، فهو كل ما يحتاج إلى مقياس، وهو لا ينضبط في الصفة إنما ينضبط المقدار والقياس بوحدات الوزن، أو الحجم، أو المسافة</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276"/>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w:t>
      </w:r>
    </w:p>
    <w:p w14:paraId="76B3701C" w14:textId="784A5DC0" w:rsidR="00017DFE" w:rsidRPr="00001A51" w:rsidRDefault="005D7B91" w:rsidP="00017DFE">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017DFE" w:rsidRPr="00001A51">
        <w:rPr>
          <w:rFonts w:ascii="Arabic Transparent" w:hAnsi="Arabic Transparent" w:cs="Arabic Transparent"/>
          <w:sz w:val="28"/>
          <w:szCs w:val="28"/>
          <w:rtl/>
          <w:lang w:bidi="ar-JO"/>
        </w:rPr>
        <w:t>بعد النظر في الأنواع السابقة من التفاوت التي تحدث عنها الفقهاء المتقدمين في كتبهم وهي الأنواع التي تتعلق بذات الواقعة، تبين أن هناك أنواعاً جديدة تتعلق بطريقة الاجتهاد والتقدير الاجتهادي بين العلماء، الذي له دور كبير في التفاوت عند تصور النازلة، وتوصيف الواقعة، والتكييف الفقهي، والنظر إلى الأعراف والمآلات والباعث، واعتبار المصالح والمفاسد</w:t>
      </w:r>
      <w:r w:rsidR="00017DFE" w:rsidRPr="00001A51">
        <w:rPr>
          <w:rFonts w:ascii="Arabic Transparent" w:hAnsi="Arabic Transparent" w:cs="Arabic Transparent"/>
          <w:sz w:val="28"/>
          <w:szCs w:val="28"/>
          <w:vertAlign w:val="superscript"/>
          <w:rtl/>
          <w:lang w:bidi="ar-JO"/>
        </w:rPr>
        <w:t>(</w:t>
      </w:r>
      <w:r w:rsidR="00017DFE" w:rsidRPr="00001A51">
        <w:rPr>
          <w:rFonts w:ascii="Arabic Transparent" w:hAnsi="Arabic Transparent" w:cs="Arabic Transparent"/>
          <w:sz w:val="28"/>
          <w:szCs w:val="28"/>
          <w:vertAlign w:val="superscript"/>
          <w:rtl/>
          <w:lang w:bidi="ar-JO"/>
        </w:rPr>
        <w:footnoteReference w:id="277"/>
      </w:r>
      <w:r w:rsidR="00017DFE" w:rsidRPr="00001A51">
        <w:rPr>
          <w:rFonts w:ascii="Arabic Transparent" w:hAnsi="Arabic Transparent" w:cs="Arabic Transparent"/>
          <w:sz w:val="28"/>
          <w:szCs w:val="28"/>
          <w:vertAlign w:val="superscript"/>
          <w:rtl/>
          <w:lang w:bidi="ar-JO"/>
        </w:rPr>
        <w:t>)</w:t>
      </w:r>
      <w:r w:rsidR="00017DFE" w:rsidRPr="00001A51">
        <w:rPr>
          <w:rFonts w:ascii="Arabic Transparent" w:hAnsi="Arabic Transparent" w:cs="Arabic Transparent"/>
          <w:sz w:val="28"/>
          <w:szCs w:val="28"/>
          <w:rtl/>
          <w:lang w:bidi="ar-JO"/>
        </w:rPr>
        <w:t>، وسوف يتم الحديث عنها تباعاً في هذا الفصل، فهي كلها تؤدي إلى تفاوت في التقدير الاجتهادي مما جعل العلماء يختلفون في الحكم بعد اتحاد الدليل الكلي للواقعة الواحدة.</w:t>
      </w:r>
    </w:p>
    <w:p w14:paraId="5CE0D63C" w14:textId="77777777" w:rsidR="00017DFE" w:rsidRPr="00001A51" w:rsidRDefault="00017DFE" w:rsidP="00017DFE">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القسم الثاني: يعود إلى تقدير المجتهدين:</w:t>
      </w:r>
    </w:p>
    <w:p w14:paraId="0EDF1818" w14:textId="243AF002" w:rsidR="00FC328B" w:rsidRPr="00001A51" w:rsidRDefault="005D7B91" w:rsidP="00FC328B">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017DFE" w:rsidRPr="00001A51">
        <w:rPr>
          <w:rFonts w:ascii="Arabic Transparent" w:hAnsi="Arabic Transparent" w:cs="Arabic Transparent"/>
          <w:sz w:val="28"/>
          <w:szCs w:val="28"/>
          <w:rtl/>
          <w:lang w:bidi="ar-JO"/>
        </w:rPr>
        <w:t>يتعلق هذا القسم بالتفاوت الناشئ عن اختلاف التقدير بين المجتهدين عند تنزيل الحكم الشرعي على محله، من حيث الاختلاف في فهم الواقعة وتصويرها، والاختلاف بسبب عدم الاعتماد على أهل الخبرة علماء المحاسبة والاقتصاد وغيرهم، وكذلك تفاوت بسبب عدم توافر المعلومات الفنية لدى الفقيه.</w:t>
      </w:r>
    </w:p>
    <w:p w14:paraId="04163FB7" w14:textId="77777777" w:rsidR="00FC328B" w:rsidRPr="00001A51" w:rsidRDefault="00FC328B">
      <w:pPr>
        <w:bidi w:val="0"/>
        <w:spacing w:after="0" w:line="240" w:lineRule="auto"/>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br w:type="page"/>
      </w:r>
    </w:p>
    <w:p w14:paraId="06F13B6E" w14:textId="338967B4" w:rsidR="0056621D" w:rsidRPr="00001A51" w:rsidRDefault="005D7B91" w:rsidP="00017DFE">
      <w:pPr>
        <w:spacing w:after="0" w:line="360" w:lineRule="auto"/>
        <w:jc w:val="both"/>
        <w:rPr>
          <w:rFonts w:ascii="Arabic Transparent" w:hAnsi="Arabic Transparent" w:cs="Arabic Transparent"/>
          <w:sz w:val="28"/>
          <w:szCs w:val="28"/>
          <w:vertAlign w:val="superscript"/>
          <w:rtl/>
          <w:lang w:bidi="ar-JO"/>
        </w:rPr>
      </w:pPr>
      <w:r w:rsidRPr="00001A51">
        <w:rPr>
          <w:rFonts w:ascii="Arabic Transparent" w:hAnsi="Arabic Transparent" w:cs="Arabic Transparent"/>
          <w:sz w:val="28"/>
          <w:szCs w:val="28"/>
          <w:rtl/>
          <w:lang w:bidi="ar-JO"/>
        </w:rPr>
        <w:t xml:space="preserve">     </w:t>
      </w:r>
      <w:r w:rsidR="00017DFE" w:rsidRPr="00001A51">
        <w:rPr>
          <w:rFonts w:ascii="Arabic Transparent" w:hAnsi="Arabic Transparent" w:cs="Arabic Transparent"/>
          <w:sz w:val="28"/>
          <w:szCs w:val="28"/>
          <w:rtl/>
          <w:lang w:bidi="ar-JO"/>
        </w:rPr>
        <w:t xml:space="preserve"> ومن الأمثلة على التفاوت فيما يتعلق بأنواع الشركات، فالشافعية ‌عندهم "شركة ‌الأبدان</w:t>
      </w:r>
      <w:r w:rsidR="00017DFE" w:rsidRPr="00001A51">
        <w:rPr>
          <w:rFonts w:ascii="Arabic Transparent" w:hAnsi="Arabic Transparent" w:cs="Arabic Transparent"/>
          <w:sz w:val="28"/>
          <w:szCs w:val="28"/>
          <w:vertAlign w:val="superscript"/>
          <w:rtl/>
          <w:lang w:bidi="ar-JO"/>
        </w:rPr>
        <w:t>(</w:t>
      </w:r>
      <w:r w:rsidR="00017DFE" w:rsidRPr="00001A51">
        <w:rPr>
          <w:rFonts w:ascii="Arabic Transparent" w:hAnsi="Arabic Transparent" w:cs="Arabic Transparent"/>
          <w:sz w:val="28"/>
          <w:szCs w:val="28"/>
          <w:vertAlign w:val="superscript"/>
          <w:rtl/>
          <w:lang w:bidi="ar-JO"/>
        </w:rPr>
        <w:footnoteReference w:id="278"/>
      </w:r>
      <w:r w:rsidR="00017DFE" w:rsidRPr="00001A51">
        <w:rPr>
          <w:rFonts w:ascii="Arabic Transparent" w:hAnsi="Arabic Transparent" w:cs="Arabic Transparent"/>
          <w:sz w:val="28"/>
          <w:szCs w:val="28"/>
          <w:vertAlign w:val="superscript"/>
          <w:rtl/>
          <w:lang w:bidi="ar-JO"/>
        </w:rPr>
        <w:t>)</w:t>
      </w:r>
      <w:r w:rsidR="00017DFE" w:rsidRPr="00001A51">
        <w:rPr>
          <w:rFonts w:ascii="Arabic Transparent" w:hAnsi="Arabic Transparent" w:cs="Arabic Transparent"/>
          <w:sz w:val="28"/>
          <w:szCs w:val="28"/>
          <w:rtl/>
          <w:lang w:bidi="ar-JO"/>
        </w:rPr>
        <w:t>، وشركة الوجوه</w:t>
      </w:r>
      <w:r w:rsidR="00017DFE" w:rsidRPr="00001A51">
        <w:rPr>
          <w:rFonts w:ascii="Arabic Transparent" w:hAnsi="Arabic Transparent" w:cs="Arabic Transparent"/>
          <w:sz w:val="28"/>
          <w:szCs w:val="28"/>
          <w:vertAlign w:val="superscript"/>
          <w:rtl/>
          <w:lang w:bidi="ar-JO"/>
        </w:rPr>
        <w:t>(</w:t>
      </w:r>
      <w:r w:rsidR="00017DFE" w:rsidRPr="00001A51">
        <w:rPr>
          <w:rFonts w:ascii="Arabic Transparent" w:hAnsi="Arabic Transparent" w:cs="Arabic Transparent"/>
          <w:sz w:val="28"/>
          <w:szCs w:val="28"/>
          <w:vertAlign w:val="superscript"/>
          <w:rtl/>
          <w:lang w:bidi="ar-JO"/>
        </w:rPr>
        <w:footnoteReference w:id="279"/>
      </w:r>
      <w:r w:rsidR="00017DFE" w:rsidRPr="00001A51">
        <w:rPr>
          <w:rFonts w:ascii="Arabic Transparent" w:hAnsi="Arabic Transparent" w:cs="Arabic Transparent"/>
          <w:sz w:val="28"/>
          <w:szCs w:val="28"/>
          <w:vertAlign w:val="superscript"/>
          <w:rtl/>
          <w:lang w:bidi="ar-JO"/>
        </w:rPr>
        <w:t>)</w:t>
      </w:r>
      <w:r w:rsidR="00017DFE" w:rsidRPr="00001A51">
        <w:rPr>
          <w:rFonts w:ascii="Arabic Transparent" w:hAnsi="Arabic Transparent" w:cs="Arabic Transparent"/>
          <w:sz w:val="28"/>
          <w:szCs w:val="28"/>
          <w:rtl/>
          <w:lang w:bidi="ar-JO"/>
        </w:rPr>
        <w:t>...كلّها باطلة إلا شركة العِنان</w:t>
      </w:r>
      <w:r w:rsidR="00017DFE" w:rsidRPr="00001A51">
        <w:rPr>
          <w:rFonts w:ascii="Arabic Transparent" w:hAnsi="Arabic Transparent" w:cs="Arabic Transparent"/>
          <w:sz w:val="28"/>
          <w:szCs w:val="28"/>
          <w:vertAlign w:val="superscript"/>
          <w:rtl/>
          <w:lang w:bidi="ar-JO"/>
        </w:rPr>
        <w:t>(</w:t>
      </w:r>
      <w:r w:rsidR="00017DFE" w:rsidRPr="00001A51">
        <w:rPr>
          <w:rFonts w:ascii="Arabic Transparent" w:hAnsi="Arabic Transparent" w:cs="Arabic Transparent"/>
          <w:sz w:val="28"/>
          <w:szCs w:val="28"/>
          <w:vertAlign w:val="superscript"/>
          <w:rtl/>
          <w:lang w:bidi="ar-JO"/>
        </w:rPr>
        <w:footnoteReference w:id="280"/>
      </w:r>
      <w:r w:rsidR="00017DFE" w:rsidRPr="00001A51">
        <w:rPr>
          <w:rFonts w:ascii="Arabic Transparent" w:hAnsi="Arabic Transparent" w:cs="Arabic Transparent"/>
          <w:sz w:val="28"/>
          <w:szCs w:val="28"/>
          <w:vertAlign w:val="superscript"/>
          <w:rtl/>
          <w:lang w:bidi="ar-JO"/>
        </w:rPr>
        <w:t>)</w:t>
      </w:r>
      <w:r w:rsidR="00017DFE" w:rsidRPr="00001A51">
        <w:rPr>
          <w:rFonts w:ascii="Arabic Transparent" w:hAnsi="Arabic Transparent" w:cs="Arabic Transparent"/>
          <w:sz w:val="28"/>
          <w:szCs w:val="28"/>
          <w:rtl/>
          <w:lang w:bidi="ar-JO"/>
        </w:rPr>
        <w:t>"</w:t>
      </w:r>
      <w:r w:rsidR="00017DFE" w:rsidRPr="00001A51">
        <w:rPr>
          <w:rFonts w:ascii="Arabic Transparent" w:hAnsi="Arabic Transparent" w:cs="Arabic Transparent"/>
          <w:sz w:val="28"/>
          <w:szCs w:val="28"/>
          <w:vertAlign w:val="superscript"/>
          <w:rtl/>
          <w:lang w:bidi="ar-JO"/>
        </w:rPr>
        <w:t>(</w:t>
      </w:r>
      <w:r w:rsidR="00017DFE" w:rsidRPr="00001A51">
        <w:rPr>
          <w:rFonts w:ascii="Arabic Transparent" w:hAnsi="Arabic Transparent" w:cs="Arabic Transparent"/>
          <w:sz w:val="28"/>
          <w:szCs w:val="28"/>
          <w:vertAlign w:val="superscript"/>
          <w:rtl/>
          <w:lang w:bidi="ar-JO"/>
        </w:rPr>
        <w:footnoteReference w:id="281"/>
      </w:r>
      <w:r w:rsidR="00017DFE" w:rsidRPr="00001A51">
        <w:rPr>
          <w:rFonts w:ascii="Arabic Transparent" w:hAnsi="Arabic Transparent" w:cs="Arabic Transparent"/>
          <w:sz w:val="28"/>
          <w:szCs w:val="28"/>
          <w:vertAlign w:val="superscript"/>
          <w:rtl/>
          <w:lang w:bidi="ar-JO"/>
        </w:rPr>
        <w:t>)</w:t>
      </w:r>
      <w:r w:rsidR="00017DFE" w:rsidRPr="00001A51">
        <w:rPr>
          <w:rFonts w:ascii="Arabic Transparent" w:hAnsi="Arabic Transparent" w:cs="Arabic Transparent"/>
          <w:sz w:val="28"/>
          <w:szCs w:val="28"/>
          <w:rtl/>
          <w:lang w:bidi="ar-JO"/>
        </w:rPr>
        <w:t xml:space="preserve"> بيد أنها عند الحنابلة تجوز في الجملة</w:t>
      </w:r>
      <w:r w:rsidR="00017DFE" w:rsidRPr="00001A51">
        <w:rPr>
          <w:rFonts w:ascii="Arabic Transparent" w:hAnsi="Arabic Transparent" w:cs="Arabic Transparent"/>
          <w:sz w:val="28"/>
          <w:szCs w:val="28"/>
          <w:vertAlign w:val="superscript"/>
          <w:rtl/>
          <w:lang w:bidi="ar-JO"/>
        </w:rPr>
        <w:t>(</w:t>
      </w:r>
      <w:r w:rsidR="00017DFE" w:rsidRPr="00001A51">
        <w:rPr>
          <w:rFonts w:ascii="Arabic Transparent" w:hAnsi="Arabic Transparent" w:cs="Arabic Transparent"/>
          <w:sz w:val="28"/>
          <w:szCs w:val="28"/>
          <w:vertAlign w:val="superscript"/>
          <w:rtl/>
          <w:lang w:bidi="ar-JO"/>
        </w:rPr>
        <w:footnoteReference w:id="282"/>
      </w:r>
      <w:r w:rsidR="00017DFE" w:rsidRPr="00001A51">
        <w:rPr>
          <w:rFonts w:ascii="Arabic Transparent" w:hAnsi="Arabic Transparent" w:cs="Arabic Transparent"/>
          <w:sz w:val="28"/>
          <w:szCs w:val="28"/>
          <w:vertAlign w:val="superscript"/>
          <w:rtl/>
          <w:lang w:bidi="ar-JO"/>
        </w:rPr>
        <w:t>)</w:t>
      </w:r>
      <w:r w:rsidR="0056621D" w:rsidRPr="00001A51">
        <w:rPr>
          <w:rFonts w:ascii="Arabic Transparent" w:hAnsi="Arabic Transparent" w:cs="Arabic Transparent" w:hint="cs"/>
          <w:sz w:val="28"/>
          <w:szCs w:val="28"/>
          <w:rtl/>
          <w:lang w:bidi="ar-JO"/>
        </w:rPr>
        <w:t>،</w:t>
      </w:r>
      <w:r w:rsidR="00017DFE" w:rsidRPr="00001A51">
        <w:rPr>
          <w:rFonts w:ascii="Arabic Transparent" w:hAnsi="Arabic Transparent" w:cs="Arabic Transparent"/>
          <w:sz w:val="28"/>
          <w:szCs w:val="28"/>
          <w:vertAlign w:val="superscript"/>
          <w:rtl/>
          <w:lang w:bidi="ar-JO"/>
        </w:rPr>
        <w:t xml:space="preserve"> </w:t>
      </w:r>
    </w:p>
    <w:p w14:paraId="469B07D5" w14:textId="6F819A77" w:rsidR="00017DFE" w:rsidRPr="00001A51" w:rsidRDefault="00017DFE" w:rsidP="00017DFE">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ووجه التفاوت راجع إلى أصل عندهم في باب الشركات، وهو أن الشركة الصحيحة عندهم تدور على مالٍ مشتركٍ منضبط يرجع إليه عند القِسمة، فإذا لم يوجد مالٌ مشترك تدخل الجهالة، أو يدخل الغررُ في محلِّ العقد، لذلك حَكَموا بالبطلان</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283"/>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xml:space="preserve">. </w:t>
      </w:r>
    </w:p>
    <w:p w14:paraId="44885085" w14:textId="19455977" w:rsidR="003749C6" w:rsidRPr="00001A51" w:rsidRDefault="005D7B91" w:rsidP="00017DFE">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sz w:val="28"/>
          <w:szCs w:val="28"/>
          <w:rtl/>
          <w:lang w:bidi="ar-JO"/>
        </w:rPr>
        <w:t xml:space="preserve">     </w:t>
      </w:r>
      <w:r w:rsidR="00017DFE" w:rsidRPr="00001A51">
        <w:rPr>
          <w:rFonts w:ascii="Arabic Transparent" w:hAnsi="Arabic Transparent" w:cs="Arabic Transparent"/>
          <w:sz w:val="28"/>
          <w:szCs w:val="28"/>
          <w:rtl/>
          <w:lang w:bidi="ar-JO"/>
        </w:rPr>
        <w:t xml:space="preserve">بالمقابل فإنَّ تقدير من أجازوا تلك الشركات، وقالوا: إنها صحيحة تجوز حيث تجوز الوكالة سواء في الوجوه، أو الأبدان، وهي من الشركات التي جرت معاملة الناس بها من لدن النبي </w:t>
      </w:r>
      <w:r w:rsidR="00017DFE" w:rsidRPr="00001A51">
        <w:rPr>
          <w:rFonts w:ascii="AGA Arabesque" w:hAnsi="AGA Arabesque" w:cs="AGA Arabesque"/>
          <w:sz w:val="28"/>
          <w:szCs w:val="28"/>
          <w:lang w:bidi="ar-JO"/>
        </w:rPr>
        <w:t></w:t>
      </w:r>
      <w:r w:rsidR="00017DFE" w:rsidRPr="00001A51">
        <w:rPr>
          <w:rFonts w:ascii="Arabic Transparent" w:hAnsi="Arabic Transparent" w:cs="Arabic Transparent"/>
          <w:sz w:val="28"/>
          <w:szCs w:val="28"/>
          <w:rtl/>
          <w:lang w:bidi="ar-JO"/>
        </w:rPr>
        <w:t xml:space="preserve"> إلى يومنا هذا من غير نكير، وهذا تعليل مبناه على شيوع التعامل مع ضبطها بالوكالة لا بمجرد الجاه، أو البدن المجرد عنها</w:t>
      </w:r>
      <w:r w:rsidR="00017DFE" w:rsidRPr="00001A51">
        <w:rPr>
          <w:rFonts w:ascii="Arabic Transparent" w:hAnsi="Arabic Transparent" w:cs="Arabic Transparent"/>
          <w:sz w:val="28"/>
          <w:szCs w:val="28"/>
          <w:vertAlign w:val="superscript"/>
          <w:rtl/>
          <w:lang w:bidi="ar-JO"/>
        </w:rPr>
        <w:t>(</w:t>
      </w:r>
      <w:r w:rsidR="00017DFE" w:rsidRPr="00001A51">
        <w:rPr>
          <w:rFonts w:ascii="Arabic Transparent" w:hAnsi="Arabic Transparent" w:cs="Arabic Transparent"/>
          <w:sz w:val="28"/>
          <w:szCs w:val="28"/>
          <w:vertAlign w:val="superscript"/>
          <w:rtl/>
          <w:lang w:bidi="ar-JO"/>
        </w:rPr>
        <w:footnoteReference w:id="284"/>
      </w:r>
      <w:r w:rsidR="00017DFE" w:rsidRPr="00001A51">
        <w:rPr>
          <w:rFonts w:ascii="Arabic Transparent" w:hAnsi="Arabic Transparent" w:cs="Arabic Transparent"/>
          <w:sz w:val="28"/>
          <w:szCs w:val="28"/>
          <w:vertAlign w:val="superscript"/>
          <w:rtl/>
          <w:lang w:bidi="ar-JO"/>
        </w:rPr>
        <w:t>)</w:t>
      </w:r>
      <w:r w:rsidR="00017DFE" w:rsidRPr="00001A51">
        <w:rPr>
          <w:rFonts w:ascii="Arabic Transparent" w:hAnsi="Arabic Transparent" w:cs="Arabic Transparent"/>
          <w:sz w:val="28"/>
          <w:szCs w:val="28"/>
          <w:rtl/>
          <w:lang w:bidi="ar-JO"/>
        </w:rPr>
        <w:t>، وفي المحصلة بعد النظر إلى التفاوت السابق الذي يعود إلى تقدير المجتهدين نجد أن الشافعية منعوه بالنظر إلى المآل، وحدوث النزاع عند إغلاق الشركة وإجراء القسمة، ومن قال بالجواز استند إلى ظاهر الأدلة وتعامل الناس بها بكثرة من غير نكير، فأجاز التعامل بها استحساناً لحاجة الناس لها، وقيامهما مقام الوكالة في العقود</w:t>
      </w:r>
      <w:r w:rsidR="00017DFE" w:rsidRPr="00001A51">
        <w:rPr>
          <w:rFonts w:ascii="Arabic Transparent" w:hAnsi="Arabic Transparent" w:cs="Arabic Transparent"/>
          <w:sz w:val="28"/>
          <w:szCs w:val="28"/>
          <w:vertAlign w:val="superscript"/>
          <w:rtl/>
          <w:lang w:bidi="ar-JO"/>
        </w:rPr>
        <w:t>(</w:t>
      </w:r>
      <w:r w:rsidR="00017DFE" w:rsidRPr="00001A51">
        <w:rPr>
          <w:rFonts w:ascii="Arabic Transparent" w:hAnsi="Arabic Transparent" w:cs="Arabic Transparent"/>
          <w:sz w:val="28"/>
          <w:szCs w:val="28"/>
          <w:vertAlign w:val="superscript"/>
          <w:rtl/>
          <w:lang w:bidi="ar-JO"/>
        </w:rPr>
        <w:footnoteReference w:id="285"/>
      </w:r>
      <w:r w:rsidR="00017DFE" w:rsidRPr="00001A51">
        <w:rPr>
          <w:rFonts w:ascii="Arabic Transparent" w:hAnsi="Arabic Transparent" w:cs="Arabic Transparent"/>
          <w:sz w:val="28"/>
          <w:szCs w:val="28"/>
          <w:vertAlign w:val="superscript"/>
          <w:rtl/>
          <w:lang w:bidi="ar-JO"/>
        </w:rPr>
        <w:t>)</w:t>
      </w:r>
      <w:r w:rsidR="00017DFE" w:rsidRPr="00001A51">
        <w:rPr>
          <w:rFonts w:ascii="Arabic Transparent" w:hAnsi="Arabic Transparent" w:cs="Arabic Transparent"/>
          <w:sz w:val="28"/>
          <w:szCs w:val="28"/>
          <w:rtl/>
          <w:lang w:bidi="ar-JO"/>
        </w:rPr>
        <w:t>.</w:t>
      </w:r>
    </w:p>
    <w:p w14:paraId="33F9D0E0" w14:textId="77777777" w:rsidR="003749C6" w:rsidRPr="00001A51" w:rsidRDefault="003749C6">
      <w:pPr>
        <w:bidi w:val="0"/>
        <w:spacing w:after="0" w:line="240" w:lineRule="auto"/>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br w:type="page"/>
      </w:r>
    </w:p>
    <w:p w14:paraId="3C85C580" w14:textId="77777777" w:rsidR="00017DFE" w:rsidRPr="00001A51" w:rsidRDefault="00017DFE" w:rsidP="00017DFE">
      <w:pPr>
        <w:spacing w:after="0" w:line="360" w:lineRule="auto"/>
        <w:jc w:val="both"/>
        <w:rPr>
          <w:rFonts w:ascii="Arabic Transparent" w:hAnsi="Arabic Transparent" w:cs="Arabic Transparent"/>
          <w:b/>
          <w:bCs/>
          <w:sz w:val="32"/>
          <w:szCs w:val="32"/>
          <w:rtl/>
          <w:lang w:bidi="ar-JO"/>
        </w:rPr>
      </w:pPr>
      <w:r w:rsidRPr="00001A51">
        <w:rPr>
          <w:rFonts w:ascii="Arabic Transparent" w:hAnsi="Arabic Transparent" w:cs="Arabic Transparent"/>
          <w:b/>
          <w:bCs/>
          <w:sz w:val="32"/>
          <w:szCs w:val="32"/>
          <w:rtl/>
          <w:lang w:bidi="ar-JO"/>
        </w:rPr>
        <w:t>المطلب الثاني: أركان التفاوت في تحقيق المناط الخاص:</w:t>
      </w:r>
    </w:p>
    <w:p w14:paraId="72F68867" w14:textId="1785DAF5" w:rsidR="00017DFE" w:rsidRPr="00001A51" w:rsidRDefault="005D7B91" w:rsidP="00017DFE">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017DFE" w:rsidRPr="00001A51">
        <w:rPr>
          <w:rFonts w:ascii="Arabic Transparent" w:hAnsi="Arabic Transparent" w:cs="Arabic Transparent"/>
          <w:sz w:val="28"/>
          <w:szCs w:val="28"/>
          <w:rtl/>
          <w:lang w:bidi="ar-JO"/>
        </w:rPr>
        <w:t xml:space="preserve">من أجل تصور التفاوت في تحقيق المناط الخاص لابد من بسط أركانه والحديث عنها من أجل تكوين صورة واضحة لهذا الموضوع، وهي كما يأتي: </w:t>
      </w:r>
    </w:p>
    <w:p w14:paraId="6967B1E4" w14:textId="5C02955F" w:rsidR="00017DFE" w:rsidRPr="00001A51" w:rsidRDefault="00017DFE" w:rsidP="003749C6">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b/>
          <w:bCs/>
          <w:sz w:val="28"/>
          <w:szCs w:val="28"/>
          <w:rtl/>
          <w:lang w:bidi="ar-JO"/>
        </w:rPr>
        <w:t xml:space="preserve">أولا: الدليل الكلي: </w:t>
      </w:r>
      <w:r w:rsidRPr="00001A51">
        <w:rPr>
          <w:rFonts w:ascii="Arabic Transparent" w:hAnsi="Arabic Transparent" w:cs="Arabic Transparent"/>
          <w:sz w:val="28"/>
          <w:szCs w:val="28"/>
          <w:rtl/>
          <w:lang w:bidi="ar-JO"/>
        </w:rPr>
        <w:t xml:space="preserve">وهو الحكم العام الثابت بمدركه الشرعي، والذي يتفق عليه جميع المجتهدين قبل الانتقال إلى الجزئيات، وهو النص العام، أو القاعدة الكلية، أو الضابط المعتبر، وبه يثبت الحكم بالجملة، قبل النظر في خصوصية الأعيان، ومثاله </w:t>
      </w:r>
      <w:r w:rsidR="00FC328B" w:rsidRPr="00001A51">
        <w:rPr>
          <w:rFonts w:ascii="Arabic Transparent" w:hAnsi="Arabic Transparent" w:cs="Arabic Transparent" w:hint="cs"/>
          <w:sz w:val="28"/>
          <w:szCs w:val="28"/>
          <w:rtl/>
          <w:lang w:bidi="ar-JO"/>
        </w:rPr>
        <w:t>"</w:t>
      </w:r>
      <w:r w:rsidRPr="00001A51">
        <w:rPr>
          <w:rFonts w:ascii="Arabic Transparent" w:hAnsi="Arabic Transparent" w:cs="Arabic Transparent"/>
          <w:sz w:val="28"/>
          <w:szCs w:val="28"/>
          <w:rtl/>
          <w:lang w:bidi="ar-JO"/>
        </w:rPr>
        <w:t>الأصل في المعاملات الإباحة</w:t>
      </w:r>
      <w:r w:rsidR="00FC328B" w:rsidRPr="00001A51">
        <w:rPr>
          <w:rFonts w:ascii="Arabic Transparent" w:hAnsi="Arabic Transparent" w:cs="Arabic Transparent" w:hint="cs"/>
          <w:sz w:val="28"/>
          <w:szCs w:val="28"/>
          <w:rtl/>
          <w:lang w:bidi="ar-JO"/>
        </w:rPr>
        <w:t>"</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286"/>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xml:space="preserve">، وكذلك </w:t>
      </w:r>
      <w:r w:rsidR="00FC328B" w:rsidRPr="00001A51">
        <w:rPr>
          <w:rFonts w:ascii="Arabic Transparent" w:hAnsi="Arabic Transparent" w:cs="Arabic Transparent" w:hint="cs"/>
          <w:sz w:val="28"/>
          <w:szCs w:val="28"/>
          <w:rtl/>
          <w:lang w:bidi="ar-JO"/>
        </w:rPr>
        <w:t>"</w:t>
      </w:r>
      <w:r w:rsidRPr="00001A51">
        <w:rPr>
          <w:rFonts w:ascii="Arabic Transparent" w:hAnsi="Arabic Transparent" w:cs="Arabic Transparent"/>
          <w:sz w:val="28"/>
          <w:szCs w:val="28"/>
          <w:rtl/>
          <w:lang w:bidi="ar-JO"/>
        </w:rPr>
        <w:t>كل قرض جر منفعة فهو ربا</w:t>
      </w:r>
      <w:r w:rsidR="00FC328B" w:rsidRPr="00001A51">
        <w:rPr>
          <w:rFonts w:ascii="Arabic Transparent" w:hAnsi="Arabic Transparent" w:cs="Arabic Transparent" w:hint="cs"/>
          <w:sz w:val="28"/>
          <w:szCs w:val="28"/>
          <w:rtl/>
          <w:lang w:bidi="ar-JO"/>
        </w:rPr>
        <w:t>"</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287"/>
      </w:r>
      <w:r w:rsidRPr="00001A51">
        <w:rPr>
          <w:rFonts w:ascii="Arabic Transparent" w:hAnsi="Arabic Transparent" w:cs="Arabic Transparent"/>
          <w:sz w:val="28"/>
          <w:szCs w:val="28"/>
          <w:vertAlign w:val="superscript"/>
          <w:rtl/>
          <w:lang w:bidi="ar-JO"/>
        </w:rPr>
        <w:t xml:space="preserve">) </w:t>
      </w:r>
      <w:r w:rsidRPr="00001A51">
        <w:rPr>
          <w:rFonts w:ascii="Arabic Transparent" w:hAnsi="Arabic Transparent" w:cs="Arabic Transparent"/>
          <w:sz w:val="28"/>
          <w:szCs w:val="28"/>
          <w:rtl/>
          <w:lang w:bidi="ar-JO"/>
        </w:rPr>
        <w:t>وغيرها.</w:t>
      </w:r>
    </w:p>
    <w:p w14:paraId="4A20648C" w14:textId="44F80867" w:rsidR="00017DFE" w:rsidRPr="00001A51" w:rsidRDefault="005D7B91" w:rsidP="00017DFE">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017DFE" w:rsidRPr="00001A51">
        <w:rPr>
          <w:rFonts w:ascii="Arabic Transparent" w:hAnsi="Arabic Transparent" w:cs="Arabic Transparent"/>
          <w:sz w:val="28"/>
          <w:szCs w:val="28"/>
          <w:rtl/>
          <w:lang w:bidi="ar-JO"/>
        </w:rPr>
        <w:t>ويعد اتحاد الدليل الكلي واتفاق العلماء عليه، واختلافهم في التنزيل من التفاوت في تحقيق المناط الخاص، واختلافهم في الدليل الكلي اختلافاً في الأدلة والمصادر الشرعية وليس له علاقة بالتنزيل والتفاوت فيه</w:t>
      </w:r>
      <w:r w:rsidR="00017DFE" w:rsidRPr="00001A51">
        <w:rPr>
          <w:rFonts w:ascii="Arabic Transparent" w:hAnsi="Arabic Transparent" w:cs="Arabic Transparent"/>
          <w:sz w:val="28"/>
          <w:szCs w:val="28"/>
          <w:vertAlign w:val="superscript"/>
          <w:rtl/>
          <w:lang w:bidi="ar-JO"/>
        </w:rPr>
        <w:t>(</w:t>
      </w:r>
      <w:r w:rsidR="00017DFE" w:rsidRPr="00001A51">
        <w:rPr>
          <w:rFonts w:ascii="Arabic Transparent" w:hAnsi="Arabic Transparent" w:cs="Arabic Transparent"/>
          <w:sz w:val="28"/>
          <w:szCs w:val="28"/>
          <w:vertAlign w:val="superscript"/>
          <w:rtl/>
          <w:lang w:bidi="ar-JO"/>
        </w:rPr>
        <w:footnoteReference w:id="288"/>
      </w:r>
      <w:r w:rsidR="00017DFE" w:rsidRPr="00001A51">
        <w:rPr>
          <w:rFonts w:ascii="Arabic Transparent" w:hAnsi="Arabic Transparent" w:cs="Arabic Transparent"/>
          <w:sz w:val="28"/>
          <w:szCs w:val="28"/>
          <w:vertAlign w:val="superscript"/>
          <w:rtl/>
          <w:lang w:bidi="ar-JO"/>
        </w:rPr>
        <w:t>)</w:t>
      </w:r>
      <w:r w:rsidR="00017DFE" w:rsidRPr="00001A51">
        <w:rPr>
          <w:rFonts w:ascii="Arabic Transparent" w:hAnsi="Arabic Transparent" w:cs="Arabic Transparent"/>
          <w:sz w:val="28"/>
          <w:szCs w:val="28"/>
          <w:rtl/>
          <w:lang w:bidi="ar-JO"/>
        </w:rPr>
        <w:t>.</w:t>
      </w:r>
    </w:p>
    <w:p w14:paraId="38652795" w14:textId="51D658C7" w:rsidR="00017DFE" w:rsidRPr="00001A51" w:rsidRDefault="00017DFE" w:rsidP="0015550E">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b/>
          <w:bCs/>
          <w:sz w:val="28"/>
          <w:szCs w:val="28"/>
          <w:rtl/>
          <w:lang w:bidi="ar-JO"/>
        </w:rPr>
        <w:t>ثانياً: المناط</w:t>
      </w:r>
      <w:r w:rsidR="005D7B91" w:rsidRPr="00001A51">
        <w:rPr>
          <w:rFonts w:ascii="Arabic Transparent" w:hAnsi="Arabic Transparent" w:cs="Arabic Transparent"/>
          <w:b/>
          <w:bCs/>
          <w:sz w:val="28"/>
          <w:szCs w:val="28"/>
          <w:rtl/>
          <w:lang w:bidi="ar-JO"/>
        </w:rPr>
        <w:t xml:space="preserve">: </w:t>
      </w:r>
      <w:r w:rsidRPr="00001A51">
        <w:rPr>
          <w:rFonts w:ascii="Arabic Transparent" w:hAnsi="Arabic Transparent" w:cs="Arabic Transparent"/>
          <w:sz w:val="28"/>
          <w:szCs w:val="28"/>
          <w:rtl/>
          <w:lang w:bidi="ar-JO"/>
        </w:rPr>
        <w:t xml:space="preserve">وهو </w:t>
      </w:r>
      <w:r w:rsidR="00FC328B" w:rsidRPr="00001A51">
        <w:rPr>
          <w:rFonts w:ascii="Arabic Transparent" w:hAnsi="Arabic Transparent" w:cs="Arabic Transparent" w:hint="cs"/>
          <w:sz w:val="28"/>
          <w:szCs w:val="28"/>
          <w:rtl/>
          <w:lang w:bidi="ar-JO"/>
        </w:rPr>
        <w:t>"</w:t>
      </w:r>
      <w:r w:rsidRPr="00001A51">
        <w:rPr>
          <w:rFonts w:ascii="Arabic Transparent" w:hAnsi="Arabic Transparent" w:cs="Arabic Transparent"/>
          <w:sz w:val="28"/>
          <w:szCs w:val="28"/>
          <w:rtl/>
          <w:lang w:bidi="ar-JO"/>
        </w:rPr>
        <w:t>الوصف الذي يبحث عن وجوده في آحاد الصور، بعد معرفتها في نفسها ليُعرف هل ينطبق المناط الذي وجد في الدليل الكلي على الوقائع الجزئية الحادثة</w:t>
      </w:r>
      <w:r w:rsidR="00FC328B" w:rsidRPr="00001A51">
        <w:rPr>
          <w:rFonts w:ascii="Arabic Transparent" w:hAnsi="Arabic Transparent" w:cs="Arabic Transparent" w:hint="cs"/>
          <w:sz w:val="28"/>
          <w:szCs w:val="28"/>
          <w:rtl/>
          <w:lang w:bidi="ar-JO"/>
        </w:rPr>
        <w:t>"</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289"/>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xml:space="preserve"> والتفاوت لا ينشأ من مجرد ذكر المناط، بل من تقدير قيامها في الصورة المعروضة وبأي قدر، وعلى سبيل المثال</w:t>
      </w:r>
      <w:r w:rsidR="008A7850" w:rsidRPr="00001A51">
        <w:rPr>
          <w:rFonts w:ascii="Arabic Transparent" w:hAnsi="Arabic Transparent" w:cs="Arabic Transparent" w:hint="cs"/>
          <w:sz w:val="28"/>
          <w:szCs w:val="28"/>
          <w:rtl/>
          <w:lang w:bidi="ar-JO"/>
        </w:rPr>
        <w:t>:</w:t>
      </w:r>
      <w:r w:rsidRPr="00001A51">
        <w:rPr>
          <w:rFonts w:ascii="Arabic Transparent" w:hAnsi="Arabic Transparent" w:cs="Arabic Transparent"/>
          <w:sz w:val="28"/>
          <w:szCs w:val="28"/>
          <w:rtl/>
          <w:lang w:bidi="ar-JO"/>
        </w:rPr>
        <w:t xml:space="preserve"> </w:t>
      </w:r>
      <w:r w:rsidR="008A7850" w:rsidRPr="00001A51">
        <w:rPr>
          <w:rFonts w:ascii="Arabic Transparent" w:hAnsi="Arabic Transparent" w:cs="Arabic Transparent" w:hint="cs"/>
          <w:sz w:val="28"/>
          <w:szCs w:val="28"/>
          <w:rtl/>
          <w:lang w:bidi="ar-JO"/>
        </w:rPr>
        <w:t>"</w:t>
      </w:r>
      <w:r w:rsidRPr="00001A51">
        <w:rPr>
          <w:rFonts w:ascii="Arabic Transparent" w:hAnsi="Arabic Transparent" w:cs="Arabic Transparent"/>
          <w:sz w:val="28"/>
          <w:szCs w:val="28"/>
          <w:rtl/>
          <w:lang w:bidi="ar-JO"/>
        </w:rPr>
        <w:t>الزيادة على القرض هل هي رسوم وعمولة إدارية، أم زيادة مشروطة على القرض</w:t>
      </w:r>
      <w:r w:rsidR="008A7850" w:rsidRPr="00001A51">
        <w:rPr>
          <w:rFonts w:ascii="Arabic Transparent" w:hAnsi="Arabic Transparent" w:cs="Arabic Transparent"/>
          <w:sz w:val="28"/>
          <w:szCs w:val="28"/>
          <w:vertAlign w:val="superscript"/>
          <w:rtl/>
          <w:lang w:bidi="ar-JO"/>
        </w:rPr>
        <w:t>(</w:t>
      </w:r>
      <w:r w:rsidR="008A7850" w:rsidRPr="00001A51">
        <w:rPr>
          <w:rFonts w:ascii="Arabic Transparent" w:hAnsi="Arabic Transparent" w:cs="Arabic Transparent"/>
          <w:sz w:val="28"/>
          <w:szCs w:val="28"/>
          <w:vertAlign w:val="superscript"/>
          <w:rtl/>
          <w:lang w:bidi="ar-JO"/>
        </w:rPr>
        <w:footnoteReference w:id="290"/>
      </w:r>
      <w:r w:rsidR="008A7850" w:rsidRPr="00001A51">
        <w:rPr>
          <w:rFonts w:ascii="Arabic Transparent" w:hAnsi="Arabic Transparent" w:cs="Arabic Transparent"/>
          <w:sz w:val="28"/>
          <w:szCs w:val="28"/>
          <w:vertAlign w:val="superscript"/>
          <w:rtl/>
          <w:lang w:bidi="ar-JO"/>
        </w:rPr>
        <w:t>)</w:t>
      </w:r>
      <w:r w:rsidR="008A7850" w:rsidRPr="00001A51">
        <w:rPr>
          <w:rFonts w:ascii="Arabic Transparent" w:hAnsi="Arabic Transparent" w:cs="Arabic Transparent" w:hint="cs"/>
          <w:sz w:val="28"/>
          <w:szCs w:val="28"/>
          <w:rtl/>
          <w:lang w:bidi="ar-JO"/>
        </w:rPr>
        <w:t>"</w:t>
      </w:r>
      <w:r w:rsidRPr="00001A51">
        <w:rPr>
          <w:rFonts w:ascii="Arabic Transparent" w:hAnsi="Arabic Transparent" w:cs="Arabic Transparent"/>
          <w:sz w:val="28"/>
          <w:szCs w:val="28"/>
          <w:rtl/>
          <w:lang w:bidi="ar-JO"/>
        </w:rPr>
        <w:t>؟ فهنا تفاوتت الأنظار في تحديد حكم الزيادة بناء على</w:t>
      </w:r>
      <w:r w:rsidR="008A7850" w:rsidRPr="00001A51">
        <w:rPr>
          <w:rFonts w:ascii="Arabic Transparent" w:hAnsi="Arabic Transparent" w:cs="Arabic Transparent" w:hint="cs"/>
          <w:sz w:val="28"/>
          <w:szCs w:val="28"/>
          <w:rtl/>
          <w:lang w:bidi="ar-JO"/>
        </w:rPr>
        <w:t xml:space="preserve"> بيان </w:t>
      </w:r>
      <w:r w:rsidRPr="00001A51">
        <w:rPr>
          <w:rFonts w:ascii="Arabic Transparent" w:hAnsi="Arabic Transparent" w:cs="Arabic Transparent"/>
          <w:sz w:val="28"/>
          <w:szCs w:val="28"/>
          <w:rtl/>
          <w:lang w:bidi="ar-JO"/>
        </w:rPr>
        <w:t>المراد منها.</w:t>
      </w:r>
    </w:p>
    <w:p w14:paraId="6CD65D8D" w14:textId="77777777" w:rsidR="00EC6FC1" w:rsidRPr="00001A51" w:rsidRDefault="00017DFE" w:rsidP="002F5D53">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b/>
          <w:bCs/>
          <w:sz w:val="28"/>
          <w:szCs w:val="28"/>
          <w:rtl/>
          <w:lang w:bidi="ar-JO"/>
        </w:rPr>
        <w:t xml:space="preserve">ثالثا: محل التنزيل: </w:t>
      </w:r>
      <w:r w:rsidRPr="00001A51">
        <w:rPr>
          <w:rFonts w:ascii="Arabic Transparent" w:hAnsi="Arabic Transparent" w:cs="Arabic Transparent"/>
          <w:sz w:val="28"/>
          <w:szCs w:val="28"/>
          <w:rtl/>
          <w:lang w:bidi="ar-JO"/>
        </w:rPr>
        <w:t xml:space="preserve">وهو تعيين المحل الذي سينزل عليه الحكم، ويتضمن تصوير الواقعة، والتعرف على شروطها وملابساتها والوقائع والأشخاص، وتغير الظروف الذي يطرأ عليهما، </w:t>
      </w:r>
      <w:r w:rsidRPr="00001A51">
        <w:rPr>
          <w:rFonts w:ascii="Arabic Transparent" w:hAnsi="Arabic Transparent" w:cs="Arabic Transparent"/>
          <w:sz w:val="28"/>
          <w:szCs w:val="28"/>
          <w:rtl/>
          <w:lang w:bidi="ar-JO"/>
        </w:rPr>
        <w:lastRenderedPageBreak/>
        <w:t xml:space="preserve">حيث يجري عليهما التفاوت بأنواعه، سواء أكان بالجنس، أو الوصف، أو القدر، وبينا سابقاً كيف عالج النبي </w:t>
      </w:r>
      <w:r w:rsidRPr="00001A51">
        <w:rPr>
          <w:rFonts w:ascii="AGA Arabesque" w:hAnsi="AGA Arabesque" w:cs="AGA Arabesque"/>
          <w:sz w:val="28"/>
          <w:szCs w:val="28"/>
          <w:lang w:bidi="ar-JO"/>
        </w:rPr>
        <w:t></w:t>
      </w:r>
      <w:r w:rsidRPr="00001A51">
        <w:rPr>
          <w:rFonts w:ascii="Arabic Transparent" w:hAnsi="Arabic Transparent" w:cs="Arabic Transparent"/>
          <w:sz w:val="28"/>
          <w:szCs w:val="28"/>
          <w:rtl/>
          <w:lang w:bidi="ar-JO"/>
        </w:rPr>
        <w:t xml:space="preserve"> </w:t>
      </w:r>
    </w:p>
    <w:p w14:paraId="21A06680" w14:textId="77777777" w:rsidR="00EC6FC1" w:rsidRPr="00001A51" w:rsidRDefault="00EC6FC1">
      <w:pPr>
        <w:bidi w:val="0"/>
        <w:spacing w:after="0" w:line="240" w:lineRule="auto"/>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br w:type="page"/>
      </w:r>
    </w:p>
    <w:p w14:paraId="26DA6342" w14:textId="76CFEC12" w:rsidR="0056621D" w:rsidRPr="00001A51" w:rsidRDefault="00017DFE" w:rsidP="002F5D53">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الوقائع المتشابهة، والأسئلة المتشابهة الواردة من الأشخاص بمعالجات مختلفة تناسب حال الشخص أو حال الواقعة</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291"/>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xml:space="preserve"> </w:t>
      </w:r>
    </w:p>
    <w:p w14:paraId="6B2500BC" w14:textId="2B4614F1" w:rsidR="00017DFE" w:rsidRPr="00001A51" w:rsidRDefault="00017DFE" w:rsidP="00017DFE">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b/>
          <w:bCs/>
          <w:sz w:val="28"/>
          <w:szCs w:val="28"/>
          <w:rtl/>
          <w:lang w:bidi="ar-JO"/>
        </w:rPr>
        <w:t>رابعا</w:t>
      </w:r>
      <w:r w:rsidR="0056621D" w:rsidRPr="00001A51">
        <w:rPr>
          <w:rFonts w:ascii="Arabic Transparent" w:hAnsi="Arabic Transparent" w:cs="Arabic Transparent" w:hint="cs"/>
          <w:b/>
          <w:bCs/>
          <w:sz w:val="28"/>
          <w:szCs w:val="28"/>
          <w:rtl/>
          <w:lang w:bidi="ar-JO"/>
        </w:rPr>
        <w:t>ً</w:t>
      </w:r>
      <w:r w:rsidRPr="00001A51">
        <w:rPr>
          <w:rFonts w:ascii="Arabic Transparent" w:hAnsi="Arabic Transparent" w:cs="Arabic Transparent"/>
          <w:b/>
          <w:bCs/>
          <w:sz w:val="28"/>
          <w:szCs w:val="28"/>
          <w:rtl/>
          <w:lang w:bidi="ar-JO"/>
        </w:rPr>
        <w:t xml:space="preserve">: مجتهد التحقيق: </w:t>
      </w:r>
      <w:r w:rsidRPr="00001A51">
        <w:rPr>
          <w:rFonts w:ascii="Arabic Transparent" w:hAnsi="Arabic Transparent" w:cs="Arabic Transparent"/>
          <w:sz w:val="28"/>
          <w:szCs w:val="28"/>
          <w:rtl/>
          <w:lang w:bidi="ar-JO"/>
        </w:rPr>
        <w:t>هو الذي يجري تحقيق المناط الخاص في الأنواع والأشخاص من خلال التأكد من صلاحية الوقائع الخاصة لتأخذ حكم الأصل (الدليل الكلي)، أم تأخذ حكماً جديداً يناسب الواقعة وملابساتها، ومثاله المفتي المتخصص في المعاملات المعاصرة، أو عضو هيئة الرقابة الشرعية، وقد يستعين بخبير مصرفي لتصوير الإجراءات الفنية، أو خبير قانوني، أو اقتصادي للتعرف على صورة الوقعة التي يبحث عن حكمها الشرعي، وهنا يظهر التفاوت من جهة المجتهد في تقدير مدى صلاحية ربط الواقعة الجزئية بالدليل الكلي للحكم عليها، أو إعطائها حكماً جديداً يناسب التغيير الذي حصل على الواقعة بارتفاع الأسباب المحرمة، أو وجودها</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292"/>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w:t>
      </w:r>
    </w:p>
    <w:p w14:paraId="059A18DF" w14:textId="77777777" w:rsidR="00017DFE" w:rsidRPr="00001A51" w:rsidRDefault="00017DFE" w:rsidP="00017DFE">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b/>
          <w:bCs/>
          <w:sz w:val="28"/>
          <w:szCs w:val="28"/>
          <w:rtl/>
          <w:lang w:bidi="ar-JO"/>
        </w:rPr>
        <w:t xml:space="preserve">خامساً عملية تحقيق المناط: </w:t>
      </w:r>
      <w:r w:rsidRPr="00001A51">
        <w:rPr>
          <w:rFonts w:ascii="Arabic Transparent" w:hAnsi="Arabic Transparent" w:cs="Arabic Transparent"/>
          <w:sz w:val="28"/>
          <w:szCs w:val="28"/>
          <w:rtl/>
          <w:lang w:bidi="ar-JO"/>
        </w:rPr>
        <w:t>وهي الخطوات العملية التي يتم من خلالها البحث في الواقعة والتأكد من صلاحيتها لتطبيق المناط العام عليها (الدليل الكلي)، من خلال التأكد من كون المناط الموجود في الدليل الكلي موجود في الواقعة ليبني عليه تنزيل الحكم أو يجد له حكماً جديداً يناسب أحوال الواقعة الجديدة، وارتفاع الأسباب والأوصاف المحرمة عنها أو وجودها</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293"/>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w:t>
      </w:r>
    </w:p>
    <w:p w14:paraId="03B8DE22" w14:textId="5D2C8E9B" w:rsidR="00017DFE" w:rsidRPr="00001A51" w:rsidRDefault="005D7B91" w:rsidP="00017DFE">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017DFE" w:rsidRPr="00001A51">
        <w:rPr>
          <w:rFonts w:ascii="Arabic Transparent" w:hAnsi="Arabic Transparent" w:cs="Arabic Transparent"/>
          <w:sz w:val="28"/>
          <w:szCs w:val="28"/>
          <w:rtl/>
          <w:lang w:bidi="ar-JO"/>
        </w:rPr>
        <w:t>وهنا بالتحديد يقع التفاوت بين مجتهدي التحقيق؛ لأن تحقق المناط الظاهر في الواقعة، أو خفائه يجعل الأمر قابلاَ للتشكيك، ويفضي إلى اختلاف تقديرات العلماء في التوصيف الشرعي المناسب، والحكم المناسب للتطبيق، مع الاتفاق على الأصل الكلي الذي تبنى عليه المسألة وهو ما سوف نعرض عليه العديد من الأمثلة في باب المعاملات المعاصرة في الفصل الثالث.</w:t>
      </w:r>
    </w:p>
    <w:p w14:paraId="662E7DE4" w14:textId="77777777" w:rsidR="00017DFE" w:rsidRPr="00001A51" w:rsidRDefault="00017DFE" w:rsidP="00017DFE">
      <w:pPr>
        <w:spacing w:after="0" w:line="360" w:lineRule="auto"/>
        <w:jc w:val="both"/>
        <w:rPr>
          <w:rFonts w:ascii="Arabic Transparent" w:hAnsi="Arabic Transparent" w:cs="Arabic Transparent"/>
          <w:b/>
          <w:bCs/>
          <w:sz w:val="32"/>
          <w:szCs w:val="32"/>
          <w:rtl/>
          <w:lang w:bidi="ar-JO"/>
        </w:rPr>
      </w:pPr>
      <w:r w:rsidRPr="00001A51">
        <w:rPr>
          <w:rFonts w:ascii="Arabic Transparent" w:hAnsi="Arabic Transparent" w:cs="Arabic Transparent"/>
          <w:b/>
          <w:bCs/>
          <w:sz w:val="32"/>
          <w:szCs w:val="32"/>
          <w:rtl/>
          <w:lang w:bidi="ar-JO"/>
        </w:rPr>
        <w:t xml:space="preserve">المطلب الثالث: شروط التفاوت في تحقيق المناط الخاص: </w:t>
      </w:r>
    </w:p>
    <w:p w14:paraId="20A06EDE" w14:textId="54166186" w:rsidR="00017DFE" w:rsidRPr="00001A51" w:rsidRDefault="005D7B91" w:rsidP="00017DFE">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017DFE" w:rsidRPr="00001A51">
        <w:rPr>
          <w:rFonts w:ascii="Arabic Transparent" w:hAnsi="Arabic Transparent" w:cs="Arabic Transparent"/>
          <w:sz w:val="28"/>
          <w:szCs w:val="28"/>
          <w:rtl/>
          <w:lang w:bidi="ar-JO"/>
        </w:rPr>
        <w:t xml:space="preserve">بالنظر إلى مفهوم التفاوت في تحقيق المناط الخاص السابق يمكن أن نحدد التفاوت في مسائل المعاملات المالية من خلال توفر الشروط الأتية: </w:t>
      </w:r>
    </w:p>
    <w:p w14:paraId="3EEFEE9D" w14:textId="77777777" w:rsidR="007D082C" w:rsidRPr="00001A51" w:rsidRDefault="00017DFE" w:rsidP="003749C6">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b/>
          <w:bCs/>
          <w:sz w:val="28"/>
          <w:szCs w:val="28"/>
          <w:rtl/>
          <w:lang w:bidi="ar-JO"/>
        </w:rPr>
        <w:t>أولاً: اتحاد الدليل الكلي:</w:t>
      </w:r>
      <w:r w:rsidRPr="00001A51">
        <w:rPr>
          <w:rFonts w:ascii="Arabic Transparent" w:hAnsi="Arabic Transparent" w:cs="Arabic Transparent"/>
          <w:sz w:val="28"/>
          <w:szCs w:val="28"/>
          <w:rtl/>
          <w:lang w:bidi="ar-JO"/>
        </w:rPr>
        <w:t xml:space="preserve"> وهو أهم شرط لتحديد التفاوت، ويقصد به أن محل الخلاف ليس في الأصل الذي يستنبط منه حكم النص، أو القاعدة العامة، فهي متحدة بين جميع المجتهدين، وإنما التفاوت </w:t>
      </w:r>
    </w:p>
    <w:p w14:paraId="7DC59525" w14:textId="77777777" w:rsidR="007D082C" w:rsidRPr="00001A51" w:rsidRDefault="007D082C">
      <w:pPr>
        <w:bidi w:val="0"/>
        <w:spacing w:after="0" w:line="240" w:lineRule="auto"/>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br w:type="page"/>
      </w:r>
    </w:p>
    <w:p w14:paraId="6BB2FB2F" w14:textId="7C4240B4" w:rsidR="00017DFE" w:rsidRPr="00001A51" w:rsidRDefault="00017DFE" w:rsidP="003749C6">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يكون في تعيين محل الوصف المناسب</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294"/>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xml:space="preserve">، وما يعبر عنه الأصوليون بالمعنى العام </w:t>
      </w:r>
      <w:r w:rsidR="007D082C" w:rsidRPr="00001A51">
        <w:rPr>
          <w:rFonts w:ascii="Arabic Transparent" w:hAnsi="Arabic Transparent" w:cs="Arabic Transparent" w:hint="cs"/>
          <w:sz w:val="28"/>
          <w:szCs w:val="28"/>
          <w:rtl/>
          <w:lang w:bidi="ar-JO"/>
        </w:rPr>
        <w:t>"</w:t>
      </w:r>
      <w:r w:rsidRPr="00001A51">
        <w:rPr>
          <w:rFonts w:ascii="Arabic Transparent" w:hAnsi="Arabic Transparent" w:cs="Arabic Transparent"/>
          <w:sz w:val="28"/>
          <w:szCs w:val="28"/>
          <w:rtl/>
          <w:lang w:bidi="ar-JO"/>
        </w:rPr>
        <w:t>باتحاد الجنس</w:t>
      </w:r>
      <w:r w:rsidR="007D082C" w:rsidRPr="00001A51">
        <w:rPr>
          <w:rFonts w:ascii="Arabic Transparent" w:hAnsi="Arabic Transparent" w:cs="Arabic Transparent" w:hint="cs"/>
          <w:sz w:val="28"/>
          <w:szCs w:val="28"/>
          <w:vertAlign w:val="superscript"/>
          <w:rtl/>
          <w:lang w:bidi="ar-JO"/>
        </w:rPr>
        <w:t>"</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295"/>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xml:space="preserve"> مثل الفاكهة جنس واحد مكونة من عدة أنواع تتفاوت فيما بينها، وكذا الناس جنس واحد، ولكنهم يتفاوتون في اللون والشكل والعرق والفكر، والصفات، والقدر، وغيرها.</w:t>
      </w:r>
    </w:p>
    <w:p w14:paraId="4C5B1A35" w14:textId="28586289" w:rsidR="00017DFE" w:rsidRPr="00001A51" w:rsidRDefault="005D7B91" w:rsidP="00017DFE">
      <w:pPr>
        <w:spacing w:after="0" w:line="360" w:lineRule="auto"/>
        <w:ind w:hanging="2"/>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017DFE" w:rsidRPr="00001A51">
        <w:rPr>
          <w:rFonts w:ascii="Arabic Transparent" w:hAnsi="Arabic Transparent" w:cs="Arabic Transparent"/>
          <w:sz w:val="28"/>
          <w:szCs w:val="28"/>
          <w:rtl/>
          <w:lang w:bidi="ar-JO"/>
        </w:rPr>
        <w:t xml:space="preserve"> فالشرط موضوع للتعرف على موضع التفاوت فإذا كان التفاوت بين دليلين كليين مختلفين فلا يعد تفاوتاً في نظر علماء الأصول، كالاختلاف بزمن القبض في عقد السلم وعقد الصرف فهنا؛ يقال: إن الدليل الكلي مختلف كلياً مما يفضي إلى اختلاف الحكم الذي نتج عن اختلاف الاستنباط، بينما نجد أنَّ صورة التفاوت معتبرة بين من قال بجواز تقسيط حلي الذهب ومن قال بعدم الجواز لأنَّ الأقوال تعود إلى مسألة واحدة ودليل كلي واحد، وإنما التفاوت وقع عند تحقيق المناط الخاص وتغير التكييف الفقهي للحلي في تقدير بعض المجتهدين</w:t>
      </w:r>
      <w:r w:rsidR="00017DFE" w:rsidRPr="00001A51">
        <w:rPr>
          <w:rFonts w:ascii="Arabic Transparent" w:hAnsi="Arabic Transparent" w:cs="Arabic Transparent"/>
          <w:sz w:val="28"/>
          <w:szCs w:val="28"/>
          <w:vertAlign w:val="superscript"/>
          <w:rtl/>
          <w:lang w:bidi="ar-JO"/>
        </w:rPr>
        <w:t>(</w:t>
      </w:r>
      <w:r w:rsidR="00017DFE" w:rsidRPr="00001A51">
        <w:rPr>
          <w:rFonts w:ascii="Arabic Transparent" w:hAnsi="Arabic Transparent" w:cs="Arabic Transparent"/>
          <w:sz w:val="28"/>
          <w:szCs w:val="28"/>
          <w:vertAlign w:val="superscript"/>
          <w:rtl/>
          <w:lang w:bidi="ar-JO"/>
        </w:rPr>
        <w:footnoteReference w:id="296"/>
      </w:r>
      <w:r w:rsidR="00017DFE" w:rsidRPr="00001A51">
        <w:rPr>
          <w:rFonts w:ascii="Arabic Transparent" w:hAnsi="Arabic Transparent" w:cs="Arabic Transparent"/>
          <w:sz w:val="28"/>
          <w:szCs w:val="28"/>
          <w:vertAlign w:val="superscript"/>
          <w:rtl/>
          <w:lang w:bidi="ar-JO"/>
        </w:rPr>
        <w:t>)</w:t>
      </w:r>
      <w:r w:rsidR="00017DFE" w:rsidRPr="00001A51">
        <w:rPr>
          <w:rFonts w:ascii="Arabic Transparent" w:hAnsi="Arabic Transparent" w:cs="Arabic Transparent"/>
          <w:sz w:val="28"/>
          <w:szCs w:val="28"/>
          <w:rtl/>
          <w:lang w:bidi="ar-JO"/>
        </w:rPr>
        <w:t>.</w:t>
      </w:r>
    </w:p>
    <w:p w14:paraId="5E093EE4" w14:textId="73C8BF9A" w:rsidR="00017DFE" w:rsidRPr="00001A51" w:rsidRDefault="005D7B91" w:rsidP="007D082C">
      <w:pPr>
        <w:spacing w:after="0" w:line="360" w:lineRule="auto"/>
        <w:ind w:hanging="2"/>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017DFE" w:rsidRPr="00001A51">
        <w:rPr>
          <w:rFonts w:ascii="Arabic Transparent" w:hAnsi="Arabic Transparent" w:cs="Arabic Transparent"/>
          <w:sz w:val="28"/>
          <w:szCs w:val="28"/>
          <w:rtl/>
          <w:lang w:bidi="ar-JO"/>
        </w:rPr>
        <w:t>وفي موضوعات المعاملات يرد التفاوت على أكثر من سبب، مثل الربا والجهالة والغرر وغيرها، ويرد على تقدير المجتهدين والمفتين في قضايا المعاملات المعاصرة</w:t>
      </w:r>
      <w:r w:rsidR="0056621D" w:rsidRPr="00001A51">
        <w:rPr>
          <w:rFonts w:ascii="Arabic Transparent" w:hAnsi="Arabic Transparent" w:cs="Arabic Transparent" w:hint="cs"/>
          <w:sz w:val="28"/>
          <w:szCs w:val="28"/>
          <w:rtl/>
          <w:lang w:bidi="ar-JO"/>
        </w:rPr>
        <w:t>؛</w:t>
      </w:r>
      <w:r w:rsidR="007D082C" w:rsidRPr="00001A51">
        <w:rPr>
          <w:rFonts w:ascii="Arabic Transparent" w:hAnsi="Arabic Transparent" w:cs="Arabic Transparent" w:hint="cs"/>
          <w:sz w:val="28"/>
          <w:szCs w:val="28"/>
          <w:rtl/>
          <w:lang w:bidi="ar-JO"/>
        </w:rPr>
        <w:t xml:space="preserve"> </w:t>
      </w:r>
      <w:r w:rsidR="00017DFE" w:rsidRPr="00001A51">
        <w:rPr>
          <w:rFonts w:ascii="Arabic Transparent" w:hAnsi="Arabic Transparent" w:cs="Arabic Transparent"/>
          <w:sz w:val="28"/>
          <w:szCs w:val="28"/>
          <w:rtl/>
          <w:lang w:bidi="ar-JO"/>
        </w:rPr>
        <w:t xml:space="preserve"> لذلك كان الاختلاف في تعيين المحل مع اتحاد الدليل الكلي بين أفراد الجنس الواحد تفاوتاً يعود إلى أسباب متعددة سوف نعرضها لاحقاً</w:t>
      </w:r>
      <w:r w:rsidR="00017DFE" w:rsidRPr="00001A51">
        <w:rPr>
          <w:rFonts w:ascii="Arabic Transparent" w:hAnsi="Arabic Transparent" w:cs="Arabic Transparent"/>
          <w:sz w:val="28"/>
          <w:szCs w:val="28"/>
          <w:vertAlign w:val="superscript"/>
          <w:rtl/>
          <w:lang w:bidi="ar-JO"/>
        </w:rPr>
        <w:t>(</w:t>
      </w:r>
      <w:r w:rsidR="00017DFE" w:rsidRPr="00001A51">
        <w:rPr>
          <w:rFonts w:ascii="Arabic Transparent" w:hAnsi="Arabic Transparent" w:cs="Arabic Transparent"/>
          <w:sz w:val="28"/>
          <w:szCs w:val="28"/>
          <w:vertAlign w:val="superscript"/>
          <w:rtl/>
          <w:lang w:bidi="ar-JO"/>
        </w:rPr>
        <w:footnoteReference w:id="297"/>
      </w:r>
      <w:r w:rsidR="00017DFE" w:rsidRPr="00001A51">
        <w:rPr>
          <w:rFonts w:ascii="Arabic Transparent" w:hAnsi="Arabic Transparent" w:cs="Arabic Transparent"/>
          <w:sz w:val="28"/>
          <w:szCs w:val="28"/>
          <w:vertAlign w:val="superscript"/>
          <w:rtl/>
          <w:lang w:bidi="ar-JO"/>
        </w:rPr>
        <w:t>)</w:t>
      </w:r>
      <w:r w:rsidR="00017DFE" w:rsidRPr="00001A51">
        <w:rPr>
          <w:rFonts w:ascii="Arabic Transparent" w:hAnsi="Arabic Transparent" w:cs="Arabic Transparent"/>
          <w:sz w:val="28"/>
          <w:szCs w:val="28"/>
          <w:rtl/>
          <w:lang w:bidi="ar-JO"/>
        </w:rPr>
        <w:t>.</w:t>
      </w:r>
    </w:p>
    <w:p w14:paraId="60B22A18" w14:textId="3ED458CB" w:rsidR="004121C4" w:rsidRPr="00001A51" w:rsidRDefault="00017DFE" w:rsidP="00017DFE">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b/>
          <w:bCs/>
          <w:sz w:val="28"/>
          <w:szCs w:val="28"/>
          <w:rtl/>
          <w:lang w:bidi="ar-JO"/>
        </w:rPr>
        <w:t xml:space="preserve">ثانياً: التباين في مقدار تأثير الوصف: </w:t>
      </w:r>
      <w:r w:rsidRPr="00001A51">
        <w:rPr>
          <w:rFonts w:ascii="Arabic Transparent" w:hAnsi="Arabic Transparent" w:cs="Arabic Transparent"/>
          <w:sz w:val="28"/>
          <w:szCs w:val="28"/>
          <w:rtl/>
          <w:lang w:bidi="ar-JO"/>
        </w:rPr>
        <w:t>بعد اتحاد الدليل الكلي وعند تحقيق المناط على الواقعة الجزئية المعينة، يسأل المجتهد نفسه هل بلغ الوصف المؤثر حد التأثير أم لا؟ وما مقداره؟ هل هو كمقدار الغبن والغرر المعفو عنه عند قياس نسبة الجهالة؟</w:t>
      </w:r>
    </w:p>
    <w:p w14:paraId="735F3A10" w14:textId="77777777" w:rsidR="004121C4" w:rsidRPr="00001A51" w:rsidRDefault="004121C4">
      <w:pPr>
        <w:bidi w:val="0"/>
        <w:spacing w:after="0" w:line="240" w:lineRule="auto"/>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br w:type="page"/>
      </w:r>
    </w:p>
    <w:p w14:paraId="2E05B1F0" w14:textId="5D46BB04" w:rsidR="00017DFE" w:rsidRPr="00001A51" w:rsidRDefault="005D7B91" w:rsidP="00017DFE">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017DFE" w:rsidRPr="00001A51">
        <w:rPr>
          <w:rFonts w:ascii="Arabic Transparent" w:hAnsi="Arabic Transparent" w:cs="Arabic Transparent"/>
          <w:sz w:val="28"/>
          <w:szCs w:val="28"/>
          <w:rtl/>
          <w:lang w:bidi="ar-JO"/>
        </w:rPr>
        <w:t xml:space="preserve"> جميع الأسئلة السابقة تحتاج إلى دراسة، فبعضها يعالج بعرف الناس وتقدير الحاجة والمصلحة والنظر في مآلات المعاملة، وبعضها بسبب تعدد تقديرات العلماء في الحكم بناءً على خفاء الأوصاف، وعدم القدرة على تعيين مقدار تأثير الوصف الشرعي المناسب للواقعة</w:t>
      </w:r>
      <w:r w:rsidR="00017DFE" w:rsidRPr="00001A51">
        <w:rPr>
          <w:rFonts w:ascii="Arabic Transparent" w:hAnsi="Arabic Transparent" w:cs="Arabic Transparent"/>
          <w:sz w:val="28"/>
          <w:szCs w:val="28"/>
          <w:vertAlign w:val="superscript"/>
          <w:rtl/>
          <w:lang w:bidi="ar-JO"/>
        </w:rPr>
        <w:t>(</w:t>
      </w:r>
      <w:r w:rsidR="00017DFE" w:rsidRPr="00001A51">
        <w:rPr>
          <w:rFonts w:ascii="Arabic Transparent" w:hAnsi="Arabic Transparent" w:cs="Arabic Transparent"/>
          <w:sz w:val="28"/>
          <w:szCs w:val="28"/>
          <w:vertAlign w:val="superscript"/>
          <w:rtl/>
          <w:lang w:bidi="ar-JO"/>
        </w:rPr>
        <w:footnoteReference w:id="298"/>
      </w:r>
      <w:r w:rsidR="00017DFE" w:rsidRPr="00001A51">
        <w:rPr>
          <w:rFonts w:ascii="Arabic Transparent" w:hAnsi="Arabic Transparent" w:cs="Arabic Transparent"/>
          <w:sz w:val="28"/>
          <w:szCs w:val="28"/>
          <w:vertAlign w:val="superscript"/>
          <w:rtl/>
          <w:lang w:bidi="ar-JO"/>
        </w:rPr>
        <w:t>)</w:t>
      </w:r>
      <w:r w:rsidR="00ED53A5" w:rsidRPr="00001A51">
        <w:rPr>
          <w:rFonts w:ascii="Arabic Transparent" w:hAnsi="Arabic Transparent" w:cs="Arabic Transparent" w:hint="cs"/>
          <w:sz w:val="28"/>
          <w:szCs w:val="28"/>
          <w:rtl/>
          <w:lang w:bidi="ar-JO"/>
        </w:rPr>
        <w:t>.</w:t>
      </w:r>
      <w:r w:rsidR="00017DFE" w:rsidRPr="00001A51">
        <w:rPr>
          <w:rFonts w:ascii="Arabic Transparent" w:hAnsi="Arabic Transparent" w:cs="Arabic Transparent"/>
          <w:sz w:val="28"/>
          <w:szCs w:val="28"/>
          <w:rtl/>
          <w:lang w:bidi="ar-JO"/>
        </w:rPr>
        <w:t xml:space="preserve"> </w:t>
      </w:r>
    </w:p>
    <w:p w14:paraId="1CAD69FB" w14:textId="28E20819" w:rsidR="00017DFE" w:rsidRPr="00001A51" w:rsidRDefault="005D7B91" w:rsidP="003749C6">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017DFE" w:rsidRPr="00001A51">
        <w:rPr>
          <w:rFonts w:ascii="Arabic Transparent" w:hAnsi="Arabic Transparent" w:cs="Arabic Transparent"/>
          <w:sz w:val="28"/>
          <w:szCs w:val="28"/>
          <w:rtl/>
          <w:lang w:bidi="ar-JO"/>
        </w:rPr>
        <w:t>وليس الاختلاف في الجنس، أو الوصف، أو القدر المحل الوحيد للتفاوت في تحقيق المناط الخاص، وإن كان عند العلماء يسمى تفاوتاً</w:t>
      </w:r>
      <w:r w:rsidR="00017DFE" w:rsidRPr="00001A51">
        <w:rPr>
          <w:rFonts w:ascii="Arabic Transparent" w:hAnsi="Arabic Transparent" w:cs="Arabic Transparent"/>
          <w:sz w:val="28"/>
          <w:szCs w:val="28"/>
          <w:vertAlign w:val="superscript"/>
          <w:rtl/>
          <w:lang w:bidi="ar-JO"/>
        </w:rPr>
        <w:t>(</w:t>
      </w:r>
      <w:r w:rsidR="00017DFE" w:rsidRPr="00001A51">
        <w:rPr>
          <w:rFonts w:ascii="Arabic Transparent" w:hAnsi="Arabic Transparent" w:cs="Arabic Transparent"/>
          <w:sz w:val="28"/>
          <w:szCs w:val="28"/>
          <w:vertAlign w:val="superscript"/>
          <w:rtl/>
          <w:lang w:bidi="ar-JO"/>
        </w:rPr>
        <w:footnoteReference w:id="299"/>
      </w:r>
      <w:r w:rsidR="00017DFE" w:rsidRPr="00001A51">
        <w:rPr>
          <w:rFonts w:ascii="Arabic Transparent" w:hAnsi="Arabic Transparent" w:cs="Arabic Transparent"/>
          <w:sz w:val="28"/>
          <w:szCs w:val="28"/>
          <w:vertAlign w:val="superscript"/>
          <w:rtl/>
          <w:lang w:bidi="ar-JO"/>
        </w:rPr>
        <w:t>)</w:t>
      </w:r>
      <w:r w:rsidR="00017DFE" w:rsidRPr="00001A51">
        <w:rPr>
          <w:rFonts w:ascii="Arabic Transparent" w:hAnsi="Arabic Transparent" w:cs="Arabic Transparent"/>
          <w:sz w:val="28"/>
          <w:szCs w:val="28"/>
          <w:rtl/>
          <w:lang w:bidi="ar-JO"/>
        </w:rPr>
        <w:t xml:space="preserve"> فالاختلاف بالنوع من حيث التفاوت بين أفراد وأصناف الجنس الواحد مثل أنواع الرطب وأنواع البر، والاختلاف بالوصف، من حيث الجودة، أو الرداءة، والتعيين أو الجهالة أو غيرها من الأوصاف، والاختلاف في القدر، من حيث الكثرة أو القلة واليسير أو الفاحش وكل ما يتعلق بوحدة الوزن أو الحجم أو العدد، بيد أن التفاوت في تحقيق المناط الخاص يتعلق أيضاً باختلاف تقدير النّظار لمدى تأثير الوصف في الواقعة المعينة وفق الظروف والملابسات والمآلات التي تتعلق بها</w:t>
      </w:r>
      <w:r w:rsidR="003E6FE4" w:rsidRPr="00001A51">
        <w:rPr>
          <w:rFonts w:ascii="Arabic Transparent" w:hAnsi="Arabic Transparent" w:cs="Arabic Transparent" w:hint="cs"/>
          <w:sz w:val="28"/>
          <w:szCs w:val="28"/>
          <w:rtl/>
          <w:lang w:bidi="ar-JO"/>
        </w:rPr>
        <w:t>،</w:t>
      </w:r>
      <w:r w:rsidRPr="00001A51">
        <w:rPr>
          <w:rFonts w:ascii="Arabic Transparent" w:hAnsi="Arabic Transparent" w:cs="Arabic Transparent"/>
          <w:sz w:val="28"/>
          <w:szCs w:val="28"/>
          <w:rtl/>
          <w:lang w:bidi="ar-JO"/>
        </w:rPr>
        <w:t xml:space="preserve"> </w:t>
      </w:r>
      <w:r w:rsidR="00017DFE" w:rsidRPr="00001A51">
        <w:rPr>
          <w:rFonts w:ascii="Arabic Transparent" w:hAnsi="Arabic Transparent" w:cs="Arabic Transparent"/>
          <w:sz w:val="28"/>
          <w:szCs w:val="28"/>
          <w:rtl/>
          <w:lang w:bidi="ar-JO"/>
        </w:rPr>
        <w:t xml:space="preserve">وفي بعض المواضع يمتنع التفاوت مطلقاً في بعض المعاملات، فإذا اقترن </w:t>
      </w:r>
      <w:r w:rsidR="009420B1" w:rsidRPr="00001A51">
        <w:rPr>
          <w:rFonts w:ascii="Arabic Transparent" w:hAnsi="Arabic Transparent" w:cs="Arabic Transparent" w:hint="cs"/>
          <w:sz w:val="28"/>
          <w:szCs w:val="28"/>
          <w:rtl/>
          <w:lang w:bidi="ar-JO"/>
        </w:rPr>
        <w:t>"</w:t>
      </w:r>
      <w:r w:rsidR="00017DFE" w:rsidRPr="00001A51">
        <w:rPr>
          <w:rFonts w:ascii="Arabic Transparent" w:hAnsi="Arabic Transparent" w:cs="Arabic Transparent"/>
          <w:sz w:val="28"/>
          <w:szCs w:val="28"/>
          <w:rtl/>
          <w:lang w:bidi="ar-JO"/>
        </w:rPr>
        <w:t>الجنس كالذهب مع علة الثمنية فيجب مراعاة التماثل والحلول والتقابض ويمنع التفاوت مطلقاً</w:t>
      </w:r>
      <w:r w:rsidR="009420B1" w:rsidRPr="00001A51">
        <w:rPr>
          <w:rFonts w:ascii="Arabic Transparent" w:hAnsi="Arabic Transparent" w:cs="Arabic Transparent" w:hint="cs"/>
          <w:sz w:val="28"/>
          <w:szCs w:val="28"/>
          <w:rtl/>
          <w:lang w:bidi="ar-JO"/>
        </w:rPr>
        <w:t>"</w:t>
      </w:r>
      <w:r w:rsidR="00017DFE" w:rsidRPr="00001A51">
        <w:rPr>
          <w:rFonts w:ascii="Arabic Transparent" w:hAnsi="Arabic Transparent" w:cs="Arabic Transparent"/>
          <w:sz w:val="28"/>
          <w:szCs w:val="28"/>
          <w:vertAlign w:val="superscript"/>
          <w:rtl/>
          <w:lang w:bidi="ar-JO"/>
        </w:rPr>
        <w:t>(</w:t>
      </w:r>
      <w:r w:rsidR="00017DFE" w:rsidRPr="00001A51">
        <w:rPr>
          <w:rFonts w:ascii="Arabic Transparent" w:hAnsi="Arabic Transparent" w:cs="Arabic Transparent"/>
          <w:sz w:val="28"/>
          <w:szCs w:val="28"/>
          <w:vertAlign w:val="superscript"/>
          <w:rtl/>
          <w:lang w:bidi="ar-JO"/>
        </w:rPr>
        <w:footnoteReference w:id="300"/>
      </w:r>
      <w:r w:rsidR="00017DFE" w:rsidRPr="00001A51">
        <w:rPr>
          <w:rFonts w:ascii="Arabic Transparent" w:hAnsi="Arabic Transparent" w:cs="Arabic Transparent"/>
          <w:sz w:val="28"/>
          <w:szCs w:val="28"/>
          <w:vertAlign w:val="superscript"/>
          <w:rtl/>
          <w:lang w:bidi="ar-JO"/>
        </w:rPr>
        <w:t>)</w:t>
      </w:r>
      <w:r w:rsidR="00017DFE" w:rsidRPr="00001A51">
        <w:rPr>
          <w:rFonts w:ascii="Arabic Transparent" w:hAnsi="Arabic Transparent" w:cs="Arabic Transparent"/>
          <w:sz w:val="28"/>
          <w:szCs w:val="28"/>
          <w:rtl/>
          <w:lang w:bidi="ar-JO"/>
        </w:rPr>
        <w:t xml:space="preserve"> ويقصد باتحاد العلة وهي </w:t>
      </w:r>
      <w:r w:rsidR="009420B1" w:rsidRPr="00001A51">
        <w:rPr>
          <w:rFonts w:ascii="Arabic Transparent" w:hAnsi="Arabic Transparent" w:cs="Arabic Transparent" w:hint="cs"/>
          <w:sz w:val="28"/>
          <w:szCs w:val="28"/>
          <w:rtl/>
          <w:lang w:bidi="ar-JO"/>
        </w:rPr>
        <w:t>"</w:t>
      </w:r>
      <w:r w:rsidR="00017DFE" w:rsidRPr="00001A51">
        <w:rPr>
          <w:rFonts w:ascii="Arabic Transparent" w:hAnsi="Arabic Transparent" w:cs="Arabic Transparent"/>
          <w:sz w:val="28"/>
          <w:szCs w:val="28"/>
          <w:rtl/>
          <w:lang w:bidi="ar-JO"/>
        </w:rPr>
        <w:t>العلة الموضوعة لتحديد الأموال الربوية مثل: الكيل، أو الوزن، أو الطعم، أو الثمنيّة، أو غيرها</w:t>
      </w:r>
      <w:r w:rsidR="009420B1" w:rsidRPr="00001A51">
        <w:rPr>
          <w:rFonts w:ascii="Arabic Transparent" w:hAnsi="Arabic Transparent" w:cs="Arabic Transparent" w:hint="cs"/>
          <w:sz w:val="28"/>
          <w:szCs w:val="28"/>
          <w:rtl/>
          <w:lang w:bidi="ar-JO"/>
        </w:rPr>
        <w:t>"</w:t>
      </w:r>
      <w:r w:rsidR="00017DFE" w:rsidRPr="00001A51">
        <w:rPr>
          <w:rFonts w:ascii="Arabic Transparent" w:hAnsi="Arabic Transparent" w:cs="Arabic Transparent"/>
          <w:sz w:val="28"/>
          <w:szCs w:val="28"/>
          <w:vertAlign w:val="superscript"/>
          <w:rtl/>
          <w:lang w:bidi="ar-JO"/>
        </w:rPr>
        <w:t>(</w:t>
      </w:r>
      <w:r w:rsidR="00017DFE" w:rsidRPr="00001A51">
        <w:rPr>
          <w:rFonts w:ascii="Arabic Transparent" w:hAnsi="Arabic Transparent" w:cs="Arabic Transparent"/>
          <w:sz w:val="28"/>
          <w:szCs w:val="28"/>
          <w:vertAlign w:val="superscript"/>
          <w:rtl/>
          <w:lang w:bidi="ar-JO"/>
        </w:rPr>
        <w:footnoteReference w:id="301"/>
      </w:r>
      <w:r w:rsidR="00017DFE" w:rsidRPr="00001A51">
        <w:rPr>
          <w:rFonts w:ascii="Arabic Transparent" w:hAnsi="Arabic Transparent" w:cs="Arabic Transparent"/>
          <w:sz w:val="28"/>
          <w:szCs w:val="28"/>
          <w:vertAlign w:val="superscript"/>
          <w:rtl/>
          <w:lang w:bidi="ar-JO"/>
        </w:rPr>
        <w:t>)</w:t>
      </w:r>
      <w:r w:rsidR="00017DFE" w:rsidRPr="00001A51">
        <w:rPr>
          <w:rFonts w:ascii="Arabic Transparent" w:hAnsi="Arabic Transparent" w:cs="Arabic Transparent"/>
          <w:sz w:val="28"/>
          <w:szCs w:val="28"/>
          <w:rtl/>
          <w:lang w:bidi="ar-JO"/>
        </w:rPr>
        <w:t>:</w:t>
      </w:r>
    </w:p>
    <w:p w14:paraId="43C7834C" w14:textId="57DA12E6" w:rsidR="00017DFE" w:rsidRPr="00001A51" w:rsidRDefault="005D7B91" w:rsidP="00017DFE">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017DFE" w:rsidRPr="00001A51">
        <w:rPr>
          <w:rFonts w:ascii="Arabic Transparent" w:hAnsi="Arabic Transparent" w:cs="Arabic Transparent"/>
          <w:sz w:val="28"/>
          <w:szCs w:val="28"/>
          <w:rtl/>
          <w:lang w:bidi="ar-JO"/>
        </w:rPr>
        <w:t xml:space="preserve">ويقصد بالتماثل: </w:t>
      </w:r>
      <w:r w:rsidR="009420B1" w:rsidRPr="00001A51">
        <w:rPr>
          <w:rFonts w:ascii="Arabic Transparent" w:hAnsi="Arabic Transparent" w:cs="Arabic Transparent" w:hint="cs"/>
          <w:sz w:val="28"/>
          <w:szCs w:val="28"/>
          <w:rtl/>
          <w:lang w:bidi="ar-JO"/>
        </w:rPr>
        <w:t>"</w:t>
      </w:r>
      <w:r w:rsidR="00017DFE" w:rsidRPr="00001A51">
        <w:rPr>
          <w:rFonts w:ascii="Arabic Transparent" w:hAnsi="Arabic Transparent" w:cs="Arabic Transparent"/>
          <w:sz w:val="28"/>
          <w:szCs w:val="28"/>
          <w:rtl/>
          <w:lang w:bidi="ar-JO"/>
        </w:rPr>
        <w:t>التساوي في البدلين كيلاً في المكيلات، ووزناً في الموزونات، فمن باع مد حنطة بمد حنطة، ورطل تفاح برطل تفاح، وخمس جوزات بخمس، جاز البيع، فالمعتبر بالتماثل التساوي بمقدار المبيع</w:t>
      </w:r>
      <w:r w:rsidR="009420B1" w:rsidRPr="00001A51">
        <w:rPr>
          <w:rFonts w:ascii="Arabic Transparent" w:hAnsi="Arabic Transparent" w:cs="Arabic Transparent" w:hint="cs"/>
          <w:sz w:val="28"/>
          <w:szCs w:val="28"/>
          <w:rtl/>
          <w:lang w:bidi="ar-JO"/>
        </w:rPr>
        <w:t>"</w:t>
      </w:r>
      <w:r w:rsidR="00017DFE" w:rsidRPr="00001A51">
        <w:rPr>
          <w:rFonts w:ascii="Arabic Transparent" w:hAnsi="Arabic Transparent" w:cs="Arabic Transparent"/>
          <w:sz w:val="28"/>
          <w:szCs w:val="28"/>
          <w:vertAlign w:val="superscript"/>
          <w:rtl/>
          <w:lang w:bidi="ar-JO"/>
        </w:rPr>
        <w:t>(</w:t>
      </w:r>
      <w:r w:rsidR="00017DFE" w:rsidRPr="00001A51">
        <w:rPr>
          <w:rFonts w:ascii="Arabic Transparent" w:hAnsi="Arabic Transparent" w:cs="Arabic Transparent"/>
          <w:sz w:val="28"/>
          <w:szCs w:val="28"/>
          <w:vertAlign w:val="superscript"/>
          <w:rtl/>
          <w:lang w:bidi="ar-JO"/>
        </w:rPr>
        <w:footnoteReference w:id="302"/>
      </w:r>
      <w:r w:rsidR="00017DFE" w:rsidRPr="00001A51">
        <w:rPr>
          <w:rFonts w:ascii="Arabic Transparent" w:hAnsi="Arabic Transparent" w:cs="Arabic Transparent"/>
          <w:sz w:val="28"/>
          <w:szCs w:val="28"/>
          <w:vertAlign w:val="superscript"/>
          <w:rtl/>
          <w:lang w:bidi="ar-JO"/>
        </w:rPr>
        <w:t>)</w:t>
      </w:r>
      <w:r w:rsidR="00017DFE" w:rsidRPr="00001A51">
        <w:rPr>
          <w:rFonts w:ascii="Arabic Transparent" w:hAnsi="Arabic Transparent" w:cs="Arabic Transparent"/>
          <w:sz w:val="28"/>
          <w:szCs w:val="28"/>
          <w:rtl/>
          <w:lang w:bidi="ar-JO"/>
        </w:rPr>
        <w:t>.</w:t>
      </w:r>
    </w:p>
    <w:p w14:paraId="5804CE87" w14:textId="37DF2C03" w:rsidR="009420B1" w:rsidRPr="00001A51" w:rsidRDefault="005D7B91" w:rsidP="00017DFE">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017DFE" w:rsidRPr="00001A51">
        <w:rPr>
          <w:rFonts w:ascii="Arabic Transparent" w:hAnsi="Arabic Transparent" w:cs="Arabic Transparent"/>
          <w:sz w:val="28"/>
          <w:szCs w:val="28"/>
          <w:rtl/>
          <w:lang w:bidi="ar-JO"/>
        </w:rPr>
        <w:t xml:space="preserve">ويقصد بالحلول: </w:t>
      </w:r>
      <w:r w:rsidR="009420B1" w:rsidRPr="00001A51">
        <w:rPr>
          <w:rFonts w:ascii="Arabic Transparent" w:hAnsi="Arabic Transparent" w:cs="Arabic Transparent" w:hint="cs"/>
          <w:sz w:val="28"/>
          <w:szCs w:val="28"/>
          <w:rtl/>
          <w:lang w:bidi="ar-JO"/>
        </w:rPr>
        <w:t>"</w:t>
      </w:r>
      <w:r w:rsidR="00017DFE" w:rsidRPr="00001A51">
        <w:rPr>
          <w:rFonts w:ascii="Arabic Transparent" w:hAnsi="Arabic Transparent" w:cs="Arabic Transparent"/>
          <w:sz w:val="28"/>
          <w:szCs w:val="28"/>
          <w:rtl/>
          <w:lang w:bidi="ar-JO"/>
        </w:rPr>
        <w:t>عدم تأجيل تسليم أحد البدلين عن مجلس العقد، ولا يذكر الأجل في العقد أيضاً</w:t>
      </w:r>
      <w:r w:rsidR="009420B1" w:rsidRPr="00001A51">
        <w:rPr>
          <w:rFonts w:ascii="Arabic Transparent" w:hAnsi="Arabic Transparent" w:cs="Arabic Transparent" w:hint="cs"/>
          <w:sz w:val="28"/>
          <w:szCs w:val="28"/>
          <w:rtl/>
          <w:lang w:bidi="ar-JO"/>
        </w:rPr>
        <w:t>"</w:t>
      </w:r>
      <w:r w:rsidR="00017DFE" w:rsidRPr="00001A51">
        <w:rPr>
          <w:rFonts w:ascii="Arabic Transparent" w:hAnsi="Arabic Transparent" w:cs="Arabic Transparent"/>
          <w:sz w:val="28"/>
          <w:szCs w:val="28"/>
          <w:vertAlign w:val="superscript"/>
          <w:rtl/>
          <w:lang w:bidi="ar-JO"/>
        </w:rPr>
        <w:t>(</w:t>
      </w:r>
      <w:r w:rsidR="00017DFE" w:rsidRPr="00001A51">
        <w:rPr>
          <w:rFonts w:ascii="Arabic Transparent" w:hAnsi="Arabic Transparent" w:cs="Arabic Transparent"/>
          <w:sz w:val="28"/>
          <w:szCs w:val="28"/>
          <w:vertAlign w:val="superscript"/>
          <w:rtl/>
          <w:lang w:bidi="ar-JO"/>
        </w:rPr>
        <w:footnoteReference w:id="303"/>
      </w:r>
      <w:r w:rsidR="00017DFE" w:rsidRPr="00001A51">
        <w:rPr>
          <w:rFonts w:ascii="Arabic Transparent" w:hAnsi="Arabic Transparent" w:cs="Arabic Transparent"/>
          <w:sz w:val="28"/>
          <w:szCs w:val="28"/>
          <w:vertAlign w:val="superscript"/>
          <w:rtl/>
          <w:lang w:bidi="ar-JO"/>
        </w:rPr>
        <w:t>)</w:t>
      </w:r>
      <w:r w:rsidR="00017DFE" w:rsidRPr="00001A51">
        <w:rPr>
          <w:rFonts w:ascii="Arabic Transparent" w:hAnsi="Arabic Transparent" w:cs="Arabic Transparent"/>
          <w:sz w:val="28"/>
          <w:szCs w:val="28"/>
          <w:rtl/>
          <w:lang w:bidi="ar-JO"/>
        </w:rPr>
        <w:t>.</w:t>
      </w:r>
    </w:p>
    <w:p w14:paraId="07A839A6" w14:textId="77777777" w:rsidR="009420B1" w:rsidRPr="00001A51" w:rsidRDefault="009420B1">
      <w:pPr>
        <w:bidi w:val="0"/>
        <w:spacing w:after="0" w:line="240" w:lineRule="auto"/>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br w:type="page"/>
      </w:r>
    </w:p>
    <w:p w14:paraId="4B73FBAA" w14:textId="4643240C" w:rsidR="00017DFE" w:rsidRPr="00001A51" w:rsidRDefault="005D7B91" w:rsidP="00017DFE">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017DFE" w:rsidRPr="00001A51">
        <w:rPr>
          <w:rFonts w:ascii="Arabic Transparent" w:hAnsi="Arabic Transparent" w:cs="Arabic Transparent"/>
          <w:sz w:val="28"/>
          <w:szCs w:val="28"/>
          <w:rtl/>
          <w:lang w:bidi="ar-JO"/>
        </w:rPr>
        <w:t xml:space="preserve">ويقصد بالتقابض: </w:t>
      </w:r>
      <w:r w:rsidR="009420B1" w:rsidRPr="00001A51">
        <w:rPr>
          <w:rFonts w:ascii="Arabic Transparent" w:hAnsi="Arabic Transparent" w:cs="Arabic Transparent" w:hint="cs"/>
          <w:sz w:val="28"/>
          <w:szCs w:val="28"/>
          <w:rtl/>
          <w:lang w:bidi="ar-JO"/>
        </w:rPr>
        <w:t>"</w:t>
      </w:r>
      <w:r w:rsidR="00017DFE" w:rsidRPr="00001A51">
        <w:rPr>
          <w:rFonts w:ascii="Arabic Transparent" w:hAnsi="Arabic Transparent" w:cs="Arabic Transparent"/>
          <w:sz w:val="28"/>
          <w:szCs w:val="28"/>
          <w:rtl/>
          <w:lang w:bidi="ar-JO"/>
        </w:rPr>
        <w:t>أن يتم قبض البدلين في مجلس العقد قبل تفرق العاقدين في الأبدان عن المجلس</w:t>
      </w:r>
      <w:r w:rsidR="009420B1" w:rsidRPr="00001A51">
        <w:rPr>
          <w:rFonts w:ascii="Arabic Transparent" w:hAnsi="Arabic Transparent" w:cs="Arabic Transparent" w:hint="cs"/>
          <w:sz w:val="28"/>
          <w:szCs w:val="28"/>
          <w:rtl/>
          <w:lang w:bidi="ar-JO"/>
        </w:rPr>
        <w:t>"</w:t>
      </w:r>
      <w:r w:rsidR="00017DFE" w:rsidRPr="00001A51">
        <w:rPr>
          <w:rFonts w:ascii="Arabic Transparent" w:hAnsi="Arabic Transparent" w:cs="Arabic Transparent"/>
          <w:sz w:val="28"/>
          <w:szCs w:val="28"/>
          <w:vertAlign w:val="superscript"/>
          <w:rtl/>
          <w:lang w:bidi="ar-JO"/>
        </w:rPr>
        <w:t>(</w:t>
      </w:r>
      <w:r w:rsidR="00017DFE" w:rsidRPr="00001A51">
        <w:rPr>
          <w:rFonts w:ascii="Arabic Transparent" w:hAnsi="Arabic Transparent" w:cs="Arabic Transparent"/>
          <w:sz w:val="28"/>
          <w:szCs w:val="28"/>
          <w:vertAlign w:val="superscript"/>
          <w:rtl/>
          <w:lang w:bidi="ar-JO"/>
        </w:rPr>
        <w:footnoteReference w:id="304"/>
      </w:r>
      <w:r w:rsidR="00017DFE" w:rsidRPr="00001A51">
        <w:rPr>
          <w:rFonts w:ascii="Arabic Transparent" w:hAnsi="Arabic Transparent" w:cs="Arabic Transparent"/>
          <w:sz w:val="28"/>
          <w:szCs w:val="28"/>
          <w:vertAlign w:val="superscript"/>
          <w:rtl/>
          <w:lang w:bidi="ar-JO"/>
        </w:rPr>
        <w:t>)</w:t>
      </w:r>
      <w:r w:rsidR="00017DFE" w:rsidRPr="00001A51">
        <w:rPr>
          <w:rFonts w:ascii="Arabic Transparent" w:hAnsi="Arabic Transparent" w:cs="Arabic Transparent"/>
          <w:sz w:val="28"/>
          <w:szCs w:val="28"/>
          <w:rtl/>
          <w:lang w:bidi="ar-JO"/>
        </w:rPr>
        <w:t>.</w:t>
      </w:r>
    </w:p>
    <w:p w14:paraId="3B8A94CE" w14:textId="1DA067FB" w:rsidR="00017DFE" w:rsidRPr="00001A51" w:rsidRDefault="005D7B91" w:rsidP="00017DFE">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9420B1" w:rsidRPr="00001A51">
        <w:rPr>
          <w:rFonts w:ascii="Arabic Transparent" w:hAnsi="Arabic Transparent" w:cs="Arabic Transparent" w:hint="cs"/>
          <w:sz w:val="28"/>
          <w:szCs w:val="28"/>
          <w:rtl/>
          <w:lang w:bidi="ar-JO"/>
        </w:rPr>
        <w:t>"</w:t>
      </w:r>
      <w:r w:rsidR="00017DFE" w:rsidRPr="00001A51">
        <w:rPr>
          <w:rFonts w:ascii="Arabic Transparent" w:hAnsi="Arabic Transparent" w:cs="Arabic Transparent"/>
          <w:sz w:val="28"/>
          <w:szCs w:val="28"/>
          <w:rtl/>
          <w:lang w:bidi="ar-JO"/>
        </w:rPr>
        <w:t>وأضاف بعض العلماء عدم جواز التبادل عند اختلاف الجنس واتحاد العلة كذهب بفضة وحنطة بشعير إلا بشرطين: وهما الحلول والتقابض</w:t>
      </w:r>
      <w:r w:rsidR="009420B1" w:rsidRPr="00001A51">
        <w:rPr>
          <w:rFonts w:ascii="Arabic Transparent" w:hAnsi="Arabic Transparent" w:cs="Arabic Transparent" w:hint="cs"/>
          <w:sz w:val="28"/>
          <w:szCs w:val="28"/>
          <w:rtl/>
          <w:lang w:bidi="ar-JO"/>
        </w:rPr>
        <w:t>"</w:t>
      </w:r>
      <w:r w:rsidR="00017DFE" w:rsidRPr="00001A51">
        <w:rPr>
          <w:rFonts w:ascii="Arabic Transparent" w:hAnsi="Arabic Transparent" w:cs="Arabic Transparent"/>
          <w:sz w:val="28"/>
          <w:szCs w:val="28"/>
          <w:vertAlign w:val="superscript"/>
          <w:rtl/>
          <w:lang w:bidi="ar-JO"/>
        </w:rPr>
        <w:t>(</w:t>
      </w:r>
      <w:r w:rsidR="00017DFE" w:rsidRPr="00001A51">
        <w:rPr>
          <w:rFonts w:ascii="Arabic Transparent" w:hAnsi="Arabic Transparent" w:cs="Arabic Transparent"/>
          <w:sz w:val="28"/>
          <w:szCs w:val="28"/>
          <w:vertAlign w:val="superscript"/>
          <w:rtl/>
          <w:lang w:bidi="ar-JO"/>
        </w:rPr>
        <w:footnoteReference w:id="305"/>
      </w:r>
      <w:r w:rsidR="00017DFE" w:rsidRPr="00001A51">
        <w:rPr>
          <w:rFonts w:ascii="Arabic Transparent" w:hAnsi="Arabic Transparent" w:cs="Arabic Transparent"/>
          <w:sz w:val="28"/>
          <w:szCs w:val="28"/>
          <w:vertAlign w:val="superscript"/>
          <w:rtl/>
          <w:lang w:bidi="ar-JO"/>
        </w:rPr>
        <w:t>)</w:t>
      </w:r>
      <w:r w:rsidR="00017DFE" w:rsidRPr="00001A51">
        <w:rPr>
          <w:rFonts w:ascii="Arabic Transparent" w:hAnsi="Arabic Transparent" w:cs="Arabic Transparent"/>
          <w:sz w:val="28"/>
          <w:szCs w:val="28"/>
          <w:rtl/>
          <w:lang w:bidi="ar-JO"/>
        </w:rPr>
        <w:t>.</w:t>
      </w:r>
    </w:p>
    <w:p w14:paraId="4E7B79D4" w14:textId="77777777" w:rsidR="00017DFE" w:rsidRPr="00001A51" w:rsidRDefault="00017DFE" w:rsidP="00017DFE">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b/>
          <w:bCs/>
          <w:sz w:val="28"/>
          <w:szCs w:val="28"/>
          <w:rtl/>
          <w:lang w:bidi="ar-JO"/>
        </w:rPr>
        <w:t xml:space="preserve">ثالثاً: وجود ظروف خاصة محيطة بالواقعة: </w:t>
      </w:r>
      <w:r w:rsidRPr="00001A51">
        <w:rPr>
          <w:rFonts w:ascii="Arabic Transparent" w:hAnsi="Arabic Transparent" w:cs="Arabic Transparent"/>
          <w:sz w:val="28"/>
          <w:szCs w:val="28"/>
          <w:rtl/>
          <w:lang w:bidi="ar-JO"/>
        </w:rPr>
        <w:t>فإنَّ وجود ظروف خاصة يعد من أهم الشروط لوقوع التفاوت عند تحقيق المناط الخاص؛ لأنه يجعل تنزيل الحكم على جزئية معينة يحتاج إلى المزيد من الاجتهاد في تصورها ووصفها وربطها بالمناط الخاص الذي حدده المجتهد.</w:t>
      </w:r>
    </w:p>
    <w:p w14:paraId="71FD8F6E" w14:textId="02F03254" w:rsidR="0056621D" w:rsidRPr="00001A51" w:rsidRDefault="005D7B91" w:rsidP="00017DFE">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017DFE" w:rsidRPr="00001A51">
        <w:rPr>
          <w:rFonts w:ascii="Arabic Transparent" w:hAnsi="Arabic Transparent" w:cs="Arabic Transparent"/>
          <w:sz w:val="28"/>
          <w:szCs w:val="28"/>
          <w:rtl/>
          <w:lang w:bidi="ar-JO"/>
        </w:rPr>
        <w:t xml:space="preserve">ويقصد بالظروف الخاصة: </w:t>
      </w:r>
      <w:r w:rsidR="009420B1" w:rsidRPr="00001A51">
        <w:rPr>
          <w:rFonts w:ascii="Arabic Transparent" w:hAnsi="Arabic Transparent" w:cs="Arabic Transparent" w:hint="cs"/>
          <w:sz w:val="28"/>
          <w:szCs w:val="28"/>
          <w:rtl/>
          <w:lang w:bidi="ar-JO"/>
        </w:rPr>
        <w:t>"</w:t>
      </w:r>
      <w:r w:rsidR="00017DFE" w:rsidRPr="00001A51">
        <w:rPr>
          <w:rFonts w:ascii="Arabic Transparent" w:hAnsi="Arabic Transparent" w:cs="Arabic Transparent"/>
          <w:sz w:val="28"/>
          <w:szCs w:val="28"/>
          <w:rtl/>
          <w:lang w:bidi="ar-JO"/>
        </w:rPr>
        <w:t>الملابسات التي تخص الواقعة، أو الشخص، أو العقد، مثل: تغير في الزمان والمكان، والعرف الجاري، وطبيعة أطراف العقد، وطريقة تنفيذ العقد</w:t>
      </w:r>
      <w:r w:rsidR="00017DFE" w:rsidRPr="00001A51">
        <w:rPr>
          <w:rFonts w:ascii="Arabic Transparent" w:hAnsi="Arabic Transparent" w:cs="Arabic Transparent"/>
          <w:sz w:val="28"/>
          <w:szCs w:val="28"/>
          <w:vertAlign w:val="superscript"/>
          <w:rtl/>
          <w:lang w:bidi="ar-JO"/>
        </w:rPr>
        <w:t xml:space="preserve"> </w:t>
      </w:r>
      <w:r w:rsidR="00017DFE" w:rsidRPr="00001A51">
        <w:rPr>
          <w:rFonts w:ascii="Arabic Transparent" w:hAnsi="Arabic Transparent" w:cs="Arabic Transparent"/>
          <w:sz w:val="28"/>
          <w:szCs w:val="28"/>
          <w:rtl/>
          <w:lang w:bidi="ar-JO"/>
        </w:rPr>
        <w:t>الفعلية، والمآلات المتوقعة وغيرها من الظروف التي قد تؤثر في درجة تحقق الوصف المؤثر</w:t>
      </w:r>
      <w:r w:rsidR="009420B1" w:rsidRPr="00001A51">
        <w:rPr>
          <w:rFonts w:ascii="Arabic Transparent" w:hAnsi="Arabic Transparent" w:cs="Arabic Transparent" w:hint="cs"/>
          <w:sz w:val="28"/>
          <w:szCs w:val="28"/>
          <w:rtl/>
          <w:lang w:bidi="ar-JO"/>
        </w:rPr>
        <w:t>"</w:t>
      </w:r>
      <w:r w:rsidR="00017DFE" w:rsidRPr="00001A51">
        <w:rPr>
          <w:rFonts w:ascii="Arabic Transparent" w:hAnsi="Arabic Transparent" w:cs="Arabic Transparent"/>
          <w:sz w:val="28"/>
          <w:szCs w:val="28"/>
          <w:vertAlign w:val="superscript"/>
          <w:rtl/>
          <w:lang w:bidi="ar-JO"/>
        </w:rPr>
        <w:t>(</w:t>
      </w:r>
      <w:r w:rsidR="00017DFE" w:rsidRPr="00001A51">
        <w:rPr>
          <w:rFonts w:ascii="Arabic Transparent" w:hAnsi="Arabic Transparent" w:cs="Arabic Transparent"/>
          <w:sz w:val="28"/>
          <w:szCs w:val="28"/>
          <w:vertAlign w:val="superscript"/>
          <w:rtl/>
          <w:lang w:bidi="ar-JO"/>
        </w:rPr>
        <w:footnoteReference w:id="306"/>
      </w:r>
      <w:r w:rsidR="00017DFE" w:rsidRPr="00001A51">
        <w:rPr>
          <w:rFonts w:ascii="Arabic Transparent" w:hAnsi="Arabic Transparent" w:cs="Arabic Transparent"/>
          <w:sz w:val="28"/>
          <w:szCs w:val="28"/>
          <w:vertAlign w:val="superscript"/>
          <w:rtl/>
          <w:lang w:bidi="ar-JO"/>
        </w:rPr>
        <w:t>)</w:t>
      </w:r>
      <w:r w:rsidR="00017DFE" w:rsidRPr="00001A51">
        <w:rPr>
          <w:rFonts w:ascii="Arabic Transparent" w:hAnsi="Arabic Transparent" w:cs="Arabic Transparent"/>
          <w:sz w:val="28"/>
          <w:szCs w:val="28"/>
          <w:rtl/>
          <w:lang w:bidi="ar-JO"/>
        </w:rPr>
        <w:t>.</w:t>
      </w:r>
    </w:p>
    <w:p w14:paraId="3940EB59" w14:textId="25D387C9" w:rsidR="0056621D" w:rsidRPr="00001A51" w:rsidRDefault="005D7B91" w:rsidP="003749C6">
      <w:pPr>
        <w:spacing w:after="0" w:line="360" w:lineRule="auto"/>
        <w:jc w:val="both"/>
        <w:rPr>
          <w:rFonts w:ascii="Arabic Transparent" w:hAnsi="Arabic Transparent" w:cs="Arabic Transparent"/>
          <w:b/>
          <w:bCs/>
          <w:sz w:val="32"/>
          <w:szCs w:val="32"/>
          <w:rtl/>
          <w:lang w:bidi="ar-JO"/>
        </w:rPr>
      </w:pPr>
      <w:r w:rsidRPr="00001A51">
        <w:rPr>
          <w:rFonts w:ascii="Arabic Transparent" w:hAnsi="Arabic Transparent" w:cs="Arabic Transparent"/>
          <w:sz w:val="28"/>
          <w:szCs w:val="28"/>
          <w:rtl/>
          <w:lang w:bidi="ar-JO"/>
        </w:rPr>
        <w:t xml:space="preserve">     </w:t>
      </w:r>
      <w:r w:rsidR="00017DFE" w:rsidRPr="00001A51">
        <w:rPr>
          <w:rFonts w:ascii="Arabic Transparent" w:hAnsi="Arabic Transparent" w:cs="Arabic Transparent"/>
          <w:sz w:val="28"/>
          <w:szCs w:val="28"/>
          <w:rtl/>
          <w:lang w:bidi="ar-JO"/>
        </w:rPr>
        <w:t xml:space="preserve">والمثال عليه: في دفع رسوم مرتبطة بتمويل أو بطاقة، قد تختلف الفتوى لاختلاف ظروف التنفيذ: هل الرسوم مقابل خدمة حقيقية منفصلة، أم هي في الحقيقة منفعة مرتبطة بالقرض؟ هذا الاختلاف ليس في القاعدة الكلية، بل في الملابسات التي تُحدّد تحقق المناط في هذه الصورة، ففي </w:t>
      </w:r>
      <w:r w:rsidR="009420B1" w:rsidRPr="00001A51">
        <w:rPr>
          <w:rFonts w:ascii="Arabic Transparent" w:hAnsi="Arabic Transparent" w:cs="Arabic Transparent" w:hint="cs"/>
          <w:sz w:val="28"/>
          <w:szCs w:val="28"/>
          <w:rtl/>
          <w:lang w:bidi="ar-JO"/>
        </w:rPr>
        <w:t>"</w:t>
      </w:r>
      <w:r w:rsidR="00017DFE" w:rsidRPr="00001A51">
        <w:rPr>
          <w:rFonts w:ascii="Arabic Transparent" w:hAnsi="Arabic Transparent" w:cs="Arabic Transparent"/>
          <w:sz w:val="28"/>
          <w:szCs w:val="28"/>
          <w:rtl/>
          <w:lang w:bidi="ar-JO"/>
        </w:rPr>
        <w:t>بعض شركات التمويل يمكن أن تكون الرسوم مقابل خدمة حقيقية تقدم، وبعض الشركات الأخرى تكون صورتها منفعة مرتبطة بالقرض، فيتغير الحكم وفق تغير الظروف والمعطيات التي يطلع عليها المفتي في المعاملات المالية الجديدة</w:t>
      </w:r>
      <w:r w:rsidR="009420B1" w:rsidRPr="00001A51">
        <w:rPr>
          <w:rFonts w:ascii="Arabic Transparent" w:hAnsi="Arabic Transparent" w:cs="Arabic Transparent" w:hint="cs"/>
          <w:sz w:val="28"/>
          <w:szCs w:val="28"/>
          <w:rtl/>
          <w:lang w:bidi="ar-JO"/>
        </w:rPr>
        <w:t>"</w:t>
      </w:r>
      <w:r w:rsidR="00017DFE" w:rsidRPr="00001A51">
        <w:rPr>
          <w:rFonts w:ascii="Arabic Transparent" w:hAnsi="Arabic Transparent" w:cs="Arabic Transparent"/>
          <w:sz w:val="28"/>
          <w:szCs w:val="28"/>
          <w:vertAlign w:val="superscript"/>
          <w:rtl/>
          <w:lang w:bidi="ar-JO"/>
        </w:rPr>
        <w:t>(</w:t>
      </w:r>
      <w:r w:rsidR="00017DFE" w:rsidRPr="00001A51">
        <w:rPr>
          <w:rFonts w:ascii="Arabic Transparent" w:hAnsi="Arabic Transparent" w:cs="Arabic Transparent"/>
          <w:sz w:val="28"/>
          <w:szCs w:val="28"/>
          <w:vertAlign w:val="superscript"/>
          <w:rtl/>
          <w:lang w:bidi="ar-JO"/>
        </w:rPr>
        <w:footnoteReference w:id="307"/>
      </w:r>
      <w:r w:rsidR="00017DFE" w:rsidRPr="00001A51">
        <w:rPr>
          <w:rFonts w:ascii="Arabic Transparent" w:hAnsi="Arabic Transparent" w:cs="Arabic Transparent"/>
          <w:sz w:val="28"/>
          <w:szCs w:val="28"/>
          <w:vertAlign w:val="superscript"/>
          <w:rtl/>
          <w:lang w:bidi="ar-JO"/>
        </w:rPr>
        <w:t>)</w:t>
      </w:r>
      <w:r w:rsidR="00017DFE" w:rsidRPr="00001A51">
        <w:rPr>
          <w:rFonts w:ascii="Arabic Transparent" w:hAnsi="Arabic Transparent" w:cs="Arabic Transparent"/>
          <w:sz w:val="28"/>
          <w:szCs w:val="28"/>
          <w:rtl/>
          <w:lang w:bidi="ar-JO"/>
        </w:rPr>
        <w:t>.</w:t>
      </w:r>
      <w:r w:rsidR="0056621D" w:rsidRPr="00001A51">
        <w:rPr>
          <w:rFonts w:ascii="Arabic Transparent" w:hAnsi="Arabic Transparent" w:cs="Arabic Transparent"/>
          <w:b/>
          <w:bCs/>
          <w:sz w:val="32"/>
          <w:szCs w:val="32"/>
          <w:rtl/>
          <w:lang w:bidi="ar-JO"/>
        </w:rPr>
        <w:br w:type="page"/>
      </w:r>
    </w:p>
    <w:p w14:paraId="0FE32E3F" w14:textId="77777777" w:rsidR="004E383D" w:rsidRPr="00001A51" w:rsidRDefault="004E383D" w:rsidP="004E383D">
      <w:pPr>
        <w:spacing w:after="0" w:line="360" w:lineRule="auto"/>
        <w:jc w:val="center"/>
        <w:rPr>
          <w:rFonts w:ascii="Arabic Transparent" w:hAnsi="Arabic Transparent" w:cs="Arabic Transparent"/>
          <w:b/>
          <w:bCs/>
          <w:sz w:val="32"/>
          <w:szCs w:val="32"/>
          <w:rtl/>
          <w:lang w:bidi="ar-JO"/>
        </w:rPr>
      </w:pPr>
      <w:r w:rsidRPr="00001A51">
        <w:rPr>
          <w:rFonts w:ascii="Arabic Transparent" w:hAnsi="Arabic Transparent" w:cs="Arabic Transparent"/>
          <w:b/>
          <w:bCs/>
          <w:sz w:val="32"/>
          <w:szCs w:val="32"/>
          <w:rtl/>
          <w:lang w:bidi="ar-JO"/>
        </w:rPr>
        <w:t>المبحث الثالث:</w:t>
      </w:r>
    </w:p>
    <w:p w14:paraId="1971E588" w14:textId="77777777" w:rsidR="004E383D" w:rsidRPr="00001A51" w:rsidRDefault="004E383D" w:rsidP="004E383D">
      <w:pPr>
        <w:spacing w:after="0" w:line="360" w:lineRule="auto"/>
        <w:jc w:val="center"/>
        <w:rPr>
          <w:rFonts w:ascii="Arabic Transparent" w:hAnsi="Arabic Transparent" w:cs="Arabic Transparent"/>
          <w:b/>
          <w:bCs/>
          <w:sz w:val="32"/>
          <w:szCs w:val="32"/>
          <w:rtl/>
          <w:lang w:bidi="ar-JO"/>
        </w:rPr>
      </w:pPr>
      <w:r w:rsidRPr="00001A51">
        <w:rPr>
          <w:rFonts w:ascii="Arabic Transparent" w:hAnsi="Arabic Transparent" w:cs="Arabic Transparent"/>
          <w:b/>
          <w:bCs/>
          <w:sz w:val="32"/>
          <w:szCs w:val="32"/>
          <w:rtl/>
          <w:lang w:bidi="ar-JO"/>
        </w:rPr>
        <w:t>أسباب التفاوت وبيان مراتبه وأصول ضبطه</w:t>
      </w:r>
    </w:p>
    <w:p w14:paraId="417F4030" w14:textId="77777777" w:rsidR="004E383D" w:rsidRPr="00001A51" w:rsidRDefault="004E383D" w:rsidP="004E383D">
      <w:pPr>
        <w:spacing w:after="0" w:line="360" w:lineRule="auto"/>
        <w:jc w:val="both"/>
        <w:rPr>
          <w:rFonts w:ascii="Arabic Transparent" w:hAnsi="Arabic Transparent" w:cs="Arabic Transparent"/>
          <w:b/>
          <w:bCs/>
          <w:sz w:val="32"/>
          <w:szCs w:val="32"/>
          <w:rtl/>
          <w:lang w:bidi="ar-JO"/>
        </w:rPr>
      </w:pPr>
      <w:r w:rsidRPr="00001A51">
        <w:rPr>
          <w:rFonts w:ascii="Arabic Transparent" w:hAnsi="Arabic Transparent" w:cs="Arabic Transparent"/>
          <w:b/>
          <w:bCs/>
          <w:sz w:val="32"/>
          <w:szCs w:val="32"/>
          <w:rtl/>
          <w:lang w:bidi="ar-JO"/>
        </w:rPr>
        <w:t>المطلب الأول: أسباب التفاوت المؤثر في تحقيق المناط الخاص</w:t>
      </w:r>
    </w:p>
    <w:p w14:paraId="49CE4A9A" w14:textId="711AA7D0" w:rsidR="004E383D" w:rsidRPr="00001A51" w:rsidRDefault="005D7B91" w:rsidP="004E383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b/>
          <w:bCs/>
          <w:sz w:val="28"/>
          <w:szCs w:val="28"/>
          <w:rtl/>
          <w:lang w:bidi="ar-JO"/>
        </w:rPr>
        <w:t xml:space="preserve">     </w:t>
      </w:r>
      <w:r w:rsidR="004E383D" w:rsidRPr="00001A51">
        <w:rPr>
          <w:rFonts w:ascii="Arabic Transparent" w:hAnsi="Arabic Transparent" w:cs="Arabic Transparent"/>
          <w:sz w:val="28"/>
          <w:szCs w:val="28"/>
          <w:rtl/>
          <w:lang w:bidi="ar-JO"/>
        </w:rPr>
        <w:t xml:space="preserve">يعرض هذا المطلب أسباب التفاوت المؤثر في المعاملات المالية التي أدت إلى حدوث التفاوت بالرغم من اتحاد الدليل الكلي، وهي تعود إلى ركنين من أركان التفاوت التي تم الحديث عنهما سابقا وهي كما يأتي: </w:t>
      </w:r>
    </w:p>
    <w:p w14:paraId="0A10D5A2" w14:textId="77777777" w:rsidR="004E383D" w:rsidRPr="00001A51" w:rsidRDefault="004E383D" w:rsidP="004E383D">
      <w:pPr>
        <w:spacing w:after="0" w:line="360" w:lineRule="auto"/>
        <w:jc w:val="both"/>
        <w:rPr>
          <w:rFonts w:ascii="Arabic Transparent" w:hAnsi="Arabic Transparent" w:cs="Arabic Transparent"/>
          <w:b/>
          <w:bCs/>
          <w:sz w:val="32"/>
          <w:szCs w:val="32"/>
          <w:rtl/>
          <w:lang w:bidi="ar-JO"/>
        </w:rPr>
      </w:pPr>
      <w:r w:rsidRPr="00001A51">
        <w:rPr>
          <w:rFonts w:ascii="Arabic Transparent" w:hAnsi="Arabic Transparent" w:cs="Arabic Transparent"/>
          <w:b/>
          <w:bCs/>
          <w:sz w:val="32"/>
          <w:szCs w:val="32"/>
          <w:rtl/>
          <w:lang w:bidi="ar-JO"/>
        </w:rPr>
        <w:t xml:space="preserve">الفرع الأول: بالنظر إلى محل التنزيل (الواقعة) </w:t>
      </w:r>
    </w:p>
    <w:p w14:paraId="42E0599B" w14:textId="39B5FF60" w:rsidR="004E383D" w:rsidRPr="00001A51" w:rsidRDefault="005D7B91" w:rsidP="004E383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الواقعة</w:t>
      </w:r>
      <w:r w:rsidR="00546C47" w:rsidRPr="00001A51">
        <w:rPr>
          <w:rFonts w:ascii="Arabic Transparent" w:hAnsi="Arabic Transparent" w:cs="Arabic Transparent" w:hint="cs"/>
          <w:sz w:val="28"/>
          <w:szCs w:val="28"/>
          <w:rtl/>
          <w:lang w:bidi="ar-JO"/>
        </w:rPr>
        <w:t>:</w:t>
      </w:r>
      <w:r w:rsidR="004E383D" w:rsidRPr="00001A51">
        <w:rPr>
          <w:rFonts w:ascii="Arabic Transparent" w:hAnsi="Arabic Transparent" w:cs="Arabic Transparent"/>
          <w:sz w:val="28"/>
          <w:szCs w:val="28"/>
          <w:rtl/>
          <w:lang w:bidi="ar-JO"/>
        </w:rPr>
        <w:t xml:space="preserve"> </w:t>
      </w:r>
      <w:r w:rsidR="00546C47" w:rsidRPr="00001A51">
        <w:rPr>
          <w:rFonts w:ascii="Arabic Transparent" w:hAnsi="Arabic Transparent" w:cs="Arabic Transparent" w:hint="cs"/>
          <w:sz w:val="28"/>
          <w:szCs w:val="28"/>
          <w:rtl/>
          <w:lang w:bidi="ar-JO"/>
        </w:rPr>
        <w:t>"</w:t>
      </w:r>
      <w:r w:rsidR="004E383D" w:rsidRPr="00001A51">
        <w:rPr>
          <w:rFonts w:ascii="Arabic Transparent" w:hAnsi="Arabic Transparent" w:cs="Arabic Transparent"/>
          <w:sz w:val="28"/>
          <w:szCs w:val="28"/>
          <w:rtl/>
          <w:lang w:bidi="ar-JO"/>
        </w:rPr>
        <w:t>هي النازلة التي يتم السؤال عنها من قبل المستفتي</w:t>
      </w:r>
      <w:r w:rsidR="00546C47" w:rsidRPr="00001A51">
        <w:rPr>
          <w:rFonts w:ascii="Arabic Transparent" w:hAnsi="Arabic Transparent" w:cs="Arabic Transparent" w:hint="cs"/>
          <w:sz w:val="28"/>
          <w:szCs w:val="28"/>
          <w:rtl/>
          <w:lang w:bidi="ar-JO"/>
        </w:rPr>
        <w:t>"</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308"/>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وهي عادةً ما تكون سبب التفاوت في بعض المسائل المعاصرة بسبب التردد أو التغير الذي يجري على الواقعة، وفي هذا السياق وضع الشاطبي ضابطاً مهماً لهذا التفاوت الراجع للواقعة حيث قال:"لا يصح للعالم إذا سئل عن أمر كيف يحصل في الواقع، إلا أن يجيب بحسب الواقع، فإن أجاب على غير ذلك (بالمناط العام)؛ أخطأ في عدم اعتبار المناط المسؤول عن حكمه، لأنه سئل عن مناط معين؛ فأجاب عن مناط غير معين"</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309"/>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xml:space="preserve"> فهو يبين أن المجتهد عليه أن يهتم بالواقعة، فإذا أراد أن يفتي فالجواب إنما يقع بحسب المناط الخاص بالنظر إلى الواقعة المحددة أمامه، ويمكن تلخيص الأسباب التي تعود للواقعة بما يأتي: </w:t>
      </w:r>
    </w:p>
    <w:p w14:paraId="33DA5A2A" w14:textId="77777777" w:rsidR="004E383D" w:rsidRPr="00001A51" w:rsidRDefault="004E383D" w:rsidP="004E383D">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أولاً: تردد مناط الواقعة بين الإثبات والنفي:</w:t>
      </w:r>
    </w:p>
    <w:p w14:paraId="5AC1C257" w14:textId="3BD20935" w:rsidR="004E383D" w:rsidRPr="00001A51" w:rsidRDefault="005D7B91" w:rsidP="003749C6">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 xml:space="preserve"> من أسباب التَّفاوت الخفاء الذي يعتري الوقائع والأعيان التي يتردد فيها ثبوت المناط بين الإثبات والنفي، ويكون غير واضحٍ، ولا يعرف مدى تحقق الوصف بالواقعة، حيث يقول الزبيدي: "إذا تردد ثبوت المناط في بعض أفراده ‌بين ‌طرفي ‌الإثبات ‌والنفي احتيج حينئذٍ إلى بلوغ حدِّ الوسع في الاجتهاد؛ لإزالة ذلك الخفاء حسبما يأتي بيانه في مسالك تحقيق المناط"</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310"/>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hint="cs"/>
          <w:sz w:val="28"/>
          <w:szCs w:val="28"/>
          <w:rtl/>
          <w:lang w:bidi="ar-JO"/>
        </w:rPr>
        <w:t xml:space="preserve">، </w:t>
      </w:r>
      <w:r w:rsidR="004E383D" w:rsidRPr="00001A51">
        <w:rPr>
          <w:rFonts w:ascii="Arabic Transparent" w:hAnsi="Arabic Transparent" w:cs="Arabic Transparent"/>
          <w:sz w:val="28"/>
          <w:szCs w:val="28"/>
          <w:rtl/>
          <w:lang w:bidi="ar-JO"/>
        </w:rPr>
        <w:t xml:space="preserve">فلابدَّ من الاجتهاد والنظر، حتى ينجلي الخفاء، وتظهر حقيقة الواقعة من خلال بذل الجهد والسعة في دراستها، حيث تقع بعض الحوادث المعاصرة ويكون لها أسماء جديدة ليس لها مثالٌ سابق، فينشأ عنها غموض وخفاء في ذهن المجتهد يكمن في مدى تحقق مناط الحكم العام فيها، وينشأ عنها أيضاً الاختلاف </w:t>
      </w:r>
    </w:p>
    <w:p w14:paraId="2FF05B7E" w14:textId="32F2C299" w:rsidR="00850AE2" w:rsidRPr="00001A51" w:rsidRDefault="004E383D" w:rsidP="00850AE2">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lastRenderedPageBreak/>
        <w:t>في تصور الواقعة الواحدة بين المجتهدين ولا ينجلي هذا الخفاء إلا باستعمال مسالك تحقيق المناط القديمة والحديثة، والتي سوف تذكر في ثنايا هذه الدراسة.</w:t>
      </w:r>
      <w:r w:rsidR="00850AE2" w:rsidRPr="00001A51">
        <w:rPr>
          <w:rFonts w:ascii="Arabic Transparent" w:hAnsi="Arabic Transparent" w:cs="Arabic Transparent"/>
          <w:sz w:val="28"/>
          <w:szCs w:val="28"/>
          <w:rtl/>
          <w:lang w:bidi="ar-JO"/>
        </w:rPr>
        <w:br w:type="page"/>
      </w:r>
    </w:p>
    <w:p w14:paraId="700A2EEB" w14:textId="6A2BDE88" w:rsidR="004E383D" w:rsidRPr="00001A51" w:rsidRDefault="005D7B91" w:rsidP="004E383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ومثاله عند الفقهاء</w:t>
      </w:r>
      <w:r w:rsidRPr="00001A51">
        <w:rPr>
          <w:rFonts w:ascii="Arabic Transparent" w:hAnsi="Arabic Transparent" w:cs="Arabic Transparent"/>
          <w:sz w:val="28"/>
          <w:szCs w:val="28"/>
          <w:rtl/>
          <w:lang w:bidi="ar-JO"/>
        </w:rPr>
        <w:t xml:space="preserve">: </w:t>
      </w:r>
      <w:r w:rsidR="004E383D" w:rsidRPr="00001A51">
        <w:rPr>
          <w:rFonts w:ascii="KFGQPC HAFS Uthmanic Script" w:hAnsi="Times New Roman" w:cs="KFGQPC HAFS Uthmanic Script"/>
          <w:color w:val="000000"/>
          <w:sz w:val="28"/>
          <w:szCs w:val="28"/>
          <w:rtl/>
        </w:rPr>
        <w:t>قوله تعالى ﵟ وَٱلسَّارِقُ وَٱلسَّارِقَةُ فَٱقۡطَعُوٓاْ أَيۡدِيَهُمَا جَزَآءَۢ بِمَا كَسَبَا نَكَٰلٗا مِّنَ ٱللَّهِۗ وَٱللَّهُ عَزِيزٌ حَكِيمٞ ٣٨ﵞ ﵝالمَائـِدَة</w:t>
      </w:r>
      <w:r w:rsidRPr="00001A51">
        <w:rPr>
          <w:rFonts w:ascii="KFGQPC HAFS Uthmanic Script" w:hAnsi="Times New Roman" w:cs="KFGQPC HAFS Uthmanic Script"/>
          <w:color w:val="000000"/>
          <w:sz w:val="28"/>
          <w:szCs w:val="28"/>
          <w:rtl/>
        </w:rPr>
        <w:t xml:space="preserve">: </w:t>
      </w:r>
      <w:r w:rsidR="004E383D" w:rsidRPr="00001A51">
        <w:rPr>
          <w:rFonts w:ascii="KFGQPC HAFS Uthmanic Script" w:hAnsi="Times New Roman" w:cs="KFGQPC HAFS Uthmanic Script"/>
          <w:color w:val="000000"/>
          <w:sz w:val="28"/>
          <w:szCs w:val="28"/>
          <w:rtl/>
        </w:rPr>
        <w:t>ﵘﵓﵜ</w:t>
      </w:r>
      <w:r w:rsidR="004E383D" w:rsidRPr="00001A51">
        <w:rPr>
          <w:rFonts w:ascii="Arabic Transparent" w:hAnsi="Arabic Transparent" w:cs="Arabic Transparent"/>
          <w:sz w:val="28"/>
          <w:szCs w:val="28"/>
          <w:rtl/>
        </w:rPr>
        <w:t xml:space="preserve">، </w:t>
      </w:r>
      <w:r w:rsidR="004E383D" w:rsidRPr="00001A51">
        <w:rPr>
          <w:rFonts w:ascii="Arabic Transparent" w:hAnsi="Arabic Transparent" w:cs="Arabic Transparent"/>
          <w:sz w:val="28"/>
          <w:szCs w:val="28"/>
          <w:rtl/>
          <w:lang w:bidi="ar-JO"/>
        </w:rPr>
        <w:t xml:space="preserve">فهذه الآية تدل على وجوب قطع يد السارق، ومناط الحُكم هو السرقة، وقد </w:t>
      </w:r>
      <w:r w:rsidR="00240DFA" w:rsidRPr="00001A51">
        <w:rPr>
          <w:rFonts w:ascii="Arabic Transparent" w:hAnsi="Arabic Transparent" w:cs="Arabic Transparent" w:hint="cs"/>
          <w:sz w:val="28"/>
          <w:szCs w:val="28"/>
          <w:rtl/>
          <w:lang w:bidi="ar-JO"/>
        </w:rPr>
        <w:t>"</w:t>
      </w:r>
      <w:r w:rsidR="004E383D" w:rsidRPr="00001A51">
        <w:rPr>
          <w:rFonts w:ascii="Arabic Transparent" w:hAnsi="Arabic Transparent" w:cs="Arabic Transparent"/>
          <w:sz w:val="28"/>
          <w:szCs w:val="28"/>
          <w:rtl/>
          <w:lang w:bidi="ar-JO"/>
        </w:rPr>
        <w:t>تردد ثبوت هذا المناط في بعض الصور كالنَّبَّاش</w:t>
      </w:r>
      <w:r w:rsidR="00240DFA" w:rsidRPr="00001A51">
        <w:rPr>
          <w:rFonts w:ascii="Arabic Transparent" w:hAnsi="Arabic Transparent" w:cs="Arabic Transparent" w:hint="cs"/>
          <w:sz w:val="28"/>
          <w:szCs w:val="28"/>
          <w:rtl/>
          <w:lang w:bidi="ar-JO"/>
        </w:rPr>
        <w:t>"</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311"/>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xml:space="preserve"> وغيره، فهل يتحقق فيه مناط الحُكم وهو السرقة، فيتوجب فيه الحدُّ أم لا؟</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312"/>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xml:space="preserve"> وكذلك في السرقات العلمية، وسرقة براءة الاختراع، هل ينطبق عليهما المناط العام أم أنه يجب تحقيق المناط الخاص، واعتبار الظروف الجديدة التي ألمت بالواقعة وبناء حكم جديد يصلح لظروفها الجديدة.</w:t>
      </w:r>
    </w:p>
    <w:p w14:paraId="247112C6" w14:textId="3B86FCF2" w:rsidR="004E383D" w:rsidRPr="00001A51" w:rsidRDefault="004E383D" w:rsidP="003749C6">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3E6FE4" w:rsidRPr="00001A51">
        <w:rPr>
          <w:rFonts w:ascii="Arabic Transparent" w:hAnsi="Arabic Transparent" w:cs="Arabic Transparent" w:hint="cs"/>
          <w:sz w:val="28"/>
          <w:szCs w:val="28"/>
          <w:rtl/>
          <w:lang w:bidi="ar-JO"/>
        </w:rPr>
        <w:t xml:space="preserve">    </w:t>
      </w:r>
      <w:r w:rsidRPr="00001A51">
        <w:rPr>
          <w:rFonts w:ascii="Arabic Transparent" w:hAnsi="Arabic Transparent" w:cs="Arabic Transparent"/>
          <w:sz w:val="28"/>
          <w:szCs w:val="28"/>
          <w:rtl/>
          <w:lang w:bidi="ar-JO"/>
        </w:rPr>
        <w:t xml:space="preserve"> ومن الأمثلة المعاصرة عقد الزواج الالكتروني، وما مدى تضمنه لمناط عقد الزواج الشرعي الصحيح؟ فسوف يجد المجتهد بعض الخفاء عند تنزيل حكمه على عقد الزواج الصحيح، وكذلك المضاربة الإلكترونية وما مدى تضمنها لمناط عقد المضاربة الفقهي؟ فهذه الصور الجديدة لا يذهب الخفاء عنها إلا بفهم النازلة المعروضة فهماً جلياً، وتصورها تصوراً سليماً، ومعرفتها معرفةً تامةً، </w:t>
      </w:r>
      <w:r w:rsidR="00546C47" w:rsidRPr="00001A51">
        <w:rPr>
          <w:rFonts w:ascii="Arabic Transparent" w:hAnsi="Arabic Transparent" w:cs="Arabic Transparent" w:hint="cs"/>
          <w:sz w:val="28"/>
          <w:szCs w:val="28"/>
          <w:rtl/>
          <w:lang w:bidi="ar-JO"/>
        </w:rPr>
        <w:t>"</w:t>
      </w:r>
      <w:r w:rsidRPr="00001A51">
        <w:rPr>
          <w:rFonts w:ascii="Arabic Transparent" w:hAnsi="Arabic Transparent" w:cs="Arabic Transparent"/>
          <w:sz w:val="28"/>
          <w:szCs w:val="28"/>
          <w:rtl/>
          <w:lang w:bidi="ar-JO"/>
        </w:rPr>
        <w:t>من خلال تفكيك العقود المركبة إلى العناصر التي تتكون منها، فبعض العقود الحديثة عند التكييف الفقهي يتبين للمجتهد أنها تتكون من ثلاثة، أو أربعة عقود، كالمرابحة للآمر بالشراء، أو الإجارة المنتهية بالتمليك</w:t>
      </w:r>
      <w:r w:rsidR="00546C47" w:rsidRPr="00001A51">
        <w:rPr>
          <w:rFonts w:ascii="Arabic Transparent" w:hAnsi="Arabic Transparent" w:cs="Arabic Transparent" w:hint="cs"/>
          <w:sz w:val="28"/>
          <w:szCs w:val="28"/>
          <w:rtl/>
          <w:lang w:bidi="ar-JO"/>
        </w:rPr>
        <w:t>"</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313"/>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وفي هذه الحالة قد تتفاوت آراء الفقهاء عند تحقيق المناط، واختيار الأوصاف</w:t>
      </w:r>
    </w:p>
    <w:p w14:paraId="51B6EFE5" w14:textId="5821D18E" w:rsidR="004E383D" w:rsidRPr="00001A51" w:rsidRDefault="004E383D" w:rsidP="004E383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المناسبة وتقرير الحكم الشرعي، بسبب الخفاء الذي يصاحب الواقعة، والذي قد يجلى لمجتهد ولا يجلى لمجتهد آخر</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314"/>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w:t>
      </w:r>
    </w:p>
    <w:p w14:paraId="2C0A08CF" w14:textId="77777777" w:rsidR="00546C47" w:rsidRPr="00001A51" w:rsidRDefault="005D7B91" w:rsidP="003749C6">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 xml:space="preserve">وكما في بيع منتج التعليم مرابحةً في بعض البنوك الإسلامية ومدى تضمنه لمناط عقد البيع الصحيح، حيث صدر عن مجلس الإفتاء الأردني قرار رقم (108) </w:t>
      </w:r>
      <w:r w:rsidR="00546C47" w:rsidRPr="00001A51">
        <w:rPr>
          <w:rFonts w:ascii="Arabic Transparent" w:hAnsi="Arabic Transparent" w:cs="Arabic Transparent" w:hint="cs"/>
          <w:sz w:val="28"/>
          <w:szCs w:val="28"/>
          <w:rtl/>
          <w:lang w:bidi="ar-JO"/>
        </w:rPr>
        <w:t>"</w:t>
      </w:r>
      <w:r w:rsidR="004E383D" w:rsidRPr="00001A51">
        <w:rPr>
          <w:rFonts w:ascii="Arabic Transparent" w:hAnsi="Arabic Transparent" w:cs="Arabic Transparent"/>
          <w:sz w:val="28"/>
          <w:szCs w:val="28"/>
          <w:rtl/>
          <w:lang w:bidi="ar-JO"/>
        </w:rPr>
        <w:t xml:space="preserve">بعدم جواز عقد بيع المرابحة على الخدمات؛ لأنّ بيع المرابحة يتعلق بالسلع وليس </w:t>
      </w:r>
      <w:r w:rsidR="00546C47" w:rsidRPr="00001A51">
        <w:rPr>
          <w:rFonts w:ascii="Arabic Transparent" w:hAnsi="Arabic Transparent" w:cs="Arabic Transparent" w:hint="cs"/>
          <w:sz w:val="28"/>
          <w:szCs w:val="28"/>
          <w:rtl/>
          <w:lang w:bidi="ar-JO"/>
        </w:rPr>
        <w:t>محله</w:t>
      </w:r>
      <w:r w:rsidR="004E383D" w:rsidRPr="00001A51">
        <w:rPr>
          <w:rFonts w:ascii="Arabic Transparent" w:hAnsi="Arabic Transparent" w:cs="Arabic Transparent"/>
          <w:sz w:val="28"/>
          <w:szCs w:val="28"/>
          <w:rtl/>
          <w:lang w:bidi="ar-JO"/>
        </w:rPr>
        <w:t xml:space="preserve"> الخدمات</w:t>
      </w:r>
      <w:r w:rsidR="00546C47" w:rsidRPr="00001A51">
        <w:rPr>
          <w:rFonts w:ascii="Arabic Transparent" w:hAnsi="Arabic Transparent" w:cs="Arabic Transparent" w:hint="cs"/>
          <w:sz w:val="28"/>
          <w:szCs w:val="28"/>
          <w:rtl/>
          <w:lang w:bidi="ar-JO"/>
        </w:rPr>
        <w:t>"</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315"/>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xml:space="preserve">، "ولأنّ طبيعة منافع هذه </w:t>
      </w:r>
    </w:p>
    <w:p w14:paraId="6E6838C1" w14:textId="77777777" w:rsidR="00546C47" w:rsidRPr="00001A51" w:rsidRDefault="00546C47">
      <w:pPr>
        <w:bidi w:val="0"/>
        <w:spacing w:after="0" w:line="240" w:lineRule="auto"/>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lastRenderedPageBreak/>
        <w:br w:type="page"/>
      </w:r>
    </w:p>
    <w:p w14:paraId="4F4E41B0" w14:textId="68E3BAAD" w:rsidR="004E383D" w:rsidRPr="00001A51" w:rsidRDefault="004E383D" w:rsidP="003749C6">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الخدمات تتناقض مع طبيعة عقد البيع وأحكامه"</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316"/>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xml:space="preserve">، على الصعيد الآخر ذهب بعض المجتهدين إلى أن </w:t>
      </w:r>
      <w:r w:rsidR="00546C47" w:rsidRPr="00001A51">
        <w:rPr>
          <w:rFonts w:ascii="Arabic Transparent" w:hAnsi="Arabic Transparent" w:cs="Arabic Transparent" w:hint="cs"/>
          <w:sz w:val="28"/>
          <w:szCs w:val="28"/>
          <w:rtl/>
          <w:lang w:bidi="ar-JO"/>
        </w:rPr>
        <w:t>"</w:t>
      </w:r>
      <w:r w:rsidRPr="00001A51">
        <w:rPr>
          <w:rFonts w:ascii="Arabic Transparent" w:hAnsi="Arabic Transparent" w:cs="Arabic Transparent"/>
          <w:sz w:val="28"/>
          <w:szCs w:val="28"/>
          <w:rtl/>
          <w:lang w:bidi="ar-JO"/>
        </w:rPr>
        <w:t xml:space="preserve">العقد متوافق مع عقد البيع، وأن الخدمات يمكن أن تقوَّم كما تقوَّم الأعيان </w:t>
      </w:r>
      <w:r w:rsidR="00546C47" w:rsidRPr="00001A51">
        <w:rPr>
          <w:rFonts w:ascii="Arabic Transparent" w:hAnsi="Arabic Transparent" w:cs="Arabic Transparent" w:hint="cs"/>
          <w:sz w:val="28"/>
          <w:szCs w:val="28"/>
          <w:rtl/>
          <w:lang w:bidi="ar-JO"/>
        </w:rPr>
        <w:t>و</w:t>
      </w:r>
      <w:r w:rsidRPr="00001A51">
        <w:rPr>
          <w:rFonts w:ascii="Arabic Transparent" w:hAnsi="Arabic Transparent" w:cs="Arabic Transparent"/>
          <w:sz w:val="28"/>
          <w:szCs w:val="28"/>
          <w:rtl/>
          <w:lang w:bidi="ar-JO"/>
        </w:rPr>
        <w:t>تباع</w:t>
      </w:r>
      <w:r w:rsidR="00546C47" w:rsidRPr="00001A51">
        <w:rPr>
          <w:rFonts w:ascii="Arabic Transparent" w:hAnsi="Arabic Transparent" w:cs="Arabic Transparent" w:hint="cs"/>
          <w:sz w:val="28"/>
          <w:szCs w:val="28"/>
          <w:rtl/>
          <w:lang w:bidi="ar-JO"/>
        </w:rPr>
        <w:t>"</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317"/>
      </w:r>
      <w:r w:rsidRPr="00001A51">
        <w:rPr>
          <w:rFonts w:ascii="Arabic Transparent" w:hAnsi="Arabic Transparent" w:cs="Arabic Transparent"/>
          <w:sz w:val="28"/>
          <w:szCs w:val="28"/>
          <w:vertAlign w:val="superscript"/>
          <w:rtl/>
          <w:lang w:bidi="ar-JO"/>
        </w:rPr>
        <w:t>).</w:t>
      </w:r>
    </w:p>
    <w:p w14:paraId="083ADD4D" w14:textId="77777777" w:rsidR="004E383D" w:rsidRPr="00001A51" w:rsidRDefault="004E383D" w:rsidP="004E383D">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ثانياً: تردد الواقعة بين أكثر من أصل شرعي:</w:t>
      </w:r>
    </w:p>
    <w:p w14:paraId="554876B6" w14:textId="2B0BDDD6" w:rsidR="004E383D" w:rsidRPr="00001A51" w:rsidRDefault="005D7B91" w:rsidP="003749C6">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يتبين للمجتهد الناظر في الواقعة -محل النظر- بأنه يتنازعها أصول كلية وقواعد وأحكام عامة فلا تتعلق بأصل واحد فقط، والسبب في ذلك وجود مناطات جديدة ومختلفة فيها ويمكن أن تجعل الشبه مع أكثر من أصل شرعي مما يسبب التَّفاوت بين الفقهاء، حيث يطبق بعضهم عليها أصلاً عاماً من أصول وقواعد الشريعة الإسلامية، ويطبق آخر أصلاً آخر يجدونه أقرب وأكثر اتصالاً والتصاقاً بالواقعة محل النظر</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318"/>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ويمكن أن يتوقف آخرون ويحيلون تحقيق المناط إلى وقت آخر بعد أن تتجلى صورة المسألة لديهم كما يفعل مجمع الفقه الإسلامي عندما يؤجل النظر في بعض المسائل المعاصرة لعدم كفاية الدراسات المتوفرة حولها</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319"/>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w:t>
      </w:r>
    </w:p>
    <w:p w14:paraId="57FF169B" w14:textId="7CB4531A" w:rsidR="004E383D" w:rsidRPr="00001A51" w:rsidRDefault="005D7B91" w:rsidP="004E383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 xml:space="preserve">ومثاله </w:t>
      </w:r>
      <w:r w:rsidR="00C15FFB" w:rsidRPr="00001A51">
        <w:rPr>
          <w:rFonts w:ascii="Arabic Transparent" w:hAnsi="Arabic Transparent" w:cs="Arabic Transparent" w:hint="cs"/>
          <w:sz w:val="28"/>
          <w:szCs w:val="28"/>
          <w:rtl/>
          <w:lang w:bidi="ar-JO"/>
        </w:rPr>
        <w:t>"</w:t>
      </w:r>
      <w:r w:rsidR="004E383D" w:rsidRPr="00001A51">
        <w:rPr>
          <w:rFonts w:ascii="Arabic Transparent" w:hAnsi="Arabic Transparent" w:cs="Arabic Transparent"/>
          <w:sz w:val="28"/>
          <w:szCs w:val="28"/>
          <w:rtl/>
          <w:lang w:bidi="ar-JO"/>
        </w:rPr>
        <w:t>بيعُ الوقف واستبدالُه عند تعطّل المنفعة، حيث يتجاذبه عدة أصول منها، لزوم الوقف ومنع بيعه</w:t>
      </w:r>
      <w:r w:rsidR="00C15FFB" w:rsidRPr="00001A51">
        <w:rPr>
          <w:rFonts w:ascii="Arabic Transparent" w:hAnsi="Arabic Transparent" w:cs="Arabic Transparent" w:hint="cs"/>
          <w:sz w:val="28"/>
          <w:szCs w:val="28"/>
          <w:rtl/>
          <w:lang w:bidi="ar-JO"/>
        </w:rPr>
        <w:t>"</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320"/>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xml:space="preserve"> ومنها جواز بيعه للمصلحة الراجحة عند خرابه أو تعطل نفعه حيث يقول ابن مفلح:</w:t>
      </w:r>
      <w:r w:rsidR="00151AED"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‌ويحرم ‌بيعه،</w:t>
      </w:r>
      <w:r w:rsidR="004E383D" w:rsidRPr="00001A51">
        <w:rPr>
          <w:rFonts w:ascii="Aptos" w:hAnsi="Aptos"/>
          <w:rtl/>
        </w:rPr>
        <w:t xml:space="preserve"> </w:t>
      </w:r>
      <w:r w:rsidR="004E383D" w:rsidRPr="00001A51">
        <w:rPr>
          <w:rFonts w:ascii="Arabic Transparent" w:hAnsi="Arabic Transparent" w:cs="Arabic Transparent"/>
          <w:sz w:val="28"/>
          <w:szCs w:val="28"/>
          <w:rtl/>
          <w:lang w:bidi="ar-JO"/>
        </w:rPr>
        <w:t>لا يستبدل به ولا يبيعه إلا أن يكون بحال لا ينتفع به،</w:t>
      </w:r>
      <w:r w:rsidR="004E383D" w:rsidRPr="00001A51">
        <w:rPr>
          <w:rFonts w:ascii="Aptos" w:hAnsi="Aptos"/>
          <w:rtl/>
        </w:rPr>
        <w:t xml:space="preserve"> </w:t>
      </w:r>
      <w:r w:rsidR="004E383D" w:rsidRPr="00001A51">
        <w:rPr>
          <w:rFonts w:ascii="Arabic Transparent" w:hAnsi="Arabic Transparent" w:cs="Arabic Transparent"/>
          <w:sz w:val="28"/>
          <w:szCs w:val="28"/>
          <w:rtl/>
          <w:lang w:bidi="ar-JO"/>
        </w:rPr>
        <w:t>لا يغير عن حاله ولا يباع إلا أن لا ينتفع منه بشيء وقاله الأصحاب، وجوزهما شيخنا لمصلحة"</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321"/>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xml:space="preserve"> </w:t>
      </w:r>
    </w:p>
    <w:p w14:paraId="381F5A28" w14:textId="25D28BDF" w:rsidR="00CB46C3" w:rsidRPr="00001A51" w:rsidRDefault="005D7B91" w:rsidP="00CB46C3">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ومن الأمثلة أيضاً، بيعُ العِينة: بين إطلاقِ الجواز في البُيوع على الظاهر أو سدِّ الذرائع إلى الرِّبا، حيث إنَّ ابن القيم عدَّدَ صوراً كثيرة لبيع العينة، فيقول:"</w:t>
      </w:r>
      <w:r w:rsidR="004E383D" w:rsidRPr="00001A51">
        <w:rPr>
          <w:rFonts w:ascii="Aptos" w:hAnsi="Aptos"/>
          <w:rtl/>
        </w:rPr>
        <w:t xml:space="preserve"> </w:t>
      </w:r>
      <w:r w:rsidR="004E383D" w:rsidRPr="00001A51">
        <w:rPr>
          <w:rFonts w:ascii="Arabic Transparent" w:hAnsi="Arabic Transparent" w:cs="Arabic Transparent"/>
          <w:sz w:val="28"/>
          <w:szCs w:val="28"/>
          <w:rtl/>
          <w:lang w:bidi="ar-JO"/>
        </w:rPr>
        <w:t>ومن الحيل المحرمة الباطلة التحيل على جواز مسألة العينة، مع أنها حيلة في نفسها على الربا"</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322"/>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xml:space="preserve"> بينما يرى الشافعي أنَّه لا يكره </w:t>
      </w:r>
      <w:r w:rsidR="004E383D" w:rsidRPr="00001A51">
        <w:rPr>
          <w:rFonts w:ascii="Arabic Transparent" w:hAnsi="Arabic Transparent" w:cs="Arabic Transparent"/>
          <w:sz w:val="28"/>
          <w:szCs w:val="28"/>
          <w:rtl/>
          <w:lang w:bidi="ar-JO"/>
        </w:rPr>
        <w:lastRenderedPageBreak/>
        <w:t>العقد، وهو بيع صحيح بصرف النظر عن نية البائع، كما أشار إلى ذلك في كتابه الأم</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323"/>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w:t>
      </w:r>
      <w:r w:rsidR="00CB46C3" w:rsidRPr="00001A51">
        <w:rPr>
          <w:rFonts w:ascii="Arabic Transparent" w:hAnsi="Arabic Transparent" w:cs="Arabic Transparent"/>
          <w:sz w:val="28"/>
          <w:szCs w:val="28"/>
          <w:rtl/>
          <w:lang w:bidi="ar-JO"/>
        </w:rPr>
        <w:br w:type="page"/>
      </w:r>
    </w:p>
    <w:p w14:paraId="3B7ED369" w14:textId="0DCE22F2" w:rsidR="004E383D" w:rsidRPr="00001A51" w:rsidRDefault="004E383D" w:rsidP="003749C6">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حيث يرى ابن القيم، "أنَّ الشافعي لا يمكن أن يأمر بالحيل والخداع، وإنما ينظر إلى الظاهر من المتعاقدين"</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324"/>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وقد عقب ابن حجر على كلام ابن القيم هذا بقوله:</w:t>
      </w:r>
      <w:r w:rsidR="00151AED" w:rsidRPr="00001A51">
        <w:rPr>
          <w:rFonts w:ascii="Arabic Transparent" w:hAnsi="Arabic Transparent" w:cs="Arabic Transparent"/>
          <w:sz w:val="28"/>
          <w:szCs w:val="28"/>
          <w:rtl/>
          <w:lang w:bidi="ar-JO"/>
        </w:rPr>
        <w:t xml:space="preserve"> "</w:t>
      </w:r>
      <w:r w:rsidRPr="00001A51">
        <w:rPr>
          <w:rFonts w:ascii="Arabic Transparent" w:hAnsi="Arabic Transparent" w:cs="Arabic Transparent"/>
          <w:sz w:val="28"/>
          <w:szCs w:val="28"/>
          <w:rtl/>
          <w:lang w:bidi="ar-JO"/>
        </w:rPr>
        <w:t>والتحقيق أنه لا يلزم من الإثم في العقد بطلانه في ظاهر الحكم، فالشافعية يجوزون العقود على ظاهرها, ويقولون مع ذلك إن من عمل الحيل بالمكر والخديعة يأثم في الباطن"</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325"/>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xml:space="preserve"> فالحكم يسري في الظاهر مع ترتب الإثم في باطنه الذي لا يطلع عليه الناس</w:t>
      </w:r>
      <w:r w:rsidR="003749C6" w:rsidRPr="00001A51">
        <w:rPr>
          <w:rFonts w:ascii="Arabic Transparent" w:hAnsi="Arabic Transparent" w:cs="Arabic Transparent" w:hint="cs"/>
          <w:sz w:val="28"/>
          <w:szCs w:val="28"/>
          <w:rtl/>
          <w:lang w:bidi="ar-JO"/>
        </w:rPr>
        <w:t>.</w:t>
      </w:r>
    </w:p>
    <w:p w14:paraId="29D0E944" w14:textId="77777777" w:rsidR="004E383D" w:rsidRPr="00001A51" w:rsidRDefault="004E383D" w:rsidP="004E383D">
      <w:pPr>
        <w:spacing w:after="0" w:line="360" w:lineRule="auto"/>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ثالثاً: الاختلاف في تحديد الوصف المناسب المؤثر في الواقعة:</w:t>
      </w:r>
    </w:p>
    <w:p w14:paraId="4E91AC3F" w14:textId="77FD5B1D" w:rsidR="004E383D" w:rsidRPr="00001A51" w:rsidRDefault="005D7B91" w:rsidP="004E383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إن مجرّد التصوّر رغم أهميته لا يكفي وحده في البناء عليه؛ ولكنه يحتاج مُكمّلاً له ولازماً من لوازمه وهو التوصيف الفقهي، حيث يقوم المجتهد بجمع الأوصاف المتعلّقة بالواقعة بعد تصوّرها تصوّراً كاملاً، ثم يقوم بتنقيح هذه الأوصاف، فيعتمد الأوصاف المؤثّرة في الحكم، ويستبعد الأوصاف والاعتبارات غير المؤثّرة، ويلجأ أحياناً إلى تفكيك القضية المركبة إلى عناصرها الأساسية، والكشف عن وجوه الجمع والفرق بين النازلة والمسائل ذات الصلة</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326"/>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لذلك يقول الونشريسي: "إنَّ المقايسة بين المسائل لابد فيها من الالتفات إلى الخصوصيات المثيرة إلى الفوارق"</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327"/>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xml:space="preserve"> فإذا لم يتوصل إليها سوف يبقى عمله ناقصاً.</w:t>
      </w:r>
    </w:p>
    <w:p w14:paraId="70961644" w14:textId="7DB752F8" w:rsidR="00850AE2" w:rsidRPr="00001A51" w:rsidRDefault="005D7B91" w:rsidP="003749C6">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وكذلك ما قرره ابن القيم في هذا الصدد، حيث قال: "ومدار الاستدلال جميعه على التسوية بين المتماثلين والفرق بين المختلفين"</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328"/>
      </w:r>
      <w:r w:rsidR="004E383D" w:rsidRPr="00001A51">
        <w:rPr>
          <w:rFonts w:ascii="Arabic Transparent" w:hAnsi="Arabic Transparent" w:cs="Arabic Transparent"/>
          <w:sz w:val="28"/>
          <w:szCs w:val="28"/>
          <w:vertAlign w:val="superscript"/>
          <w:rtl/>
          <w:lang w:bidi="ar-JO"/>
        </w:rPr>
        <w:t>)</w:t>
      </w:r>
      <w:r w:rsidR="00B26249" w:rsidRPr="00001A51">
        <w:rPr>
          <w:rFonts w:ascii="Arabic Transparent" w:hAnsi="Arabic Transparent" w:cs="Arabic Transparent" w:hint="cs"/>
          <w:sz w:val="28"/>
          <w:szCs w:val="28"/>
          <w:rtl/>
          <w:lang w:bidi="ar-JO"/>
        </w:rPr>
        <w:t xml:space="preserve">، </w:t>
      </w:r>
      <w:r w:rsidR="004E383D" w:rsidRPr="00001A51">
        <w:rPr>
          <w:rFonts w:ascii="Arabic Transparent" w:hAnsi="Arabic Transparent" w:cs="Arabic Transparent"/>
          <w:sz w:val="28"/>
          <w:szCs w:val="28"/>
          <w:rtl/>
          <w:lang w:bidi="ar-JO"/>
        </w:rPr>
        <w:t>وهذه العمليات السابقة هي "صلب عملية التكييف الفقهي"</w:t>
      </w:r>
      <w:r w:rsidR="00874043" w:rsidRPr="00001A51">
        <w:rPr>
          <w:rFonts w:ascii="Arabic Transparent" w:hAnsi="Arabic Transparent" w:cs="Arabic Transparent"/>
          <w:sz w:val="28"/>
          <w:szCs w:val="28"/>
          <w:vertAlign w:val="superscript"/>
          <w:rtl/>
          <w:lang w:bidi="ar-JO"/>
        </w:rPr>
        <w:t>(</w:t>
      </w:r>
      <w:r w:rsidR="00874043" w:rsidRPr="00001A51">
        <w:rPr>
          <w:rFonts w:ascii="Arabic Transparent" w:hAnsi="Arabic Transparent" w:cs="Arabic Transparent"/>
          <w:sz w:val="28"/>
          <w:szCs w:val="28"/>
          <w:vertAlign w:val="superscript"/>
          <w:rtl/>
          <w:lang w:bidi="ar-JO"/>
        </w:rPr>
        <w:footnoteReference w:id="329"/>
      </w:r>
      <w:r w:rsidR="00874043"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xml:space="preserve"> كما عبّر عنها شبير</w:t>
      </w:r>
      <w:r w:rsidR="00874043" w:rsidRPr="00001A51">
        <w:rPr>
          <w:rFonts w:ascii="Arabic Transparent" w:hAnsi="Arabic Transparent" w:cs="Arabic Transparent" w:hint="cs"/>
          <w:sz w:val="28"/>
          <w:szCs w:val="28"/>
          <w:rtl/>
          <w:lang w:bidi="ar-JO"/>
        </w:rPr>
        <w:t>،</w:t>
      </w:r>
      <w:r w:rsidR="004E383D" w:rsidRPr="00001A51">
        <w:rPr>
          <w:rFonts w:ascii="Arabic Transparent" w:hAnsi="Arabic Transparent" w:cs="Arabic Transparent"/>
          <w:sz w:val="28"/>
          <w:szCs w:val="28"/>
          <w:rtl/>
          <w:lang w:bidi="ar-JO"/>
        </w:rPr>
        <w:t xml:space="preserve"> وممّا يدلّ على ذلك أيضاً: قول أمير المؤمنين عمر الفاروق</w:t>
      </w:r>
      <w:r w:rsidR="00874043" w:rsidRPr="00001A51">
        <w:rPr>
          <w:rFonts w:ascii="AGA Arabesque" w:hAnsi="AGA Arabesque" w:cs="AGA Arabesque"/>
          <w:sz w:val="28"/>
          <w:szCs w:val="28"/>
          <w:lang w:bidi="ar-JO"/>
        </w:rPr>
        <w:t></w:t>
      </w:r>
      <w:r w:rsidR="00874043" w:rsidRPr="00001A51">
        <w:rPr>
          <w:rFonts w:ascii="Arabic Transparent" w:hAnsi="Arabic Transparent" w:cs="Arabic Transparent"/>
          <w:sz w:val="28"/>
          <w:szCs w:val="28"/>
          <w:lang w:bidi="ar-JO"/>
        </w:rPr>
        <w:t xml:space="preserve"> </w:t>
      </w:r>
      <w:r w:rsidR="004E383D" w:rsidRPr="00001A51">
        <w:rPr>
          <w:rFonts w:ascii="Arabic Transparent" w:hAnsi="Arabic Transparent" w:cs="Arabic Transparent"/>
          <w:sz w:val="28"/>
          <w:szCs w:val="28"/>
          <w:rtl/>
          <w:lang w:bidi="ar-JO"/>
        </w:rPr>
        <w:t xml:space="preserve"> في وصيته الشهيرة لأبي موسى الأشعري: </w:t>
      </w:r>
      <w:r w:rsidR="00190996" w:rsidRPr="00001A51">
        <w:rPr>
          <w:rFonts w:ascii="Arabic Transparent" w:hAnsi="Arabic Transparent" w:cs="Arabic Transparent" w:hint="cs"/>
          <w:sz w:val="28"/>
          <w:szCs w:val="28"/>
          <w:rtl/>
          <w:lang w:bidi="ar-JO"/>
        </w:rPr>
        <w:t>"</w:t>
      </w:r>
      <w:r w:rsidR="004E383D" w:rsidRPr="00001A51">
        <w:rPr>
          <w:rFonts w:ascii="Arabic Transparent" w:hAnsi="Arabic Transparent" w:cs="Arabic Transparent"/>
          <w:sz w:val="28"/>
          <w:szCs w:val="28"/>
          <w:rtl/>
          <w:lang w:bidi="ar-JO"/>
        </w:rPr>
        <w:t xml:space="preserve">ثمّ الفهم الفهم فيما أدلي إليك ممّا ليس في قرآن ولا سنة، </w:t>
      </w:r>
      <w:r w:rsidR="004E383D" w:rsidRPr="00001A51">
        <w:rPr>
          <w:rFonts w:ascii="Arabic Transparent" w:hAnsi="Arabic Transparent" w:cs="Arabic Transparent"/>
          <w:sz w:val="28"/>
          <w:szCs w:val="28"/>
          <w:rtl/>
          <w:lang w:bidi="ar-JO"/>
        </w:rPr>
        <w:lastRenderedPageBreak/>
        <w:t>ثم قايس الأمور عند ذلك واعرف الأمثال والأشباه، ثم اعمد إلى أحبها إلى الله فيما ترى وأشبهها بالحقّ</w:t>
      </w:r>
      <w:r w:rsidR="00190996" w:rsidRPr="00001A51">
        <w:rPr>
          <w:rFonts w:ascii="Arabic Transparent" w:hAnsi="Arabic Transparent" w:cs="Arabic Transparent" w:hint="cs"/>
          <w:sz w:val="28"/>
          <w:szCs w:val="28"/>
          <w:rtl/>
          <w:lang w:bidi="ar-JO"/>
        </w:rPr>
        <w:t>"</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330"/>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w:t>
      </w:r>
    </w:p>
    <w:p w14:paraId="7CF6DF63" w14:textId="77777777" w:rsidR="00850AE2" w:rsidRPr="00001A51" w:rsidRDefault="00850AE2">
      <w:pPr>
        <w:bidi w:val="0"/>
        <w:spacing w:after="0" w:line="240" w:lineRule="auto"/>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br w:type="page"/>
      </w:r>
    </w:p>
    <w:p w14:paraId="529D7864" w14:textId="71C83D34" w:rsidR="004E383D" w:rsidRPr="00001A51" w:rsidRDefault="005D7B91" w:rsidP="004E383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ومن أسباب الاختلاف في تحديد الأوصاف المناسبة فقد ذكر الأصوليون في المناط شروطاً تجاوزت العشرين شرطاً</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331"/>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وهي على خلاف بينهم في تقرير بعضها، لذا سوف يقتصر الباحث على إيراد أهم الشروط التي اتفق عليها جمهور الأصوليين، وهي من الأسباب التي تؤدي إلى التَّفاوت والتباين في تحقيق المناط الخاص من خلال الاختلاف في تحديد الأوصاف التي تصلح أن تكون علة وعدم تحقق شروط العلة المعتبرة</w:t>
      </w:r>
      <w:r w:rsidR="004E383D" w:rsidRPr="00001A51">
        <w:rPr>
          <w:rFonts w:ascii="Arabic Transparent" w:hAnsi="Arabic Transparent" w:cs="Simplified Arabic"/>
          <w:sz w:val="28"/>
          <w:szCs w:val="28"/>
          <w:vertAlign w:val="superscript"/>
          <w:rtl/>
          <w:lang w:bidi="ar-JO"/>
        </w:rPr>
        <w:t xml:space="preserve"> (</w:t>
      </w:r>
      <w:r w:rsidR="004E383D" w:rsidRPr="00001A51">
        <w:rPr>
          <w:rFonts w:ascii="Arabic Transparent" w:hAnsi="Arabic Transparent" w:cs="Simplified Arabic"/>
          <w:sz w:val="28"/>
          <w:szCs w:val="28"/>
          <w:vertAlign w:val="superscript"/>
          <w:rtl/>
          <w:lang w:bidi="ar-JO"/>
        </w:rPr>
        <w:footnoteReference w:id="332"/>
      </w:r>
      <w:r w:rsidR="004E383D" w:rsidRPr="00001A51">
        <w:rPr>
          <w:rFonts w:ascii="Arabic Transparent" w:hAnsi="Arabic Transparent" w:cs="Simplified Arabic"/>
          <w:sz w:val="28"/>
          <w:szCs w:val="28"/>
          <w:vertAlign w:val="superscript"/>
          <w:rtl/>
          <w:lang w:bidi="ar-JO"/>
        </w:rPr>
        <w:t>)</w:t>
      </w:r>
      <w:r w:rsidR="004E383D" w:rsidRPr="00001A51">
        <w:rPr>
          <w:rFonts w:ascii="Arabic Transparent" w:hAnsi="Arabic Transparent" w:cs="Arabic Transparent"/>
          <w:sz w:val="28"/>
          <w:szCs w:val="28"/>
          <w:rtl/>
          <w:lang w:bidi="ar-JO"/>
        </w:rPr>
        <w:t>، وهي كما يأتي:</w:t>
      </w:r>
    </w:p>
    <w:p w14:paraId="7E2087F0" w14:textId="5D1654F9" w:rsidR="00850AE2" w:rsidRPr="00001A51" w:rsidRDefault="004E383D" w:rsidP="003749C6">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Pr="00001A51">
        <w:rPr>
          <w:rFonts w:ascii="Arabic Transparent" w:hAnsi="Arabic Transparent" w:cs="Arabic Transparent"/>
          <w:b/>
          <w:bCs/>
          <w:sz w:val="28"/>
          <w:szCs w:val="28"/>
          <w:rtl/>
          <w:lang w:bidi="ar-JO"/>
        </w:rPr>
        <w:t>1- أن تكون ‌وصفاً ‌ظاهراً</w:t>
      </w:r>
      <w:r w:rsidRPr="00001A51">
        <w:rPr>
          <w:rFonts w:ascii="Aptos" w:hAnsi="Aptos"/>
          <w:b/>
          <w:bCs/>
          <w:rtl/>
        </w:rPr>
        <w:t xml:space="preserve"> </w:t>
      </w:r>
      <w:r w:rsidRPr="00001A51">
        <w:rPr>
          <w:rFonts w:ascii="Arabic Transparent" w:hAnsi="Arabic Transparent" w:cs="Arabic Transparent"/>
          <w:b/>
          <w:bCs/>
          <w:sz w:val="28"/>
          <w:szCs w:val="28"/>
          <w:rtl/>
          <w:lang w:bidi="ar-JO"/>
        </w:rPr>
        <w:t>منضبطًا في نفسه</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333"/>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قال الآمدي: "وظاهره أن العلة يجب أن تكون في الأصل أظهر منها في الفرع"</w:t>
      </w:r>
      <w:r w:rsidRPr="00001A51">
        <w:rPr>
          <w:rFonts w:ascii="Arabic Transparent" w:hAnsi="Arabic Transparent" w:cs="Simplified Arabic"/>
          <w:sz w:val="28"/>
          <w:szCs w:val="28"/>
          <w:vertAlign w:val="superscript"/>
          <w:rtl/>
          <w:lang w:bidi="ar-JO"/>
        </w:rPr>
        <w:t>(</w:t>
      </w:r>
      <w:r w:rsidRPr="00001A51">
        <w:rPr>
          <w:rFonts w:ascii="Arabic Transparent" w:hAnsi="Arabic Transparent" w:cs="Simplified Arabic"/>
          <w:sz w:val="28"/>
          <w:szCs w:val="28"/>
          <w:vertAlign w:val="superscript"/>
          <w:rtl/>
          <w:lang w:bidi="ar-JO"/>
        </w:rPr>
        <w:footnoteReference w:id="334"/>
      </w:r>
      <w:r w:rsidRPr="00001A51">
        <w:rPr>
          <w:rFonts w:ascii="Arabic Transparent" w:hAnsi="Arabic Transparent" w:cs="Simplified Arabic"/>
          <w:sz w:val="28"/>
          <w:szCs w:val="28"/>
          <w:vertAlign w:val="superscript"/>
          <w:rtl/>
          <w:lang w:bidi="ar-JO"/>
        </w:rPr>
        <w:t>)</w:t>
      </w:r>
      <w:r w:rsidRPr="00001A51">
        <w:rPr>
          <w:rFonts w:ascii="Arabic Transparent" w:hAnsi="Arabic Transparent" w:cs="Arabic Transparent"/>
          <w:sz w:val="28"/>
          <w:szCs w:val="28"/>
          <w:rtl/>
          <w:lang w:bidi="ar-JO"/>
        </w:rPr>
        <w:t>، ولأن غير الظاهر هو الخفي الذي يُخفى تعلِّق الحكم به وعكسه الظاهر، وهو "كل وصف يمكن الوقوف عليه بدليل ويصح نصبه علامة للحكم"</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335"/>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كما في قوله تعالى</w:t>
      </w:r>
      <w:r w:rsidR="005D7B91" w:rsidRPr="00001A51">
        <w:rPr>
          <w:rFonts w:ascii="Arabic Transparent" w:hAnsi="Arabic Transparent" w:cs="Arabic Transparent"/>
          <w:sz w:val="28"/>
          <w:szCs w:val="28"/>
          <w:rtl/>
          <w:lang w:bidi="ar-JO"/>
        </w:rPr>
        <w:t xml:space="preserve">: </w:t>
      </w:r>
      <w:r w:rsidRPr="00001A51">
        <w:rPr>
          <w:rFonts w:ascii="KFGQPC HAFS Uthmanic Script" w:hAnsi="Times New Roman" w:cs="KFGQPC HAFS Uthmanic Script"/>
          <w:color w:val="000000"/>
          <w:sz w:val="28"/>
          <w:szCs w:val="28"/>
          <w:rtl/>
        </w:rPr>
        <w:t>ﵟيَٰٓأَيُّهَا ٱلَّذِينَ ءَامَنُواْ لَا تَأۡكُلُوٓاْ أَمۡوَٰلَكُم بَيۡنَكُم بِٱلۡبَٰطِلِ إِلَّآ أَن تَكُونَ تِجَٰرَةً عَن تَرَاضٖ مِّنكُمۡۚ وَلَا تَقۡتُلُوٓاْ أَنفُسَكُمۡۚ إِنَّ ٱللَّهَ كَانَ بِكُمۡ رَحِيمٗا ٢٩ﵞ ﵝالنِّسَاء</w:t>
      </w:r>
      <w:r w:rsidR="005D7B91" w:rsidRPr="00001A51">
        <w:rPr>
          <w:rFonts w:ascii="KFGQPC HAFS Uthmanic Script" w:hAnsi="Times New Roman" w:cs="KFGQPC HAFS Uthmanic Script"/>
          <w:color w:val="000000"/>
          <w:sz w:val="28"/>
          <w:szCs w:val="28"/>
          <w:rtl/>
        </w:rPr>
        <w:t xml:space="preserve">: </w:t>
      </w:r>
      <w:r w:rsidRPr="00001A51">
        <w:rPr>
          <w:rFonts w:ascii="KFGQPC HAFS Uthmanic Script" w:hAnsi="Times New Roman" w:cs="KFGQPC HAFS Uthmanic Script"/>
          <w:color w:val="000000"/>
          <w:sz w:val="28"/>
          <w:szCs w:val="28"/>
          <w:rtl/>
        </w:rPr>
        <w:t>ﵙﵒﵜ</w:t>
      </w:r>
      <w:r w:rsidRPr="00001A51">
        <w:rPr>
          <w:rFonts w:ascii="Arabic Transparent" w:hAnsi="Arabic Transparent" w:cs="Arabic Transparent"/>
          <w:sz w:val="28"/>
          <w:szCs w:val="28"/>
          <w:rtl/>
          <w:lang w:bidi="ar-JO"/>
        </w:rPr>
        <w:t xml:space="preserve"> وهذا يدل على أن الرضا هو </w:t>
      </w:r>
      <w:r w:rsidR="00850AE2" w:rsidRPr="00001A51">
        <w:rPr>
          <w:rFonts w:ascii="Arabic Transparent" w:hAnsi="Arabic Transparent" w:cs="Arabic Transparent" w:hint="cs"/>
          <w:sz w:val="28"/>
          <w:szCs w:val="28"/>
          <w:rtl/>
          <w:lang w:bidi="ar-JO"/>
        </w:rPr>
        <w:t>"</w:t>
      </w:r>
      <w:r w:rsidRPr="00001A51">
        <w:rPr>
          <w:rFonts w:ascii="Arabic Transparent" w:hAnsi="Arabic Transparent" w:cs="Arabic Transparent"/>
          <w:sz w:val="28"/>
          <w:szCs w:val="28"/>
          <w:rtl/>
          <w:lang w:bidi="ar-JO"/>
        </w:rPr>
        <w:t>المعتبر في العقود وإن كان خفياً عند غيره فهو ظاهر باعتبار نفسه</w:t>
      </w:r>
      <w:r w:rsidR="00850AE2" w:rsidRPr="00001A51">
        <w:rPr>
          <w:rFonts w:ascii="Arabic Transparent" w:hAnsi="Arabic Transparent" w:cs="Arabic Transparent" w:hint="cs"/>
          <w:sz w:val="28"/>
          <w:szCs w:val="28"/>
          <w:rtl/>
          <w:lang w:bidi="ar-JO"/>
        </w:rPr>
        <w:t>"</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336"/>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w:t>
      </w:r>
    </w:p>
    <w:p w14:paraId="3CC6B796" w14:textId="77777777" w:rsidR="00850AE2" w:rsidRPr="00001A51" w:rsidRDefault="00850AE2">
      <w:pPr>
        <w:bidi w:val="0"/>
        <w:spacing w:after="0" w:line="240" w:lineRule="auto"/>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br w:type="page"/>
      </w:r>
    </w:p>
    <w:p w14:paraId="410C0CCE" w14:textId="68B3BD3D" w:rsidR="004E383D" w:rsidRPr="00001A51" w:rsidRDefault="005D7B91" w:rsidP="004E383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والمقصود من المنضبط في نفسه، ما فسره الإيجي، حيث قال</w:t>
      </w:r>
      <w:r w:rsidR="0064615F" w:rsidRPr="00001A51">
        <w:rPr>
          <w:rFonts w:ascii="Arabic Transparent" w:hAnsi="Arabic Transparent" w:cs="Arabic Transparent" w:hint="cs"/>
          <w:sz w:val="28"/>
          <w:szCs w:val="28"/>
          <w:rtl/>
          <w:lang w:bidi="ar-JO"/>
        </w:rPr>
        <w:t>:</w:t>
      </w:r>
      <w:r w:rsidR="00151AED"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حتى تكون ضابطًا للحكمة لا حكمة مجردة وذلك لخفائها، كالرضا في التجارة فنيط بصيغ العقود لكونها ظاهرة منضبطة، أو لعدم انضباطها كالمشقة فإن لها مراتب لا تحصى، وتختلف بالأحوال والأشخاص اختلافًا عظيمًا"</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337"/>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xml:space="preserve"> فالحكمة تختلف باختلاف الأحوال، وأما العلة فتتصف بالانضباط والثبات مهما اختلفت الصور، وهي الوصف المقصود للشارع في الخفاء، أو العلن، بالشدة، أو البرودة، أو الميوعة، أو الرائحة المتواجدة في الخمر غير المقصودة، أما الإسكار المذهب للعقل هو الوصف المنضبط، المقصود للشارع الحكيم من تحريم الخمر.</w:t>
      </w:r>
    </w:p>
    <w:p w14:paraId="27E82B14" w14:textId="6DB05796" w:rsidR="004E383D" w:rsidRPr="00001A51" w:rsidRDefault="004E383D" w:rsidP="003749C6">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Pr="00001A51">
        <w:rPr>
          <w:rFonts w:ascii="Arabic Transparent" w:hAnsi="Arabic Transparent" w:cs="Arabic Transparent"/>
          <w:b/>
          <w:bCs/>
          <w:sz w:val="28"/>
          <w:szCs w:val="28"/>
          <w:rtl/>
          <w:lang w:bidi="ar-JO"/>
        </w:rPr>
        <w:t>2- أن تكون مطَّردةً</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338"/>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w:t>
      </w:r>
      <w:r w:rsidRPr="00001A51">
        <w:rPr>
          <w:rFonts w:ascii="Arabic Transparent" w:hAnsi="Arabic Transparent" w:cs="Arabic Transparent"/>
          <w:b/>
          <w:bCs/>
          <w:sz w:val="28"/>
          <w:szCs w:val="28"/>
          <w:rtl/>
          <w:lang w:bidi="ar-JO"/>
        </w:rPr>
        <w:t xml:space="preserve"> </w:t>
      </w:r>
      <w:r w:rsidRPr="00001A51">
        <w:rPr>
          <w:rFonts w:ascii="Arabic Transparent" w:hAnsi="Arabic Transparent" w:cs="Arabic Transparent"/>
          <w:sz w:val="28"/>
          <w:szCs w:val="28"/>
          <w:rtl/>
          <w:lang w:bidi="ar-JO"/>
        </w:rPr>
        <w:t>والطرد بمعنى كلما وجدت وجد الحكم وينتفي بانتفائها مثل: وصف الإسكار متى وجد في حكم أصبح محرماً ومتى لم يوجد كان مباحاً</w:t>
      </w:r>
      <w:r w:rsidRPr="00001A51">
        <w:rPr>
          <w:rFonts w:ascii="Arabic Transparent" w:hAnsi="Arabic Transparent" w:cs="Simplified Arabic"/>
          <w:sz w:val="28"/>
          <w:szCs w:val="28"/>
          <w:vertAlign w:val="superscript"/>
          <w:rtl/>
          <w:lang w:bidi="ar-JO"/>
        </w:rPr>
        <w:t>(</w:t>
      </w:r>
      <w:r w:rsidRPr="00001A51">
        <w:rPr>
          <w:rFonts w:ascii="Arabic Transparent" w:hAnsi="Arabic Transparent" w:cs="Simplified Arabic"/>
          <w:sz w:val="28"/>
          <w:szCs w:val="28"/>
          <w:vertAlign w:val="superscript"/>
          <w:rtl/>
          <w:lang w:bidi="ar-JO"/>
        </w:rPr>
        <w:footnoteReference w:id="339"/>
      </w:r>
      <w:r w:rsidRPr="00001A51">
        <w:rPr>
          <w:rFonts w:ascii="Arabic Transparent" w:hAnsi="Arabic Transparent" w:cs="Simplified Arabic"/>
          <w:sz w:val="28"/>
          <w:szCs w:val="28"/>
          <w:vertAlign w:val="superscript"/>
          <w:rtl/>
          <w:lang w:bidi="ar-JO"/>
        </w:rPr>
        <w:t>)</w:t>
      </w:r>
      <w:r w:rsidRPr="00001A51">
        <w:rPr>
          <w:rFonts w:ascii="Arabic Transparent" w:hAnsi="Arabic Transparent" w:cs="Arabic Transparent"/>
          <w:sz w:val="28"/>
          <w:szCs w:val="28"/>
          <w:rtl/>
          <w:lang w:bidi="ar-JO"/>
        </w:rPr>
        <w:t xml:space="preserve">، حيث نقل الطوفي الرواية عن أحمد، </w:t>
      </w:r>
    </w:p>
    <w:p w14:paraId="03017497" w14:textId="47231D6C" w:rsidR="003749C6" w:rsidRPr="00001A51" w:rsidRDefault="004E383D" w:rsidP="003749C6">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sz w:val="28"/>
          <w:szCs w:val="28"/>
          <w:rtl/>
          <w:lang w:bidi="ar-JO"/>
        </w:rPr>
        <w:t xml:space="preserve">فقال: </w:t>
      </w:r>
      <w:r w:rsidR="0064615F" w:rsidRPr="00001A51">
        <w:rPr>
          <w:rFonts w:ascii="Arabic Transparent" w:hAnsi="Arabic Transparent" w:cs="Arabic Transparent" w:hint="cs"/>
          <w:sz w:val="28"/>
          <w:szCs w:val="28"/>
          <w:rtl/>
          <w:lang w:bidi="ar-JO"/>
        </w:rPr>
        <w:t>"</w:t>
      </w:r>
      <w:r w:rsidRPr="00001A51">
        <w:rPr>
          <w:rFonts w:ascii="Arabic Transparent" w:hAnsi="Arabic Transparent" w:cs="Arabic Transparent"/>
          <w:sz w:val="28"/>
          <w:szCs w:val="28"/>
          <w:rtl/>
          <w:lang w:bidi="ar-JO"/>
        </w:rPr>
        <w:t>لا تكون العلة ‌علة ‌حتى ‌يقبل ‌الحكم ‌بإقبالها، ويدبر بإدبارها"</w:t>
      </w:r>
      <w:r w:rsidRPr="00001A51">
        <w:rPr>
          <w:rFonts w:ascii="Arabic Transparent" w:hAnsi="Arabic Transparent" w:cs="Simplified Arabic"/>
          <w:sz w:val="28"/>
          <w:szCs w:val="28"/>
          <w:vertAlign w:val="superscript"/>
          <w:rtl/>
          <w:lang w:bidi="ar-JO"/>
        </w:rPr>
        <w:t>(</w:t>
      </w:r>
      <w:r w:rsidRPr="00001A51">
        <w:rPr>
          <w:rFonts w:ascii="Arabic Transparent" w:hAnsi="Arabic Transparent" w:cs="Simplified Arabic"/>
          <w:sz w:val="28"/>
          <w:szCs w:val="28"/>
          <w:vertAlign w:val="superscript"/>
          <w:rtl/>
          <w:lang w:bidi="ar-JO"/>
        </w:rPr>
        <w:footnoteReference w:id="340"/>
      </w:r>
      <w:r w:rsidRPr="00001A51">
        <w:rPr>
          <w:rFonts w:ascii="Arabic Transparent" w:hAnsi="Arabic Transparent" w:cs="Simplified Arabic"/>
          <w:sz w:val="28"/>
          <w:szCs w:val="28"/>
          <w:vertAlign w:val="superscript"/>
          <w:rtl/>
          <w:lang w:bidi="ar-JO"/>
        </w:rPr>
        <w:t>)</w:t>
      </w:r>
      <w:r w:rsidRPr="00001A51">
        <w:rPr>
          <w:rFonts w:ascii="Arabic Transparent" w:hAnsi="Arabic Transparent" w:cs="Arabic Transparent"/>
          <w:sz w:val="28"/>
          <w:szCs w:val="28"/>
          <w:rtl/>
          <w:lang w:bidi="ar-JO"/>
        </w:rPr>
        <w:t xml:space="preserve"> ونقل إمام الحرمين في مختصر التقريب"الإجماع على اشتراط الاطراد والانعكاس فيها</w:t>
      </w:r>
      <w:r w:rsidR="0064615F" w:rsidRPr="00001A51">
        <w:rPr>
          <w:rFonts w:ascii="Arabic Transparent" w:hAnsi="Arabic Transparent" w:cs="Arabic Transparent" w:hint="cs"/>
          <w:sz w:val="28"/>
          <w:szCs w:val="28"/>
          <w:rtl/>
          <w:lang w:bidi="ar-JO"/>
        </w:rPr>
        <w:t>"</w:t>
      </w:r>
      <w:r w:rsidRPr="00001A51">
        <w:rPr>
          <w:rFonts w:ascii="Arabic Transparent" w:hAnsi="Arabic Transparent" w:cs="Simplified Arabic"/>
          <w:sz w:val="28"/>
          <w:szCs w:val="28"/>
          <w:vertAlign w:val="superscript"/>
          <w:rtl/>
          <w:lang w:bidi="ar-JO"/>
        </w:rPr>
        <w:t>(</w:t>
      </w:r>
      <w:r w:rsidRPr="00001A51">
        <w:rPr>
          <w:rFonts w:ascii="Arabic Transparent" w:hAnsi="Arabic Transparent" w:cs="Simplified Arabic"/>
          <w:sz w:val="28"/>
          <w:szCs w:val="28"/>
          <w:vertAlign w:val="superscript"/>
          <w:rtl/>
          <w:lang w:bidi="ar-JO"/>
        </w:rPr>
        <w:footnoteReference w:id="341"/>
      </w:r>
      <w:r w:rsidRPr="00001A51">
        <w:rPr>
          <w:rFonts w:ascii="Arabic Transparent" w:hAnsi="Arabic Transparent" w:cs="Simplified Arabic"/>
          <w:sz w:val="28"/>
          <w:szCs w:val="28"/>
          <w:vertAlign w:val="superscript"/>
          <w:rtl/>
          <w:lang w:bidi="ar-JO"/>
        </w:rPr>
        <w:t>)</w:t>
      </w:r>
      <w:r w:rsidR="003749C6" w:rsidRPr="00001A51">
        <w:rPr>
          <w:rFonts w:ascii="Arabic Transparent" w:hAnsi="Arabic Transparent" w:cs="Arabic Transparent" w:hint="cs"/>
          <w:b/>
          <w:bCs/>
          <w:sz w:val="28"/>
          <w:szCs w:val="28"/>
          <w:rtl/>
          <w:lang w:bidi="ar-JO"/>
        </w:rPr>
        <w:t>.</w:t>
      </w:r>
    </w:p>
    <w:p w14:paraId="5D880690" w14:textId="4670A79E" w:rsidR="00704FBD" w:rsidRPr="00001A51" w:rsidRDefault="004E383D" w:rsidP="00704FB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b/>
          <w:bCs/>
          <w:sz w:val="28"/>
          <w:szCs w:val="28"/>
          <w:rtl/>
          <w:lang w:bidi="ar-JO"/>
        </w:rPr>
        <w:t>3-</w:t>
      </w:r>
      <w:r w:rsidRPr="00001A51">
        <w:rPr>
          <w:rFonts w:ascii="Arabic Transparent" w:hAnsi="Arabic Transparent" w:cs="Arabic Transparent"/>
          <w:sz w:val="28"/>
          <w:szCs w:val="28"/>
          <w:rtl/>
          <w:lang w:bidi="ar-JO"/>
        </w:rPr>
        <w:t xml:space="preserve"> </w:t>
      </w:r>
      <w:r w:rsidRPr="00001A51">
        <w:rPr>
          <w:rFonts w:ascii="Arabic Transparent" w:hAnsi="Arabic Transparent" w:cs="Arabic Transparent"/>
          <w:b/>
          <w:bCs/>
          <w:sz w:val="28"/>
          <w:szCs w:val="28"/>
          <w:rtl/>
          <w:lang w:bidi="ar-JO"/>
        </w:rPr>
        <w:t>أن تكون ‌مؤثرة ‌في ‌الحكم</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342"/>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w:t>
      </w:r>
      <w:r w:rsidR="00151AED" w:rsidRPr="00001A51">
        <w:rPr>
          <w:rFonts w:ascii="Arabic Transparent" w:hAnsi="Arabic Transparent" w:cs="Arabic Transparent"/>
          <w:sz w:val="28"/>
          <w:szCs w:val="28"/>
          <w:rtl/>
          <w:lang w:bidi="ar-JO"/>
        </w:rPr>
        <w:t xml:space="preserve"> "</w:t>
      </w:r>
      <w:r w:rsidRPr="00001A51">
        <w:rPr>
          <w:rFonts w:ascii="Arabic Transparent" w:hAnsi="Arabic Transparent" w:cs="Arabic Transparent"/>
          <w:sz w:val="28"/>
          <w:szCs w:val="28"/>
          <w:rtl/>
          <w:lang w:bidi="ar-JO"/>
        </w:rPr>
        <w:t xml:space="preserve">‌فإن ‌لم ‌يؤثر ‌فيه ‌لم ‌يجز أن يكون علة، فإن النبي </w:t>
      </w:r>
      <w:r w:rsidR="005E3842" w:rsidRPr="00001A51">
        <w:rPr>
          <w:rFonts w:ascii="AGA Arabesque" w:hAnsi="AGA Arabesque" w:cs="AGA Arabesque"/>
          <w:sz w:val="28"/>
          <w:szCs w:val="28"/>
          <w:lang w:bidi="ar-JO"/>
        </w:rPr>
        <w:t></w:t>
      </w:r>
      <w:r w:rsidRPr="00001A51">
        <w:rPr>
          <w:rFonts w:ascii="Arabic Transparent" w:hAnsi="Arabic Transparent" w:cs="Arabic Transparent"/>
          <w:sz w:val="28"/>
          <w:szCs w:val="28"/>
          <w:rtl/>
          <w:lang w:bidi="ar-JO"/>
        </w:rPr>
        <w:t xml:space="preserve"> لم يرجم ماعزا لاسمه ولا لهيئة جسمه،</w:t>
      </w:r>
      <w:r w:rsidR="00704FBD" w:rsidRPr="00001A51">
        <w:rPr>
          <w:rFonts w:ascii="Arabic Transparent" w:hAnsi="Arabic Transparent" w:cs="Arabic Transparent"/>
          <w:sz w:val="28"/>
          <w:szCs w:val="28"/>
          <w:rtl/>
          <w:lang w:bidi="ar-JO"/>
        </w:rPr>
        <w:br w:type="page"/>
      </w:r>
    </w:p>
    <w:p w14:paraId="2A868699" w14:textId="2E7DDB3F" w:rsidR="004E383D" w:rsidRPr="00001A51" w:rsidRDefault="004E383D" w:rsidP="0064615F">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ولكن الزنى علة الرجم، وكذا الطعم علة الربا دون الزرع"</w:t>
      </w:r>
      <w:r w:rsidRPr="00001A51">
        <w:rPr>
          <w:rFonts w:ascii="Arabic Transparent" w:hAnsi="Arabic Transparent" w:cs="Simplified Arabic"/>
          <w:sz w:val="28"/>
          <w:szCs w:val="28"/>
          <w:vertAlign w:val="superscript"/>
          <w:rtl/>
          <w:lang w:bidi="ar-JO"/>
        </w:rPr>
        <w:t>(</w:t>
      </w:r>
      <w:r w:rsidRPr="00001A51">
        <w:rPr>
          <w:rFonts w:ascii="Arabic Transparent" w:hAnsi="Arabic Transparent" w:cs="Simplified Arabic"/>
          <w:sz w:val="28"/>
          <w:szCs w:val="28"/>
          <w:vertAlign w:val="superscript"/>
          <w:rtl/>
          <w:lang w:bidi="ar-JO"/>
        </w:rPr>
        <w:footnoteReference w:id="343"/>
      </w:r>
      <w:r w:rsidRPr="00001A51">
        <w:rPr>
          <w:rFonts w:ascii="Arabic Transparent" w:hAnsi="Arabic Transparent" w:cs="Simplified Arabic"/>
          <w:sz w:val="28"/>
          <w:szCs w:val="28"/>
          <w:vertAlign w:val="superscript"/>
          <w:rtl/>
          <w:lang w:bidi="ar-JO"/>
        </w:rPr>
        <w:t>)</w:t>
      </w:r>
      <w:r w:rsidRPr="00001A51">
        <w:rPr>
          <w:rFonts w:ascii="Arabic Transparent" w:hAnsi="Arabic Transparent" w:cs="Arabic Transparent"/>
          <w:sz w:val="28"/>
          <w:szCs w:val="28"/>
          <w:rtl/>
          <w:lang w:bidi="ar-JO"/>
        </w:rPr>
        <w:t>. وَقَالَ القَاضِي فِي التّقرِ</w:t>
      </w:r>
      <w:r w:rsidR="0064615F" w:rsidRPr="00001A51">
        <w:rPr>
          <w:rFonts w:ascii="Arabic Transparent" w:hAnsi="Arabic Transparent" w:cs="Arabic Transparent" w:hint="cs"/>
          <w:sz w:val="28"/>
          <w:szCs w:val="28"/>
          <w:rtl/>
          <w:lang w:bidi="ar-JO"/>
        </w:rPr>
        <w:t>ي</w:t>
      </w:r>
      <w:r w:rsidRPr="00001A51">
        <w:rPr>
          <w:rFonts w:ascii="Arabic Transparent" w:hAnsi="Arabic Transparent" w:cs="Arabic Transparent"/>
          <w:sz w:val="28"/>
          <w:szCs w:val="28"/>
          <w:rtl/>
          <w:lang w:bidi="ar-JO"/>
        </w:rPr>
        <w:t>بِ: "‌معنى ‌كون ‌العلة ‌مؤثرة ‌في ‌الحكم، ‌هو ‌الحكم بأن يغلب على ظن المجتهد أن الحكم حاصل عند ثبوتها لأجلها دون شيء سواها، والمراد من تأثيرها في الحكم دون ما عداها أنها جعلت علامة على ثبوت الحكم فيما هي فيه وليس المراد أنها موجبة لثبوت الحكم لا محالة كالعلة العقلية التي يستحيل ثبوتها مع انتفاء الحكم أو ثبوت حكمها مع انتقائها"</w:t>
      </w:r>
      <w:r w:rsidRPr="00001A51">
        <w:rPr>
          <w:rFonts w:ascii="Arabic Transparent" w:hAnsi="Arabic Transparent" w:cs="Arabic Transparent"/>
          <w:sz w:val="28"/>
          <w:szCs w:val="28"/>
          <w:vertAlign w:val="superscript"/>
          <w:rtl/>
          <w:lang w:bidi="ar-JO"/>
        </w:rPr>
        <w:t>(</w:t>
      </w:r>
      <w:r w:rsidRPr="00001A51">
        <w:rPr>
          <w:rFonts w:ascii="Aptos" w:hAnsi="Aptos" w:cs="Arabic Transparent"/>
          <w:sz w:val="28"/>
          <w:szCs w:val="28"/>
          <w:vertAlign w:val="superscript"/>
          <w:rtl/>
          <w:lang w:bidi="ar-JO"/>
        </w:rPr>
        <w:footnoteReference w:id="344"/>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والتأثير يكون بالأصل أو في الفرع أو إنه يكفي في موضع من الأصول سواء المقيس عليه وغيره</w:t>
      </w:r>
      <w:r w:rsidRPr="00001A51">
        <w:rPr>
          <w:rFonts w:ascii="Arabic Transparent" w:hAnsi="Arabic Transparent" w:cs="Arabic Transparent"/>
          <w:sz w:val="28"/>
          <w:szCs w:val="28"/>
          <w:vertAlign w:val="superscript"/>
          <w:rtl/>
          <w:lang w:bidi="ar-JO"/>
        </w:rPr>
        <w:t>(</w:t>
      </w:r>
      <w:r w:rsidRPr="00001A51">
        <w:rPr>
          <w:rFonts w:ascii="Aptos" w:hAnsi="Aptos" w:cs="Arabic Transparent"/>
          <w:sz w:val="28"/>
          <w:szCs w:val="28"/>
          <w:vertAlign w:val="superscript"/>
          <w:rtl/>
          <w:lang w:bidi="ar-JO"/>
        </w:rPr>
        <w:footnoteReference w:id="345"/>
      </w:r>
      <w:r w:rsidRPr="00001A51">
        <w:rPr>
          <w:rFonts w:ascii="Arabic Transparent" w:hAnsi="Arabic Transparent" w:cs="Arabic Transparent"/>
          <w:sz w:val="28"/>
          <w:szCs w:val="28"/>
          <w:vertAlign w:val="superscript"/>
          <w:rtl/>
          <w:lang w:bidi="ar-JO"/>
        </w:rPr>
        <w:t>)</w:t>
      </w:r>
    </w:p>
    <w:p w14:paraId="501CF22B" w14:textId="77777777" w:rsidR="00A756BE" w:rsidRPr="00001A51" w:rsidRDefault="004E383D" w:rsidP="004E383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b/>
          <w:bCs/>
          <w:sz w:val="28"/>
          <w:szCs w:val="28"/>
          <w:rtl/>
          <w:lang w:bidi="ar-JO"/>
        </w:rPr>
        <w:t>4-</w:t>
      </w:r>
      <w:r w:rsidRPr="00001A51">
        <w:rPr>
          <w:rFonts w:ascii="Arabic Transparent" w:hAnsi="Arabic Transparent" w:cs="Arabic Transparent"/>
          <w:sz w:val="28"/>
          <w:szCs w:val="28"/>
          <w:rtl/>
          <w:lang w:bidi="ar-JO"/>
        </w:rPr>
        <w:t xml:space="preserve"> </w:t>
      </w:r>
      <w:r w:rsidR="00704FBD" w:rsidRPr="00001A51">
        <w:rPr>
          <w:rFonts w:ascii="Arabic Transparent" w:hAnsi="Arabic Transparent" w:cs="Arabic Transparent" w:hint="cs"/>
          <w:b/>
          <w:bCs/>
          <w:sz w:val="28"/>
          <w:szCs w:val="28"/>
          <w:rtl/>
          <w:lang w:bidi="ar-JO"/>
        </w:rPr>
        <w:t>"</w:t>
      </w:r>
      <w:r w:rsidRPr="00001A51">
        <w:rPr>
          <w:rFonts w:ascii="Arabic Transparent" w:hAnsi="Arabic Transparent" w:cs="Arabic Transparent"/>
          <w:b/>
          <w:bCs/>
          <w:sz w:val="28"/>
          <w:szCs w:val="28"/>
          <w:rtl/>
          <w:lang w:bidi="ar-JO"/>
        </w:rPr>
        <w:t>أن يكون طريق إثباتها شرعياً كالحكم</w:t>
      </w:r>
      <w:r w:rsidR="00704FBD" w:rsidRPr="00001A51">
        <w:rPr>
          <w:rFonts w:ascii="Arabic Transparent" w:hAnsi="Arabic Transparent" w:cs="Arabic Transparent" w:hint="cs"/>
          <w:b/>
          <w:bCs/>
          <w:sz w:val="28"/>
          <w:szCs w:val="28"/>
          <w:rtl/>
          <w:lang w:bidi="ar-JO"/>
        </w:rPr>
        <w:t>"</w:t>
      </w:r>
      <w:r w:rsidRPr="00001A51">
        <w:rPr>
          <w:rFonts w:ascii="Arabic Transparent" w:hAnsi="Arabic Transparent" w:cs="Simplified Arabic"/>
          <w:sz w:val="28"/>
          <w:szCs w:val="28"/>
          <w:vertAlign w:val="superscript"/>
          <w:rtl/>
          <w:lang w:bidi="ar-JO"/>
        </w:rPr>
        <w:t>(</w:t>
      </w:r>
      <w:r w:rsidRPr="00001A51">
        <w:rPr>
          <w:rFonts w:ascii="Arabic Transparent" w:hAnsi="Arabic Transparent" w:cs="Simplified Arabic"/>
          <w:sz w:val="28"/>
          <w:szCs w:val="28"/>
          <w:vertAlign w:val="superscript"/>
          <w:rtl/>
          <w:lang w:bidi="ar-JO"/>
        </w:rPr>
        <w:footnoteReference w:id="346"/>
      </w:r>
      <w:r w:rsidRPr="00001A51">
        <w:rPr>
          <w:rFonts w:ascii="Arabic Transparent" w:hAnsi="Arabic Transparent" w:cs="Simplified Arabic"/>
          <w:sz w:val="28"/>
          <w:szCs w:val="28"/>
          <w:vertAlign w:val="superscript"/>
          <w:rtl/>
          <w:lang w:bidi="ar-JO"/>
        </w:rPr>
        <w:t>)</w:t>
      </w:r>
      <w:r w:rsidRPr="00001A51">
        <w:rPr>
          <w:rFonts w:ascii="Arabic Transparent" w:hAnsi="Arabic Transparent" w:cs="Arabic Transparent"/>
          <w:sz w:val="28"/>
          <w:szCs w:val="28"/>
          <w:rtl/>
          <w:lang w:bidi="ar-JO"/>
        </w:rPr>
        <w:t xml:space="preserve"> ويكون إما منصوصاً أو مستنبطاً، وتكون العلة ثابتة بدليل معتبر، بحيث يكون الأصل المقيس عليه معللا بالعلة التي تعلق عليها الحكم في الفرع بنص، أو إجماع، ولا يكون من الأوصاف التي ألغى الشارع اعتبارها مثل اللون، أو الشكل في الشاهد بيد أنَّ المعتبر هو التقوى، كما في قوله تعالى: </w:t>
      </w:r>
      <w:r w:rsidRPr="00001A51">
        <w:rPr>
          <w:rFonts w:ascii="KFGQPC HAFS Uthmanic Script" w:hAnsi="Times New Roman" w:cs="KFGQPC HAFS Uthmanic Script"/>
          <w:color w:val="000000"/>
          <w:sz w:val="24"/>
          <w:szCs w:val="24"/>
          <w:rtl/>
        </w:rPr>
        <w:t>ﵟ يَٰٓأَيُّهَا ٱلنَّاسُ إِنَّا خَلَقۡنَٰكُم مِّن ذَكَرٖ وَأُنثَىٰ وَجَعَلۡنَٰكُمۡ شُعُوبٗا وَقَبَآئِلَ لِتَعَارَفُوٓاْۚ إِنَّ أَكۡرَمَكُمۡ عِندَ ٱللَّهِ أَتۡقَىٰكُمۡۚ إِنَّ ٱللَّهَ عَلِيمٌ خَبِيرٞ ١٣ﵞ ﵝالحُجُرَات</w:t>
      </w:r>
      <w:r w:rsidR="005D7B91" w:rsidRPr="00001A51">
        <w:rPr>
          <w:rFonts w:ascii="KFGQPC HAFS Uthmanic Script" w:hAnsi="Times New Roman" w:cs="KFGQPC HAFS Uthmanic Script"/>
          <w:color w:val="000000"/>
          <w:sz w:val="24"/>
          <w:szCs w:val="24"/>
          <w:rtl/>
        </w:rPr>
        <w:t xml:space="preserve">: </w:t>
      </w:r>
      <w:r w:rsidRPr="00001A51">
        <w:rPr>
          <w:rFonts w:ascii="KFGQPC HAFS Uthmanic Script" w:hAnsi="Times New Roman" w:cs="KFGQPC HAFS Uthmanic Script"/>
          <w:color w:val="000000"/>
          <w:sz w:val="24"/>
          <w:szCs w:val="24"/>
          <w:rtl/>
        </w:rPr>
        <w:t>ﵓﵑﵜ</w:t>
      </w:r>
      <w:r w:rsidRPr="00001A51">
        <w:rPr>
          <w:rFonts w:ascii="Arabic Transparent" w:hAnsi="Arabic Transparent" w:cs="Arabic Transparent"/>
          <w:sz w:val="28"/>
          <w:szCs w:val="28"/>
          <w:rtl/>
          <w:lang w:bidi="ar-JO"/>
        </w:rPr>
        <w:t xml:space="preserve"> فليس الاعتبار لغير الوصف المنصوص عليه، والعلة المستنبطة وهي التي تعرف بالسبر، أو التقسيم، أو الدوران، وغيرها من طرق استنباط العلة ويُمثل عليه بقوَلَ رَسُولُ اللهِ </w:t>
      </w:r>
      <w:r w:rsidRPr="00001A51">
        <w:rPr>
          <w:rFonts w:ascii="AGA Arabesque" w:hAnsi="AGA Arabesque" w:cs="AGA Arabesque"/>
          <w:sz w:val="28"/>
          <w:szCs w:val="28"/>
          <w:lang w:bidi="ar-JO"/>
        </w:rPr>
        <w:t></w:t>
      </w:r>
      <w:r w:rsidR="005D7B91" w:rsidRPr="00001A51">
        <w:rPr>
          <w:rFonts w:ascii="Arabic Transparent" w:hAnsi="Arabic Transparent" w:cs="Arabic Transparent"/>
          <w:sz w:val="28"/>
          <w:szCs w:val="28"/>
          <w:rtl/>
          <w:lang w:bidi="ar-JO"/>
        </w:rPr>
        <w:t xml:space="preserve">: </w:t>
      </w:r>
      <w:r w:rsidRPr="00001A51">
        <w:rPr>
          <w:rFonts w:ascii="Arabic Transparent" w:hAnsi="Arabic Transparent" w:cs="Arabic Transparent"/>
          <w:sz w:val="28"/>
          <w:szCs w:val="28"/>
          <w:rtl/>
          <w:lang w:bidi="ar-JO"/>
        </w:rPr>
        <w:t xml:space="preserve">"التمر بالتمر، والحنطة بالحنطة، والشعير بالشعير، والملح بالملح، مثلا بمثل، ‌يدا ‌بيد، ‌فمن ‌زاد ‌أو ‌استزاد ‌فقد ‌أربى، إلا ما </w:t>
      </w:r>
      <w:r w:rsidRPr="00001A51">
        <w:rPr>
          <w:rFonts w:ascii="Arabic Transparent" w:hAnsi="Arabic Transparent" w:cs="Arabic Transparent"/>
          <w:sz w:val="28"/>
          <w:szCs w:val="28"/>
          <w:rtl/>
          <w:lang w:bidi="ar-JO"/>
        </w:rPr>
        <w:lastRenderedPageBreak/>
        <w:t>اختلفت ألوانه"</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347"/>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xml:space="preserve">، </w:t>
      </w:r>
      <w:r w:rsidRPr="00001A51">
        <w:rPr>
          <w:rFonts w:ascii="Arabic Transparent" w:hAnsi="Arabic Transparent" w:cs="Arabic Transparent"/>
          <w:b/>
          <w:bCs/>
          <w:sz w:val="28"/>
          <w:szCs w:val="28"/>
          <w:rtl/>
          <w:lang w:bidi="ar-JO"/>
        </w:rPr>
        <w:t>وجه الدلالة:</w:t>
      </w:r>
      <w:r w:rsidRPr="00001A51">
        <w:rPr>
          <w:rFonts w:ascii="Arabic Transparent" w:hAnsi="Arabic Transparent" w:cs="Arabic Transparent"/>
          <w:sz w:val="28"/>
          <w:szCs w:val="28"/>
          <w:rtl/>
          <w:lang w:bidi="ar-JO"/>
        </w:rPr>
        <w:t xml:space="preserve"> الحديث بمنطوقه لم يشير إلى علة التحريم، ولكن من خلال مفهوم الحديث </w:t>
      </w:r>
    </w:p>
    <w:p w14:paraId="22F4328A" w14:textId="77777777" w:rsidR="00A756BE" w:rsidRPr="00001A51" w:rsidRDefault="00A756BE">
      <w:pPr>
        <w:bidi w:val="0"/>
        <w:spacing w:after="0" w:line="240" w:lineRule="auto"/>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br w:type="page"/>
      </w:r>
    </w:p>
    <w:p w14:paraId="47FB9E51" w14:textId="01833E28" w:rsidR="004E383D" w:rsidRPr="00001A51" w:rsidRDefault="004E383D" w:rsidP="004E383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استنبط جمهور الأصوليين أنَّ العلة هي الثمنيَّة</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348"/>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كون هذه الأصناف هي معيار للقيمة والتبادل المالي.</w:t>
      </w:r>
    </w:p>
    <w:p w14:paraId="5255A03A" w14:textId="4D2A581F" w:rsidR="004E383D" w:rsidRPr="00001A51" w:rsidRDefault="004E383D" w:rsidP="001C0ADB">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b/>
          <w:bCs/>
          <w:sz w:val="28"/>
          <w:szCs w:val="28"/>
          <w:rtl/>
          <w:lang w:bidi="ar-JO"/>
        </w:rPr>
        <w:t>5-</w:t>
      </w:r>
      <w:r w:rsidRPr="00001A51">
        <w:rPr>
          <w:rFonts w:ascii="Arabic Transparent" w:hAnsi="Arabic Transparent" w:cs="Arabic Transparent"/>
          <w:sz w:val="28"/>
          <w:szCs w:val="28"/>
          <w:rtl/>
          <w:lang w:bidi="ar-JO"/>
        </w:rPr>
        <w:t xml:space="preserve"> </w:t>
      </w:r>
      <w:r w:rsidRPr="00001A51">
        <w:rPr>
          <w:rFonts w:ascii="Arabic Transparent" w:hAnsi="Arabic Transparent" w:cs="Arabic Transparent"/>
          <w:b/>
          <w:bCs/>
          <w:sz w:val="28"/>
          <w:szCs w:val="28"/>
          <w:rtl/>
          <w:lang w:bidi="ar-JO"/>
        </w:rPr>
        <w:t>‌أن ‌تكون ‌وصفاً ‌مناسباً</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349"/>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ومعنى المناسب أن يكون مظنة لتحقيق حكمة الحكم، فيرتبط الحكم به وجوداً وعدماً، وهذه المناسبة من شأنها أن تحقق مقاصد الشريعة الإسلامية من تشريع الحكم من جهة جلب المنافع ودفع المضار، لأنَّ الباعث الحقيقي على تشريع الحكم، والغاية المقصودة منه هو الحكمة، ولو فُرض وجود الحكمة في جميع الأحكام الظاهرة مضبوطة لكانت هي علل الأحكام</w:t>
      </w:r>
      <w:r w:rsidRPr="00001A51">
        <w:rPr>
          <w:rFonts w:ascii="Arabic Transparent" w:hAnsi="Arabic Transparent" w:cs="Arabic Transparent" w:hint="cs"/>
          <w:sz w:val="28"/>
          <w:szCs w:val="28"/>
          <w:rtl/>
          <w:lang w:bidi="ar-JO"/>
        </w:rPr>
        <w:t>؛</w:t>
      </w:r>
      <w:r w:rsidR="001C0ADB" w:rsidRPr="00001A51">
        <w:rPr>
          <w:rFonts w:ascii="Arabic Transparent" w:hAnsi="Arabic Transparent" w:cs="Arabic Transparent" w:hint="cs"/>
          <w:sz w:val="28"/>
          <w:szCs w:val="28"/>
          <w:rtl/>
          <w:lang w:bidi="ar-JO"/>
        </w:rPr>
        <w:t xml:space="preserve"> </w:t>
      </w:r>
      <w:r w:rsidRPr="00001A51">
        <w:rPr>
          <w:rFonts w:ascii="Arabic Transparent" w:hAnsi="Arabic Transparent" w:cs="Arabic Transparent"/>
          <w:sz w:val="28"/>
          <w:szCs w:val="28"/>
          <w:rtl/>
          <w:lang w:bidi="ar-JO"/>
        </w:rPr>
        <w:t>لأنها هي الباعثة على تشريعها، ولكن بسبب عدم ظهورها في بعض المسائل، وعدم انضباط جزئياتها في البعض الآخر، قامت مقامها أوصاف ظاهرة مناسبة لها، مما سوَّغ اعتبار هذه الأوصاف عللاً للأحكام كونها مظنة هذا الحكم عند المجتهد، ومثاله: الإسكار مناسب لتحريم الشرب، ومشقة المرض تناسب رخصة القعود في الصلاة، وهذه كلها أوصاف مناسبة تصلح أن تكون مؤثرة في الحكم، وفي بعض الصور تكون هناك أمارات على المصلحة، فالسفر في رمضان وصف مناسب للحكم بإباحة الإفطار؛ لأنه بهذا الربط يغلب تحقق حكمة الحكم، أي دفع المشقة، فالسفر ليس مصلحةً بحد ذاته بل هو أمارة على المصلحة</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350"/>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w:t>
      </w:r>
    </w:p>
    <w:p w14:paraId="39F0C50F" w14:textId="6C241F53" w:rsidR="00A756BE" w:rsidRPr="00001A51" w:rsidRDefault="005D7B91" w:rsidP="004E383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وهناك شروط كثيرة نص عليها الزركشي في البحر المحيط</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351"/>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والشوكاني في إرشاد الفحول</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352"/>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لم ينقل الباحث جميع الشروط؛ لأن بعضها غير متفق عليه بين علماء الأصول واكتفى بأهم الشروط التي اعتمدها علماء الأصول</w:t>
      </w:r>
      <w:r w:rsidR="004E383D" w:rsidRPr="00001A51">
        <w:rPr>
          <w:rFonts w:ascii="Arabic Transparent" w:hAnsi="Arabic Transparent" w:cs="Simplified Arabic"/>
          <w:sz w:val="28"/>
          <w:szCs w:val="28"/>
          <w:vertAlign w:val="superscript"/>
          <w:rtl/>
          <w:lang w:bidi="ar-JO"/>
        </w:rPr>
        <w:t>(</w:t>
      </w:r>
      <w:r w:rsidR="004E383D" w:rsidRPr="00001A51">
        <w:rPr>
          <w:rFonts w:ascii="Arabic Transparent" w:hAnsi="Arabic Transparent" w:cs="Simplified Arabic"/>
          <w:sz w:val="28"/>
          <w:szCs w:val="28"/>
          <w:vertAlign w:val="superscript"/>
          <w:rtl/>
          <w:lang w:bidi="ar-JO"/>
        </w:rPr>
        <w:footnoteReference w:id="353"/>
      </w:r>
      <w:r w:rsidR="004E383D" w:rsidRPr="00001A51">
        <w:rPr>
          <w:rFonts w:ascii="Arabic Transparent" w:hAnsi="Arabic Transparent" w:cs="Simplified Arabic"/>
          <w:sz w:val="28"/>
          <w:szCs w:val="28"/>
          <w:vertAlign w:val="superscript"/>
          <w:rtl/>
          <w:lang w:bidi="ar-JO"/>
        </w:rPr>
        <w:t>)</w:t>
      </w:r>
      <w:r w:rsidR="004E383D" w:rsidRPr="00001A51">
        <w:rPr>
          <w:rFonts w:ascii="Arabic Transparent" w:hAnsi="Arabic Transparent" w:cs="Arabic Transparent"/>
          <w:sz w:val="28"/>
          <w:szCs w:val="28"/>
          <w:rtl/>
          <w:lang w:bidi="ar-JO"/>
        </w:rPr>
        <w:t>.</w:t>
      </w:r>
    </w:p>
    <w:p w14:paraId="40D2A9B0" w14:textId="77777777" w:rsidR="00A756BE" w:rsidRPr="00001A51" w:rsidRDefault="00A756BE">
      <w:pPr>
        <w:bidi w:val="0"/>
        <w:spacing w:after="0" w:line="240" w:lineRule="auto"/>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br w:type="page"/>
      </w:r>
    </w:p>
    <w:p w14:paraId="64C4B12E" w14:textId="77777777" w:rsidR="004E383D" w:rsidRPr="00001A51" w:rsidRDefault="004E383D" w:rsidP="004E383D">
      <w:pPr>
        <w:spacing w:after="0" w:line="360" w:lineRule="auto"/>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رابعاً: الاختلاف في كشف الوصف وتنزيله على محله:</w:t>
      </w:r>
    </w:p>
    <w:p w14:paraId="68CE1EA8" w14:textId="503F80FB" w:rsidR="004E383D" w:rsidRPr="00001A51" w:rsidRDefault="005D7B91" w:rsidP="004E383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 xml:space="preserve">الكشف عن المناط من الأسباب الأكثر شيوعاً للتفاوت في المسائل التطبيقية، والتي تسبب تبايناً بين العلماء عند تحقيق المناط الخاص، لذلك وجب على المجتهد أن يكون على دراية بكل تفاصيل </w:t>
      </w:r>
    </w:p>
    <w:p w14:paraId="757931B2" w14:textId="7BC4E53D" w:rsidR="004E383D" w:rsidRPr="00001A51" w:rsidRDefault="004E383D" w:rsidP="003749C6">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الحياة وبكل معطيات العلم الحديث بحيث يعلم بعلوم الدين والدنيا الظاهرة والباطنة</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354"/>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وهو مما اشتراطه العلماء في المجتهد</w:t>
      </w:r>
      <w:r w:rsidRPr="00001A51">
        <w:rPr>
          <w:rFonts w:ascii="Arabic Transparent" w:hAnsi="Arabic Transparent" w:cs="Arabic Transparent"/>
          <w:b/>
          <w:bCs/>
          <w:sz w:val="28"/>
          <w:szCs w:val="28"/>
          <w:rtl/>
          <w:lang w:bidi="ar-JO"/>
        </w:rPr>
        <w:t xml:space="preserve">، </w:t>
      </w:r>
      <w:r w:rsidRPr="00001A51">
        <w:rPr>
          <w:rFonts w:ascii="Arabic Transparent" w:hAnsi="Arabic Transparent" w:cs="Arabic Transparent"/>
          <w:sz w:val="28"/>
          <w:szCs w:val="28"/>
          <w:rtl/>
          <w:lang w:bidi="ar-JO"/>
        </w:rPr>
        <w:t>حيث يقول الشاطبي:</w:t>
      </w:r>
      <w:r w:rsidR="00151AED" w:rsidRPr="00001A51">
        <w:rPr>
          <w:rFonts w:ascii="Arabic Transparent" w:hAnsi="Arabic Transparent" w:cs="Arabic Transparent"/>
          <w:sz w:val="28"/>
          <w:szCs w:val="28"/>
          <w:rtl/>
          <w:lang w:bidi="ar-JO"/>
        </w:rPr>
        <w:t xml:space="preserve"> "</w:t>
      </w:r>
      <w:r w:rsidRPr="00001A51">
        <w:rPr>
          <w:rFonts w:ascii="Arabic Transparent" w:hAnsi="Arabic Transparent" w:cs="Arabic Transparent"/>
          <w:sz w:val="28"/>
          <w:szCs w:val="28"/>
          <w:rtl/>
          <w:lang w:bidi="ar-JO"/>
        </w:rPr>
        <w:t>من شروطهم في العالم بأي علم أن يكون عارفًا بأصوله وما ينبني عليه ذلك العلم، قادرًا على التعبير عن مقصوده، عارفًا بما يلزم عنه، قائمًا على دفع الشبه الواردة عليه فيه،</w:t>
      </w:r>
      <w:r w:rsidR="003749C6" w:rsidRPr="00001A51">
        <w:rPr>
          <w:rFonts w:ascii="Arabic Transparent" w:hAnsi="Arabic Transparent" w:cs="Arabic Transparent" w:hint="cs"/>
          <w:sz w:val="28"/>
          <w:szCs w:val="28"/>
          <w:rtl/>
          <w:lang w:bidi="ar-JO"/>
        </w:rPr>
        <w:t xml:space="preserve"> </w:t>
      </w:r>
      <w:r w:rsidRPr="00001A51">
        <w:rPr>
          <w:rFonts w:ascii="Arabic Transparent" w:hAnsi="Arabic Transparent" w:cs="Arabic Transparent"/>
          <w:sz w:val="28"/>
          <w:szCs w:val="28"/>
          <w:rtl/>
          <w:lang w:bidi="ar-JO"/>
        </w:rPr>
        <w:t>غير أنه لا يشترط السلامة عن الخطأ البتة"</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355"/>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w:t>
      </w:r>
      <w:r w:rsidRPr="00001A51">
        <w:rPr>
          <w:rFonts w:ascii="Arabic Transparent" w:hAnsi="Arabic Transparent" w:cs="Arabic Transparent"/>
          <w:b/>
          <w:bCs/>
          <w:sz w:val="28"/>
          <w:szCs w:val="28"/>
          <w:rtl/>
          <w:lang w:bidi="ar-JO"/>
        </w:rPr>
        <w:t xml:space="preserve"> </w:t>
      </w:r>
      <w:r w:rsidRPr="00001A51">
        <w:rPr>
          <w:rFonts w:ascii="Arabic Transparent" w:hAnsi="Arabic Transparent" w:cs="Arabic Transparent"/>
          <w:sz w:val="28"/>
          <w:szCs w:val="28"/>
          <w:rtl/>
          <w:lang w:bidi="ar-JO"/>
        </w:rPr>
        <w:t>وهو مما يصعب على المجتهدين في هذا الزمان الذين تفرغوا من أجل الكشف عن المناط في شتى العلوم وتنزيله على محاله من أجل تقرير الحكم المناسب، والسبب الذي يمنع الإلمام توسع العلوم في هذا العصر وتفرع التخصصات، وتنوع المسائل والتي يعجز عن جمعها الإنسان في هذا الزمان، ومن أجل ضبط التَّفاوت بين المجتهدين، نبين ونحلل مسالك الكشف عن العلة والتي قسِّمت إلى مسالك قديمة وجديدة كما يأتي:</w:t>
      </w:r>
    </w:p>
    <w:p w14:paraId="4574810F" w14:textId="77777777" w:rsidR="004E383D" w:rsidRPr="00001A51" w:rsidRDefault="004E383D" w:rsidP="004E383D">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1. المسالك القديمة:</w:t>
      </w:r>
    </w:p>
    <w:p w14:paraId="2187FEFB" w14:textId="60ACED37" w:rsidR="004E383D" w:rsidRPr="00001A51" w:rsidRDefault="005D7B91" w:rsidP="004E383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بيّن الغزالي خمسة معايير في كتابه شفاء الغليل</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356"/>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هي بمثابة مسالك، يستعملها المجتهد لتكون موضحة لخفاء المناط، والتثبت من وجوده، فتكون دليلاً للمجتهد يرجع إليها عند تنزيل الحكم على الواقع، وهي بالمقابل أحد أهم الأسباب المنهجية التي تسبب التَّفاوت في تحقيق المناط الخاص وهي:</w:t>
      </w:r>
    </w:p>
    <w:p w14:paraId="1C871FD8" w14:textId="77777777" w:rsidR="00A756BE" w:rsidRPr="00001A51" w:rsidRDefault="004E383D" w:rsidP="003749C6">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b/>
          <w:bCs/>
          <w:sz w:val="28"/>
          <w:szCs w:val="28"/>
          <w:rtl/>
          <w:lang w:bidi="ar-JO"/>
        </w:rPr>
        <w:t>أولاً</w:t>
      </w:r>
      <w:r w:rsidRPr="00001A51">
        <w:rPr>
          <w:rFonts w:ascii="Arabic Transparent" w:hAnsi="Arabic Transparent" w:cs="Arabic Transparent"/>
          <w:sz w:val="28"/>
          <w:szCs w:val="28"/>
          <w:rtl/>
          <w:lang w:bidi="ar-JO"/>
        </w:rPr>
        <w:t xml:space="preserve">: </w:t>
      </w:r>
      <w:r w:rsidRPr="00001A51">
        <w:rPr>
          <w:rFonts w:ascii="Arabic Transparent" w:hAnsi="Arabic Transparent" w:cs="Arabic Transparent"/>
          <w:b/>
          <w:bCs/>
          <w:sz w:val="28"/>
          <w:szCs w:val="28"/>
          <w:rtl/>
          <w:lang w:bidi="ar-JO"/>
        </w:rPr>
        <w:t>النقل:</w:t>
      </w:r>
      <w:r w:rsidRPr="00001A51">
        <w:rPr>
          <w:rFonts w:ascii="Arabic Transparent" w:hAnsi="Arabic Transparent" w:cs="Arabic Transparent"/>
          <w:sz w:val="28"/>
          <w:szCs w:val="28"/>
          <w:rtl/>
          <w:lang w:bidi="ar-JO"/>
        </w:rPr>
        <w:t xml:space="preserve"> وهو الحكم بتحقيق مناط الأصل بالفرع بناءً على دليل النقل الشرعي، ومثال ذلك ثبوت كون النباش سارقاً بدليل النقل، عن عائشة رضي الله عنها:</w:t>
      </w:r>
      <w:r w:rsidR="00151AED" w:rsidRPr="00001A51">
        <w:rPr>
          <w:rFonts w:ascii="Arabic Transparent" w:hAnsi="Arabic Transparent" w:cs="Arabic Transparent"/>
          <w:sz w:val="28"/>
          <w:szCs w:val="28"/>
          <w:rtl/>
          <w:lang w:bidi="ar-JO"/>
        </w:rPr>
        <w:t xml:space="preserve"> "</w:t>
      </w:r>
      <w:r w:rsidRPr="00001A51">
        <w:rPr>
          <w:rFonts w:ascii="Arabic Transparent" w:hAnsi="Arabic Transparent" w:cs="Arabic Transparent"/>
          <w:sz w:val="28"/>
          <w:szCs w:val="28"/>
          <w:rtl/>
          <w:lang w:bidi="ar-JO"/>
        </w:rPr>
        <w:t>سارق ‌أمواتنا ‌كسارق ‌أحيائنا"</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357"/>
      </w:r>
      <w:r w:rsidRPr="00001A51">
        <w:rPr>
          <w:rFonts w:ascii="Arabic Transparent" w:hAnsi="Arabic Transparent" w:cs="Arabic Transparent"/>
          <w:sz w:val="28"/>
          <w:szCs w:val="28"/>
          <w:vertAlign w:val="superscript"/>
          <w:rtl/>
          <w:lang w:bidi="ar-JO"/>
        </w:rPr>
        <w:t xml:space="preserve">)، </w:t>
      </w:r>
      <w:r w:rsidRPr="00001A51">
        <w:rPr>
          <w:rFonts w:ascii="Arabic Transparent" w:hAnsi="Arabic Transparent" w:cs="Arabic Transparent"/>
          <w:sz w:val="28"/>
          <w:szCs w:val="28"/>
          <w:rtl/>
          <w:lang w:bidi="ar-JO"/>
        </w:rPr>
        <w:t>وإثبات طهارة سؤر الهرة وعدم قياسه على الكلب</w:t>
      </w:r>
      <w:r w:rsidRPr="00001A51">
        <w:rPr>
          <w:rFonts w:ascii="Arabic Transparent" w:hAnsi="Arabic Transparent" w:cs="Arabic Transparent" w:hint="cs"/>
          <w:sz w:val="28"/>
          <w:szCs w:val="28"/>
          <w:rtl/>
          <w:lang w:bidi="ar-JO"/>
        </w:rPr>
        <w:t>،</w:t>
      </w:r>
      <w:r w:rsidRPr="00001A51">
        <w:rPr>
          <w:rFonts w:ascii="Arabic Transparent" w:hAnsi="Arabic Transparent" w:cs="Arabic Transparent"/>
          <w:sz w:val="28"/>
          <w:szCs w:val="28"/>
          <w:rtl/>
          <w:lang w:bidi="ar-JO"/>
        </w:rPr>
        <w:t xml:space="preserve"> حيث قال: </w:t>
      </w:r>
      <w:r w:rsidR="00190996" w:rsidRPr="00001A51">
        <w:rPr>
          <w:rFonts w:ascii="Arabic Transparent" w:hAnsi="Arabic Transparent" w:cs="Arabic Transparent" w:hint="cs"/>
          <w:sz w:val="28"/>
          <w:szCs w:val="28"/>
          <w:rtl/>
          <w:lang w:bidi="ar-JO"/>
        </w:rPr>
        <w:t>"</w:t>
      </w:r>
      <w:r w:rsidRPr="00001A51">
        <w:rPr>
          <w:rFonts w:ascii="Arabic Transparent" w:hAnsi="Arabic Transparent" w:cs="Arabic Transparent"/>
          <w:sz w:val="28"/>
          <w:szCs w:val="28"/>
          <w:rtl/>
          <w:lang w:bidi="ar-JO"/>
        </w:rPr>
        <w:t>‌إنها ‌ليست ‌بنجَس، إنَّما هي من</w:t>
      </w:r>
      <w:r w:rsidRPr="00001A51">
        <w:rPr>
          <w:rFonts w:ascii="Arabic Transparent" w:hAnsi="Arabic Transparent" w:cs="Arabic Transparent" w:hint="cs"/>
          <w:sz w:val="28"/>
          <w:szCs w:val="28"/>
          <w:rtl/>
          <w:lang w:bidi="ar-JO"/>
        </w:rPr>
        <w:t xml:space="preserve"> </w:t>
      </w:r>
    </w:p>
    <w:p w14:paraId="734762A3" w14:textId="77777777" w:rsidR="00A756BE" w:rsidRPr="00001A51" w:rsidRDefault="00A756BE">
      <w:pPr>
        <w:bidi w:val="0"/>
        <w:spacing w:after="0" w:line="240" w:lineRule="auto"/>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lastRenderedPageBreak/>
        <w:br w:type="page"/>
      </w:r>
    </w:p>
    <w:p w14:paraId="2BD132A5" w14:textId="06DD4FB4" w:rsidR="004E383D" w:rsidRPr="00001A51" w:rsidRDefault="004E383D" w:rsidP="003749C6">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الطوافين عليكم، أو الطوَّافات</w:t>
      </w:r>
      <w:r w:rsidR="00190996" w:rsidRPr="00001A51">
        <w:rPr>
          <w:rFonts w:ascii="Arabic Transparent" w:hAnsi="Arabic Transparent" w:cs="Arabic Transparent" w:hint="cs"/>
          <w:sz w:val="28"/>
          <w:szCs w:val="28"/>
          <w:rtl/>
          <w:lang w:bidi="ar-JO"/>
        </w:rPr>
        <w:t>"</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358"/>
      </w:r>
      <w:r w:rsidRPr="00001A51">
        <w:rPr>
          <w:rFonts w:ascii="Arabic Transparent" w:hAnsi="Arabic Transparent" w:cs="Arabic Transparent"/>
          <w:sz w:val="28"/>
          <w:szCs w:val="28"/>
          <w:vertAlign w:val="superscript"/>
          <w:rtl/>
          <w:lang w:bidi="ar-JO"/>
        </w:rPr>
        <w:t>)</w:t>
      </w:r>
      <w:r w:rsidR="0096434B" w:rsidRPr="00001A51">
        <w:rPr>
          <w:rFonts w:ascii="Arabic Transparent" w:hAnsi="Arabic Transparent" w:cs="Arabic Transparent" w:hint="cs"/>
          <w:sz w:val="28"/>
          <w:szCs w:val="28"/>
          <w:rtl/>
          <w:lang w:bidi="ar-JO"/>
        </w:rPr>
        <w:t>،</w:t>
      </w:r>
      <w:r w:rsidRPr="00001A51">
        <w:rPr>
          <w:rFonts w:ascii="Arabic Transparent" w:hAnsi="Arabic Transparent" w:cs="Arabic Transparent"/>
          <w:sz w:val="28"/>
          <w:szCs w:val="28"/>
          <w:rtl/>
          <w:lang w:bidi="ar-JO"/>
        </w:rPr>
        <w:t xml:space="preserve"> فهذا إثبات لحكم الفرع بنقل الشارع الحكيم، فمن لم يصله النقل سوف يحكم بتعدية مناط الأصل إلى الفرع، ويحدث التَّفاوت عند تحقيق المناط، بين من بلغه، ولم يبلغه في الفتاوى ذات الموضوع الواحد.</w:t>
      </w:r>
    </w:p>
    <w:p w14:paraId="13909DCA" w14:textId="77777777" w:rsidR="004E383D" w:rsidRPr="00001A51" w:rsidRDefault="004E383D" w:rsidP="004E383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b/>
          <w:bCs/>
          <w:sz w:val="28"/>
          <w:szCs w:val="28"/>
          <w:rtl/>
          <w:lang w:bidi="ar-JO"/>
        </w:rPr>
        <w:t>ثانياً: اللغة</w:t>
      </w:r>
      <w:r w:rsidRPr="00001A51">
        <w:rPr>
          <w:rFonts w:ascii="Arabic Transparent" w:hAnsi="Arabic Transparent" w:cs="Arabic Transparent"/>
          <w:sz w:val="28"/>
          <w:szCs w:val="28"/>
          <w:rtl/>
          <w:lang w:bidi="ar-JO"/>
        </w:rPr>
        <w:t>: وهو التفاوت في تحقيق العلة بالفرع للتفاوت في دلالة اللغة، كألفاظ الطلاق والعتاق التي تحدث بالألفاظ الصريحة، فكذلك تحصل بألفاظ الكناية المحتملة، وهو ما عبّر عنه الغزالي قائلاً: "وأما مثال اللغوي، فكقولنا: العتاق يحصل بالكناية المحتملة، والطلاق محتمل للعتاق: فيحصل به، فيسلم المقدمة الأولى، وينازع في الثانية، وهي: كون الطلاق محتملا للعتاق، فيطلب من مدارك الكنايات ‌ومآخذ ‌التجاوزات ‌والاستعارات"</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359"/>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وكذا العديد من الألفاظ في العقود يحدث حولها الخلاف بسبب تعدد الإطلاقات اللغوية.</w:t>
      </w:r>
    </w:p>
    <w:p w14:paraId="507E9FAC" w14:textId="24C06F04" w:rsidR="003F0ECF" w:rsidRPr="00001A51" w:rsidRDefault="004E383D" w:rsidP="003F0ECF">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b/>
          <w:bCs/>
          <w:sz w:val="28"/>
          <w:szCs w:val="28"/>
          <w:rtl/>
          <w:lang w:bidi="ar-JO"/>
        </w:rPr>
        <w:t xml:space="preserve">ثالثاً: العقل: </w:t>
      </w:r>
      <w:r w:rsidRPr="00001A51">
        <w:rPr>
          <w:rFonts w:ascii="Arabic Transparent" w:hAnsi="Arabic Transparent" w:cs="Arabic Transparent"/>
          <w:sz w:val="28"/>
          <w:szCs w:val="28"/>
          <w:rtl/>
          <w:lang w:bidi="ar-JO"/>
        </w:rPr>
        <w:t>ويقصد به تفاوت التصور العقلي لحقيقة وماهية الشيء بالرسم والحد [الجامع المانع]، ثم تحقيق المناط الخاص، من خلال التحقق من مدى انطباق الحد على الواقعة الخاصة المعروضة، مثال ذلك: ما ضربه الغزالي بقوله</w:t>
      </w:r>
      <w:r w:rsidR="00151AED" w:rsidRPr="00001A51">
        <w:rPr>
          <w:rFonts w:ascii="Arabic Transparent" w:hAnsi="Arabic Transparent" w:cs="Arabic Transparent"/>
          <w:sz w:val="28"/>
          <w:szCs w:val="28"/>
          <w:rtl/>
          <w:lang w:bidi="ar-JO"/>
        </w:rPr>
        <w:t xml:space="preserve"> "</w:t>
      </w:r>
      <w:r w:rsidRPr="00001A51">
        <w:rPr>
          <w:rFonts w:ascii="Arabic Transparent" w:hAnsi="Arabic Transparent" w:cs="Arabic Transparent"/>
          <w:sz w:val="28"/>
          <w:szCs w:val="28"/>
          <w:rtl/>
          <w:lang w:bidi="ar-JO"/>
        </w:rPr>
        <w:t>‌ولد ‌المغصوب مغصوبا</w:t>
      </w:r>
      <w:r w:rsidR="00A756BE" w:rsidRPr="00001A51">
        <w:rPr>
          <w:rFonts w:ascii="Arabic Transparent" w:hAnsi="Arabic Transparent" w:cs="Arabic Transparent" w:hint="cs"/>
          <w:sz w:val="28"/>
          <w:szCs w:val="28"/>
          <w:rtl/>
          <w:lang w:bidi="ar-JO"/>
        </w:rPr>
        <w:t>،</w:t>
      </w:r>
      <w:r w:rsidRPr="00001A51">
        <w:rPr>
          <w:rFonts w:ascii="Arabic Transparent" w:hAnsi="Arabic Transparent" w:cs="Arabic Transparent"/>
          <w:sz w:val="28"/>
          <w:szCs w:val="28"/>
          <w:rtl/>
          <w:lang w:bidi="ar-JO"/>
        </w:rPr>
        <w:t xml:space="preserve"> ويقصد بذلك أن ينازع على وقوع الغصب على ولد المغصوب، والحقيقة أن من يتصور الغصب الذي هو إثبات يد عادية على المال على وجه تقصر يد المالك عنه، وهو ذاته ينطبق على ولد المغصوب، فيحكم بأنه مغصوب أيضاً</w:t>
      </w:r>
      <w:r w:rsidR="00A756BE" w:rsidRPr="00001A51">
        <w:rPr>
          <w:rFonts w:ascii="Arabic Transparent" w:hAnsi="Arabic Transparent" w:cs="Arabic Transparent" w:hint="cs"/>
          <w:sz w:val="28"/>
          <w:szCs w:val="28"/>
          <w:rtl/>
          <w:lang w:bidi="ar-JO"/>
        </w:rPr>
        <w:t>"</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360"/>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xml:space="preserve">، وفي هذا الجانب يظهر التفاوت عند الأحناف بسبب اختلاف التصور العقلي لهذه المسألة، فيقول المرغيناني: "ولد المغصوبة و نماؤها و ثمرة البستان المغصوب </w:t>
      </w:r>
      <w:r w:rsidRPr="00001A51">
        <w:rPr>
          <w:rFonts w:ascii="Arabic Transparent" w:hAnsi="Arabic Transparent" w:cs="Arabic Transparent"/>
          <w:b/>
          <w:bCs/>
          <w:sz w:val="28"/>
          <w:szCs w:val="28"/>
          <w:rtl/>
          <w:lang w:bidi="ar-JO"/>
        </w:rPr>
        <w:t>أمانة</w:t>
      </w:r>
      <w:r w:rsidRPr="00001A51">
        <w:rPr>
          <w:rFonts w:ascii="Arabic Transparent" w:hAnsi="Arabic Transparent" w:cs="Arabic Transparent"/>
          <w:sz w:val="28"/>
          <w:szCs w:val="28"/>
          <w:rtl/>
          <w:lang w:bidi="ar-JO"/>
        </w:rPr>
        <w:t xml:space="preserve"> في يد الغاصب ان هلك فلا ضمان عليه إلا أن يتعدى فيها أو يطلبها مالكها فيمنعها إياه"</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361"/>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xml:space="preserve"> وعلل الحنفية هذا الرأي بقولهم: "إن</w:t>
      </w:r>
      <w:r w:rsidR="0096434B" w:rsidRPr="00001A51">
        <w:rPr>
          <w:rFonts w:ascii="Arabic Transparent" w:hAnsi="Arabic Transparent" w:cs="Arabic Transparent" w:hint="cs"/>
          <w:sz w:val="28"/>
          <w:szCs w:val="28"/>
          <w:rtl/>
          <w:lang w:bidi="ar-JO"/>
        </w:rPr>
        <w:t>َّ</w:t>
      </w:r>
      <w:r w:rsidRPr="00001A51">
        <w:rPr>
          <w:rFonts w:ascii="Arabic Transparent" w:hAnsi="Arabic Transparent" w:cs="Arabic Transparent"/>
          <w:sz w:val="28"/>
          <w:szCs w:val="28"/>
          <w:rtl/>
          <w:lang w:bidi="ar-JO"/>
        </w:rPr>
        <w:t xml:space="preserve"> الغصب إثبات اليد على مال الغير على وجه يزيل يد المالك على ما ذكرناه ويد المالك ما كانت ثابتة على هذه الزيادة حتى يزيلها"</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362"/>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xml:space="preserve"> وسبب التفاوت من الجانب العقلي في تصور الغصب، حيث يقول السمرقندي:</w:t>
      </w:r>
      <w:r w:rsidR="00151AED" w:rsidRPr="00001A51">
        <w:rPr>
          <w:rFonts w:ascii="Arabic Transparent" w:hAnsi="Arabic Transparent" w:cs="Arabic Transparent"/>
          <w:sz w:val="28"/>
          <w:szCs w:val="28"/>
          <w:rtl/>
          <w:lang w:bidi="ar-JO"/>
        </w:rPr>
        <w:t xml:space="preserve"> "</w:t>
      </w:r>
      <w:r w:rsidR="00B154EE" w:rsidRPr="00001A51">
        <w:rPr>
          <w:rFonts w:ascii="Arabic Transparent" w:hAnsi="Arabic Transparent" w:cs="Arabic Transparent" w:hint="cs"/>
          <w:sz w:val="28"/>
          <w:szCs w:val="28"/>
          <w:rtl/>
          <w:lang w:bidi="ar-JO"/>
        </w:rPr>
        <w:t>ولهذا</w:t>
      </w:r>
      <w:r w:rsidRPr="00001A51">
        <w:rPr>
          <w:rFonts w:ascii="Arabic Transparent" w:hAnsi="Arabic Transparent" w:cs="Arabic Transparent"/>
          <w:sz w:val="28"/>
          <w:szCs w:val="28"/>
          <w:rtl/>
          <w:lang w:bidi="ar-JO"/>
        </w:rPr>
        <w:t xml:space="preserve"> قلنا: ان زوائد الغصب متصلة كانت أو منفصلة </w:t>
      </w:r>
      <w:r w:rsidRPr="00001A51">
        <w:rPr>
          <w:rFonts w:ascii="Arabic Transparent" w:hAnsi="Arabic Transparent" w:cs="Arabic Transparent"/>
          <w:sz w:val="28"/>
          <w:szCs w:val="28"/>
          <w:rtl/>
          <w:lang w:bidi="ar-JO"/>
        </w:rPr>
        <w:lastRenderedPageBreak/>
        <w:t xml:space="preserve">من الولد </w:t>
      </w:r>
      <w:r w:rsidR="00B154EE" w:rsidRPr="00001A51">
        <w:rPr>
          <w:rFonts w:ascii="Arabic Transparent" w:hAnsi="Arabic Transparent" w:cs="Arabic Transparent" w:hint="cs"/>
          <w:sz w:val="28"/>
          <w:szCs w:val="28"/>
          <w:rtl/>
          <w:lang w:bidi="ar-JO"/>
        </w:rPr>
        <w:t>واللبن</w:t>
      </w:r>
      <w:r w:rsidRPr="00001A51">
        <w:rPr>
          <w:rFonts w:ascii="Arabic Transparent" w:hAnsi="Arabic Transparent" w:cs="Arabic Transparent"/>
          <w:sz w:val="28"/>
          <w:szCs w:val="28"/>
          <w:rtl/>
          <w:lang w:bidi="ar-JO"/>
        </w:rPr>
        <w:t xml:space="preserve"> </w:t>
      </w:r>
      <w:r w:rsidR="00B154EE" w:rsidRPr="00001A51">
        <w:rPr>
          <w:rFonts w:ascii="Arabic Transparent" w:hAnsi="Arabic Transparent" w:cs="Arabic Transparent" w:hint="cs"/>
          <w:sz w:val="28"/>
          <w:szCs w:val="28"/>
          <w:rtl/>
          <w:lang w:bidi="ar-JO"/>
        </w:rPr>
        <w:t>والصوف</w:t>
      </w:r>
      <w:r w:rsidRPr="00001A51">
        <w:rPr>
          <w:rFonts w:ascii="Arabic Transparent" w:hAnsi="Arabic Transparent" w:cs="Arabic Transparent"/>
          <w:sz w:val="28"/>
          <w:szCs w:val="28"/>
          <w:rtl/>
          <w:lang w:bidi="ar-JO"/>
        </w:rPr>
        <w:t xml:space="preserve"> </w:t>
      </w:r>
      <w:r w:rsidR="00B154EE" w:rsidRPr="00001A51">
        <w:rPr>
          <w:rFonts w:ascii="Arabic Transparent" w:hAnsi="Arabic Transparent" w:cs="Arabic Transparent" w:hint="cs"/>
          <w:sz w:val="28"/>
          <w:szCs w:val="28"/>
          <w:rtl/>
          <w:lang w:bidi="ar-JO"/>
        </w:rPr>
        <w:t>والسمن</w:t>
      </w:r>
      <w:r w:rsidRPr="00001A51">
        <w:rPr>
          <w:rFonts w:ascii="Arabic Transparent" w:hAnsi="Arabic Transparent" w:cs="Arabic Transparent"/>
          <w:sz w:val="28"/>
          <w:szCs w:val="28"/>
          <w:rtl/>
          <w:lang w:bidi="ar-JO"/>
        </w:rPr>
        <w:t xml:space="preserve"> لا تكون مغصوبة خلافا للشافعي لعدم إزالة اليد ولو جاء المالك </w:t>
      </w:r>
      <w:r w:rsidR="00B154EE" w:rsidRPr="00001A51">
        <w:rPr>
          <w:rFonts w:ascii="Arabic Transparent" w:hAnsi="Arabic Transparent" w:cs="Arabic Transparent" w:hint="cs"/>
          <w:sz w:val="28"/>
          <w:szCs w:val="28"/>
          <w:rtl/>
          <w:lang w:bidi="ar-JO"/>
        </w:rPr>
        <w:t>وطلب</w:t>
      </w:r>
      <w:r w:rsidRPr="00001A51">
        <w:rPr>
          <w:rFonts w:ascii="Arabic Transparent" w:hAnsi="Arabic Transparent" w:cs="Arabic Transparent"/>
          <w:sz w:val="28"/>
          <w:szCs w:val="28"/>
          <w:rtl/>
          <w:lang w:bidi="ar-JO"/>
        </w:rPr>
        <w:t xml:space="preserve"> الزوائد فمنعها: </w:t>
      </w:r>
      <w:r w:rsidR="003F0ECF" w:rsidRPr="00001A51">
        <w:rPr>
          <w:rFonts w:ascii="Arabic Transparent" w:hAnsi="Arabic Transparent" w:cs="Arabic Transparent"/>
          <w:sz w:val="28"/>
          <w:szCs w:val="28"/>
          <w:rtl/>
          <w:lang w:bidi="ar-JO"/>
        </w:rPr>
        <w:br w:type="page"/>
      </w:r>
    </w:p>
    <w:p w14:paraId="17D369EE" w14:textId="334A9D3B" w:rsidR="004E383D" w:rsidRPr="00001A51" w:rsidRDefault="004E383D" w:rsidP="003749C6">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يضمن بالإجماع"</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363"/>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xml:space="preserve"> فالخلاف يتعلق بالتصور العقلي لمعنى الغصب وماهيته وهو أحد أسباب التفاوت في الفتاوى لدى الفقهاء.</w:t>
      </w:r>
    </w:p>
    <w:p w14:paraId="24937C6B" w14:textId="716F6AE8" w:rsidR="004E383D" w:rsidRPr="00001A51" w:rsidRDefault="004E383D" w:rsidP="004E383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6D4091" w:rsidRPr="00001A51">
        <w:rPr>
          <w:rFonts w:ascii="Arabic Transparent" w:hAnsi="Arabic Transparent" w:cs="Arabic Transparent" w:hint="cs"/>
          <w:sz w:val="28"/>
          <w:szCs w:val="28"/>
          <w:rtl/>
          <w:lang w:bidi="ar-JO"/>
        </w:rPr>
        <w:t xml:space="preserve">   </w:t>
      </w:r>
      <w:r w:rsidRPr="00001A51">
        <w:rPr>
          <w:rFonts w:ascii="Arabic Transparent" w:hAnsi="Arabic Transparent" w:cs="Arabic Transparent"/>
          <w:sz w:val="28"/>
          <w:szCs w:val="28"/>
          <w:rtl/>
          <w:lang w:bidi="ar-JO"/>
        </w:rPr>
        <w:t xml:space="preserve"> ولابد من التنبيه إلى أن بعض العلماء أضاف معياراً مستقلاً يسمى: </w:t>
      </w:r>
      <w:r w:rsidR="00A756BE" w:rsidRPr="00001A51">
        <w:rPr>
          <w:rFonts w:ascii="Arabic Transparent" w:hAnsi="Arabic Transparent" w:cs="Arabic Transparent" w:hint="cs"/>
          <w:sz w:val="28"/>
          <w:szCs w:val="28"/>
          <w:rtl/>
          <w:lang w:bidi="ar-JO"/>
        </w:rPr>
        <w:t>"</w:t>
      </w:r>
      <w:r w:rsidRPr="00001A51">
        <w:rPr>
          <w:rFonts w:ascii="Arabic Transparent" w:hAnsi="Arabic Transparent" w:cs="Arabic Transparent"/>
          <w:sz w:val="28"/>
          <w:szCs w:val="28"/>
          <w:rtl/>
          <w:lang w:bidi="ar-JO"/>
        </w:rPr>
        <w:t>إدراك طبيعة الأشياء وخواصها الفطرية</w:t>
      </w:r>
      <w:r w:rsidR="00A756BE" w:rsidRPr="00001A51">
        <w:rPr>
          <w:rFonts w:ascii="Arabic Transparent" w:hAnsi="Arabic Transparent" w:cs="Arabic Transparent" w:hint="cs"/>
          <w:sz w:val="28"/>
          <w:szCs w:val="28"/>
          <w:rtl/>
          <w:lang w:bidi="ar-JO"/>
        </w:rPr>
        <w:t>"</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364"/>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ويرى الباحث أنه يشترك مع معيار التصور العقلي لحقيقة الأشياء ولا داعِ أن يفرد بمعيار مستقل.</w:t>
      </w:r>
    </w:p>
    <w:p w14:paraId="2226A029" w14:textId="77777777" w:rsidR="003749C6" w:rsidRPr="00001A51" w:rsidRDefault="004E383D" w:rsidP="003749C6">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رابعاً: العرف</w:t>
      </w:r>
      <w:r w:rsidRPr="00001A51">
        <w:rPr>
          <w:rFonts w:ascii="Arabic Transparent" w:hAnsi="Arabic Transparent" w:cs="Arabic Transparent"/>
          <w:sz w:val="28"/>
          <w:szCs w:val="28"/>
          <w:rtl/>
          <w:lang w:bidi="ar-JO"/>
        </w:rPr>
        <w:t>: أن يحدث التفاوت عند تحقيق العلة بالفرع من خلال دليل العرف، حيث تتغير الأحكام على العديد من الصور والوقائع المستجدة بناءً على تغيّر الأعراف، ومنها العقود الشفوية التي تغيرت مع تغير العرف التجاري ليكون هناك عقود الكترونية معتبرةً، وتغيّرت صور القبض حتى أصبح القبض الحكمي يقوم مقام القبض الحقيقي، وغيرها من المعاملات التي تغيّر الحكم عليها بناء على تغيّر العرف، وفي ذلك يقول ابن القيم: "إن الله أحل البيع، ولم يبين كيفيته، فوجب الرجوع فيه إلى ‌العرف، كما رجع إليه في ‌القبض والإحراز والتفرق، والمسلمون في أسواقهم وبياعاتهم على ذلك"</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365"/>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xml:space="preserve"> فالعرف المعتبر مهم في تقدير القيميات عند فوات المثليات في الرد وتحديد مهر المثل وأجرة المثل عندما تحدث جهالة في الثمن بين العوضين.</w:t>
      </w:r>
    </w:p>
    <w:p w14:paraId="6F3F0805" w14:textId="6023A23F" w:rsidR="003F0ECF" w:rsidRPr="00001A51" w:rsidRDefault="004E383D" w:rsidP="003F0ECF">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b/>
          <w:bCs/>
          <w:sz w:val="28"/>
          <w:szCs w:val="28"/>
          <w:rtl/>
          <w:lang w:bidi="ar-JO"/>
        </w:rPr>
        <w:t xml:space="preserve">خامساً: الحسُّ: </w:t>
      </w:r>
      <w:r w:rsidRPr="00001A51">
        <w:rPr>
          <w:rFonts w:ascii="Arabic Transparent" w:hAnsi="Arabic Transparent" w:cs="Arabic Transparent"/>
          <w:sz w:val="28"/>
          <w:szCs w:val="28"/>
          <w:rtl/>
          <w:lang w:bidi="ar-JO"/>
        </w:rPr>
        <w:t>ويأخذ به المجتهد إذا كان مناط الحكم مما يعرف بالحواس، وهو أحد أسباب التفاوت في الفتاوى، كتمييز الماء المطلق الذي لا لون، ولا رائحة، ولا طعم له بحاسة البصر،</w:t>
      </w:r>
      <w:r w:rsidR="004B4B7A" w:rsidRPr="00001A51">
        <w:rPr>
          <w:rFonts w:ascii="Arabic Transparent" w:hAnsi="Arabic Transparent" w:cs="Arabic Transparent" w:hint="cs"/>
          <w:sz w:val="28"/>
          <w:szCs w:val="28"/>
          <w:rtl/>
          <w:lang w:bidi="ar-JO"/>
        </w:rPr>
        <w:t xml:space="preserve"> </w:t>
      </w:r>
      <w:r w:rsidRPr="00001A51">
        <w:rPr>
          <w:rFonts w:ascii="Arabic Transparent" w:hAnsi="Arabic Transparent" w:cs="Arabic Transparent"/>
          <w:sz w:val="28"/>
          <w:szCs w:val="28"/>
          <w:rtl/>
          <w:lang w:bidi="ar-JO"/>
        </w:rPr>
        <w:t>والشمِّ، والذوق، وهذه الثلاثة مرجعها إلى الحس</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366"/>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xml:space="preserve">، ولا يمكن أن يعتمد على الحواس مباشرة في تمييز الخمر؛ لأنَّ في العصر الحديث وجدت المختبرات العلمية التي تقوم مقام الحس بالنسبة </w:t>
      </w:r>
      <w:r w:rsidRPr="00001A51">
        <w:rPr>
          <w:rFonts w:ascii="Arabic Transparent" w:hAnsi="Arabic Transparent" w:cs="Arabic Transparent"/>
          <w:sz w:val="28"/>
          <w:szCs w:val="28"/>
          <w:rtl/>
          <w:lang w:bidi="ar-JO"/>
        </w:rPr>
        <w:lastRenderedPageBreak/>
        <w:t>للعديد من الأمور التي لا تدرك بحواس الإنسان</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367"/>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ويشتهر هذا المسلك في القيافة والخبرة والقسامة وتقويم المتلفات وغيرها من الأعمال التي تتطلب عمل الحواس الخمس.</w:t>
      </w:r>
      <w:r w:rsidR="003F0ECF" w:rsidRPr="00001A51">
        <w:rPr>
          <w:rFonts w:ascii="Arabic Transparent" w:hAnsi="Arabic Transparent" w:cs="Arabic Transparent"/>
          <w:sz w:val="28"/>
          <w:szCs w:val="28"/>
          <w:rtl/>
          <w:lang w:bidi="ar-JO"/>
        </w:rPr>
        <w:br w:type="page"/>
      </w:r>
    </w:p>
    <w:p w14:paraId="6BC79388" w14:textId="77777777" w:rsidR="004E383D" w:rsidRPr="00001A51" w:rsidRDefault="004E383D" w:rsidP="004E383D">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2. المسالك الحديثة:</w:t>
      </w:r>
    </w:p>
    <w:p w14:paraId="6273B054" w14:textId="7B1C75BA" w:rsidR="004E383D" w:rsidRPr="00001A51" w:rsidRDefault="005D7B91" w:rsidP="004E383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ومن أحدث المسالك</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368"/>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xml:space="preserve"> التي يمكن أن يستعملها المجتهد لتصور المسائل المبهمة عند تحقيق المناط الخاص والتي يمكن أن تكون من فروع مسلكي العقل والحس المذكورين في المسالك القديمة السابقة، والتي تسبب التفاوت بين المجتهدين في دراسة الواقعات المعاصرة كما يأتي:</w:t>
      </w:r>
    </w:p>
    <w:p w14:paraId="233E041E" w14:textId="72DE7604" w:rsidR="004E383D" w:rsidRPr="00001A51" w:rsidRDefault="004E383D" w:rsidP="003749C6">
      <w:pPr>
        <w:spacing w:after="0" w:line="360" w:lineRule="auto"/>
        <w:jc w:val="both"/>
        <w:rPr>
          <w:rFonts w:ascii="Arabic Transparent" w:hAnsi="Arabic Transparent" w:cs="Arabic Transparent"/>
          <w:sz w:val="28"/>
          <w:szCs w:val="28"/>
          <w:lang w:bidi="ar-JO"/>
        </w:rPr>
      </w:pPr>
      <w:r w:rsidRPr="00001A51">
        <w:rPr>
          <w:rFonts w:ascii="Arabic Transparent" w:hAnsi="Arabic Transparent" w:cs="Arabic Transparent"/>
          <w:b/>
          <w:bCs/>
          <w:sz w:val="28"/>
          <w:szCs w:val="28"/>
          <w:rtl/>
          <w:lang w:bidi="ar-JO"/>
        </w:rPr>
        <w:t xml:space="preserve">أولاًُ: الدراسة المسحية والاحصائية: </w:t>
      </w:r>
      <w:r w:rsidRPr="00001A51">
        <w:rPr>
          <w:rFonts w:ascii="Arabic Transparent" w:hAnsi="Arabic Transparent" w:cs="Arabic Transparent"/>
          <w:sz w:val="28"/>
          <w:szCs w:val="28"/>
          <w:rtl/>
          <w:lang w:bidi="ar-JO"/>
        </w:rPr>
        <w:t>يستخدم العلماء الدراسة المسحية في جمع المعلومات الأولية، من خلال الاستبانات والمقابلات المباشرة مع عينات الفئة المستهدفة، ثم تأتي الدراسة الإحصائية لتحويل تلك البيانات إلى نتائج كمية قابلة للتعميم عبر أدوات التحليل الوصفي والاستنتاجي، وهذا المسلك يعين المجتهد على التأكد من مدى اطراد الوصف، مثل التضخم في معاملات البنوك الإسلامية، أو الانكماش في معاملات البنوك الربوية، أو التوازن الاقتصادي، وغيرها من الأوصاف التي تحتاج إلى دراسة مسحية وإحصائية</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369"/>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xml:space="preserve"> بيد أن العديد من الدراسات المعاصرة تتفاوت في النسب التي تشير إليها مما يورث تفاوتاً بين المجتهدين عند الاعتماد على بعض هذه الدراسات.</w:t>
      </w:r>
    </w:p>
    <w:p w14:paraId="216EEED8" w14:textId="70E9A5D5" w:rsidR="004E383D" w:rsidRPr="00001A51" w:rsidRDefault="004E383D" w:rsidP="004E383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b/>
          <w:bCs/>
          <w:sz w:val="28"/>
          <w:szCs w:val="28"/>
          <w:rtl/>
          <w:lang w:bidi="ar-JO"/>
        </w:rPr>
        <w:t xml:space="preserve">ثانياً: قرارات وتوصيات المؤتمرات العلمية: </w:t>
      </w:r>
      <w:r w:rsidRPr="00001A51">
        <w:rPr>
          <w:rFonts w:ascii="Arabic Transparent" w:hAnsi="Arabic Transparent" w:cs="Arabic Transparent"/>
          <w:sz w:val="28"/>
          <w:szCs w:val="28"/>
          <w:rtl/>
          <w:lang w:bidi="ar-JO"/>
        </w:rPr>
        <w:t>تعقد المؤتمرات العلمية الدولية والإقليمية لمناقشة قضايا مستجدة في مختلف المواضيع التي تتعلق بالابتكارات والاختراعات الحديثة، وما يصدر عن هذه المؤتمرات من قرارات وتوصيات، تمثل خلاصة جهد جماعي لعدد من الخبراء في شتى التخصصات، كما هو الحال في مؤتمر مجمع الفقه الإسلامي التابع لمنظمة العالم الإسلامي، والذي يعقد بشكل دوري، والذي يسهم بشكل فاعل في ضبط التصورات العلمية</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370"/>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ومع ذلك فإنَّ القرارات والتوصيات قد تكون سبباً للتفاوت في بعض القضايا المعاصرة تبعاً لتغير الحكم بتغير الزمان، وتغير المجريات والملابسات التي تتعلق بالقضايا المالية على وجه الخصوص.</w:t>
      </w:r>
    </w:p>
    <w:p w14:paraId="796256D8" w14:textId="4CAA9C72" w:rsidR="003F0ECF" w:rsidRPr="00001A51" w:rsidRDefault="004E383D" w:rsidP="003F0ECF">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b/>
          <w:bCs/>
          <w:sz w:val="28"/>
          <w:szCs w:val="28"/>
          <w:rtl/>
          <w:lang w:bidi="ar-JO"/>
        </w:rPr>
        <w:lastRenderedPageBreak/>
        <w:t>ثالثاً: التجربة المخبرية العلمية والآلات الحديثة:</w:t>
      </w:r>
      <w:r w:rsidRPr="00001A51">
        <w:rPr>
          <w:rFonts w:ascii="Arabic Transparent" w:hAnsi="Arabic Transparent" w:cs="Arabic Transparent"/>
          <w:sz w:val="28"/>
          <w:szCs w:val="28"/>
          <w:rtl/>
          <w:lang w:bidi="ar-JO"/>
        </w:rPr>
        <w:t xml:space="preserve"> بعض الابتكارات الحديثة تحتاج إلى اختبار مخبري للتحقق من بعض الدعاوى التي تثار حولها، كالتأكد من وجود لحم الخنزير في منتج معين، أو جود الإسكار في طعام، أو شراب منتشر في الأسواق، كما حدث من اختبار وجود الكحول في </w:t>
      </w:r>
      <w:r w:rsidR="003F0ECF" w:rsidRPr="00001A51">
        <w:rPr>
          <w:rFonts w:ascii="Arabic Transparent" w:hAnsi="Arabic Transparent" w:cs="Arabic Transparent"/>
          <w:sz w:val="28"/>
          <w:szCs w:val="28"/>
          <w:rtl/>
          <w:lang w:bidi="ar-JO"/>
        </w:rPr>
        <w:br w:type="page"/>
      </w:r>
    </w:p>
    <w:p w14:paraId="49C8EB00" w14:textId="67EA92CA" w:rsidR="004E383D" w:rsidRPr="00001A51" w:rsidRDefault="004E383D" w:rsidP="003749C6">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شراب الشعير عندما ظهر في الأسواق، </w:t>
      </w:r>
      <w:r w:rsidR="003F0ECF" w:rsidRPr="00001A51">
        <w:rPr>
          <w:rFonts w:ascii="Arabic Transparent" w:hAnsi="Arabic Transparent" w:cs="Arabic Transparent" w:hint="cs"/>
          <w:sz w:val="28"/>
          <w:szCs w:val="28"/>
          <w:rtl/>
          <w:lang w:bidi="ar-JO"/>
        </w:rPr>
        <w:t>"</w:t>
      </w:r>
      <w:r w:rsidRPr="00001A51">
        <w:rPr>
          <w:rFonts w:ascii="Arabic Transparent" w:hAnsi="Arabic Transparent" w:cs="Arabic Transparent"/>
          <w:sz w:val="28"/>
          <w:szCs w:val="28"/>
          <w:rtl/>
          <w:lang w:bidi="ar-JO"/>
        </w:rPr>
        <w:t>والتأكد من وجود الهلال من خلال التلسكوب، أو الحساب الفلكي، أو التأكد من المواقيت من خلال الاسطرلاب</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371"/>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وغيرها من الوسائل الحديثة التي تعين على تحقيق المناط</w:t>
      </w:r>
      <w:r w:rsidR="003F0ECF" w:rsidRPr="00001A51">
        <w:rPr>
          <w:rFonts w:ascii="Arabic Transparent" w:hAnsi="Arabic Transparent" w:cs="Arabic Transparent" w:hint="cs"/>
          <w:sz w:val="28"/>
          <w:szCs w:val="28"/>
          <w:rtl/>
          <w:lang w:bidi="ar-JO"/>
        </w:rPr>
        <w:t>"</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372"/>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والتي قد تكون أيضاً سبباً للتفاوت عند اختلاف الدول والجهات التي تقوم بإجراء التجارب العلمية، فمن التفاوت ما يكون طبيعياً تبعاً لاختلاف المطالع والبعد، ومنه ما لا يكون طبيعياً كالتفاوت بالرغم من اتحاد المطالع وتقارب المسافات</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373"/>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w:t>
      </w:r>
    </w:p>
    <w:p w14:paraId="2EF7DC33" w14:textId="72F54E3F" w:rsidR="003749C6" w:rsidRPr="00001A51" w:rsidRDefault="004E383D" w:rsidP="003F0ECF">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b/>
          <w:bCs/>
          <w:sz w:val="28"/>
          <w:szCs w:val="28"/>
          <w:rtl/>
          <w:lang w:bidi="ar-JO"/>
        </w:rPr>
        <w:t xml:space="preserve">رابعاً: تقارير المنظمات العالمية والجهات الرسمية: </w:t>
      </w:r>
      <w:r w:rsidRPr="00001A51">
        <w:rPr>
          <w:rFonts w:ascii="Arabic Transparent" w:hAnsi="Arabic Transparent" w:cs="Arabic Transparent"/>
          <w:sz w:val="28"/>
          <w:szCs w:val="28"/>
          <w:rtl/>
          <w:lang w:bidi="ar-JO"/>
        </w:rPr>
        <w:t>تصدر المنظمات العالمية، مثل البنك الدولي وصندوق النقد الدولي، والهيئات الوطنية الرسمية تقاريراً دورية تتضمن إحصاءات اقتصادية دقيقة وقراءات تحليلية للأسواق، وهذه المعطيات تعطي المجتهد خلفية علمية موثوقة لفهم حجم الظواهر، مثل نسب الفقر، أو معدلات التضخم، أو مخاطر الأدوات المالية</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374"/>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وبالرغم من ذلك تتفاوت التقارير العالمية في بعض الأحيان مما يجعل الدراسات التي اعتمدت عليها متفاوتة في حكمها على الوقائع التي تمت دراستها.</w:t>
      </w:r>
    </w:p>
    <w:p w14:paraId="674F7057" w14:textId="77777777" w:rsidR="004E383D" w:rsidRPr="00001A51" w:rsidRDefault="004E383D" w:rsidP="004E383D">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3. التوفيق بين المسالك القديمة والحديثة:</w:t>
      </w:r>
    </w:p>
    <w:p w14:paraId="6D95AB45" w14:textId="41021B7C" w:rsidR="004E383D" w:rsidRPr="00001A51" w:rsidRDefault="005D7B91" w:rsidP="004E383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 xml:space="preserve">حتى يُوفِّق المجتهد بين المسالك القديمة والحديثة في الكشف عن المناط ويضبط التفاوت القائم بينها، يجب أن يراعِ ما يأتي: </w:t>
      </w:r>
    </w:p>
    <w:p w14:paraId="49D11EBA" w14:textId="7694A926" w:rsidR="003F0ECF" w:rsidRPr="00001A51" w:rsidRDefault="004E383D" w:rsidP="003F0ECF">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b/>
          <w:bCs/>
          <w:sz w:val="28"/>
          <w:szCs w:val="28"/>
          <w:rtl/>
          <w:lang w:bidi="ar-JO"/>
        </w:rPr>
        <w:t xml:space="preserve">أولاً: </w:t>
      </w:r>
      <w:r w:rsidRPr="00001A51">
        <w:rPr>
          <w:rFonts w:ascii="Arabic Transparent" w:hAnsi="Arabic Transparent" w:cs="Arabic Transparent"/>
          <w:sz w:val="28"/>
          <w:szCs w:val="28"/>
          <w:rtl/>
          <w:lang w:bidi="ar-JO"/>
        </w:rPr>
        <w:t xml:space="preserve">الاستئناس بالنتائج التي يتوصل من خلالها المجتهد إلى تصور المسألة، من أجل التأكد من تحقق شروط المناط المناسب، وهذا الاستئناس يرجع فيه إلى أهل التخصص الذين أقاموا دراسات عملية في كل مجال من المجالات العلمية، سواء أكانت طبية، أو مالية، أو إحصائية، أو اجتماعية، وغيرها، "فإنَّ ‌رأي ‌الخبراء غير المدعوم بالدراسات القويَّة يعد من الأدلة الضعيفة في مجال </w:t>
      </w:r>
      <w:r w:rsidRPr="00001A51">
        <w:rPr>
          <w:rFonts w:ascii="Arabic Transparent" w:hAnsi="Arabic Transparent" w:cs="Arabic Transparent"/>
          <w:sz w:val="28"/>
          <w:szCs w:val="28"/>
          <w:rtl/>
          <w:lang w:bidi="ar-JO"/>
        </w:rPr>
        <w:lastRenderedPageBreak/>
        <w:t>البحث العلمي"</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375"/>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xml:space="preserve"> وعلى المجتهد أن يكون على تواصل إيجابي بالخبراء في جميع العلوم ويعتمد على </w:t>
      </w:r>
      <w:r w:rsidR="003F0ECF" w:rsidRPr="00001A51">
        <w:rPr>
          <w:rFonts w:ascii="Arabic Transparent" w:hAnsi="Arabic Transparent" w:cs="Arabic Transparent"/>
          <w:sz w:val="28"/>
          <w:szCs w:val="28"/>
          <w:rtl/>
          <w:lang w:bidi="ar-JO"/>
        </w:rPr>
        <w:br w:type="page"/>
      </w:r>
    </w:p>
    <w:p w14:paraId="3FF6BA8C" w14:textId="29F8D35B" w:rsidR="004E383D" w:rsidRPr="00001A51" w:rsidRDefault="004E383D" w:rsidP="003749C6">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دراساتهم العلمية المحكَّمة في القضايا التي تحتاج إلى تصور الواقع لتحقيق المناط الخاص</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376"/>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حيث يقول السرخسي: "وإنما يرجع إلى معرفة كل شيء إلى من له بصر في ذلك الباب"</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377"/>
      </w:r>
      <w:r w:rsidRPr="00001A51">
        <w:rPr>
          <w:rFonts w:ascii="Arabic Transparent" w:hAnsi="Arabic Transparent" w:cs="Arabic Transparent"/>
          <w:sz w:val="28"/>
          <w:szCs w:val="28"/>
          <w:vertAlign w:val="superscript"/>
          <w:rtl/>
          <w:lang w:bidi="ar-JO"/>
        </w:rPr>
        <w:t>)</w:t>
      </w:r>
      <w:r w:rsidR="003749C6" w:rsidRPr="00001A51">
        <w:rPr>
          <w:rFonts w:ascii="Arabic Transparent" w:hAnsi="Arabic Transparent" w:cs="Arabic Transparent" w:hint="cs"/>
          <w:sz w:val="28"/>
          <w:szCs w:val="28"/>
          <w:rtl/>
          <w:lang w:bidi="ar-JO"/>
        </w:rPr>
        <w:t>.</w:t>
      </w:r>
    </w:p>
    <w:p w14:paraId="05A6049E" w14:textId="77777777" w:rsidR="004E383D" w:rsidRPr="00001A51" w:rsidRDefault="004E383D" w:rsidP="004E383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b/>
          <w:bCs/>
          <w:sz w:val="28"/>
          <w:szCs w:val="28"/>
          <w:rtl/>
          <w:lang w:bidi="ar-JO"/>
        </w:rPr>
        <w:t xml:space="preserve"> ثانياً:</w:t>
      </w:r>
      <w:r w:rsidRPr="00001A51">
        <w:rPr>
          <w:rFonts w:ascii="Arabic Transparent" w:hAnsi="Arabic Transparent" w:cs="Arabic Transparent"/>
          <w:sz w:val="28"/>
          <w:szCs w:val="28"/>
          <w:rtl/>
          <w:lang w:bidi="ar-JO"/>
        </w:rPr>
        <w:t xml:space="preserve"> الرجوع إلى قول الخبراء من التجار وأصحاب الصنائع في كشف الخفاء مثل التعرف على العيب الخفي، أو ما يدعي البائع بأنه ليس عيباً، فمناط رد المبيع هو: العيب، وتحقيق مناط العيب الذي يخفى على عامة الناس في سلعة ما لا يتم إلا بالرجوع إلى قول الخبراء من أصحاب الخبرة الفنية، وقد اعتنى الفقهاء بتقرير هذا الأصل، واعتمدوا عليه في مسائل لا تعدُّ كثرة، وهي منتشرة في كافة أبواب الفقه، بل اعتبروا الخبرة شرطاً في الحكم على تلك الوقائع والجزئيات</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378"/>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حيث يقول ابن قدامة: "الخبرة بما يحكم به شرط في سائر الأحكام"</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379"/>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w:t>
      </w:r>
    </w:p>
    <w:p w14:paraId="41A049CB" w14:textId="0CE15E7C" w:rsidR="004E383D" w:rsidRPr="00001A51" w:rsidRDefault="004E383D" w:rsidP="004E383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b/>
          <w:bCs/>
          <w:sz w:val="28"/>
          <w:szCs w:val="28"/>
          <w:rtl/>
          <w:lang w:bidi="ar-JO"/>
        </w:rPr>
        <w:t>ثالثاً:</w:t>
      </w:r>
      <w:r w:rsidRPr="00001A51">
        <w:rPr>
          <w:rFonts w:ascii="Arabic Transparent" w:hAnsi="Arabic Transparent" w:cs="Arabic Transparent"/>
          <w:sz w:val="28"/>
          <w:szCs w:val="28"/>
          <w:rtl/>
          <w:lang w:bidi="ar-JO"/>
        </w:rPr>
        <w:t xml:space="preserve"> الاستفادة من النصوص والأحكام القطعية من جانب العلوم التجريبية ويكون منطلق المجتهد الباحث بناءً على القواطع والحقائق وغلبة الظن لا على الظنون والفرضيات التي لم تثبت عند العلماء،</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380"/>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xml:space="preserve"> وأن يدرك عدم وجود تعارض بين النقل والعقل، لأنه لا يُسلم تعارض القطعيين، وإن بدا له شيء من التعارض بين الظنيين فهو ظاهري، يقدم الأرجح بينهما وفق قواعد رفع التعارض الذي نص عليها ابن تيمية في كتابه </w:t>
      </w:r>
      <w:r w:rsidR="003F0ECF" w:rsidRPr="00001A51">
        <w:rPr>
          <w:rFonts w:ascii="Arabic Transparent" w:hAnsi="Arabic Transparent" w:cs="Arabic Transparent" w:hint="cs"/>
          <w:sz w:val="28"/>
          <w:szCs w:val="28"/>
          <w:rtl/>
          <w:lang w:bidi="ar-JO"/>
        </w:rPr>
        <w:t>"</w:t>
      </w:r>
      <w:r w:rsidRPr="00001A51">
        <w:rPr>
          <w:rFonts w:ascii="Arabic Transparent" w:hAnsi="Arabic Transparent" w:cs="Arabic Transparent"/>
          <w:sz w:val="28"/>
          <w:szCs w:val="28"/>
          <w:rtl/>
          <w:lang w:bidi="ar-JO"/>
        </w:rPr>
        <w:t>درء تعارض العقل والنقل</w:t>
      </w:r>
      <w:r w:rsidR="003F0ECF" w:rsidRPr="00001A51">
        <w:rPr>
          <w:rFonts w:ascii="Arabic Transparent" w:hAnsi="Arabic Transparent" w:cs="Arabic Transparent" w:hint="cs"/>
          <w:sz w:val="28"/>
          <w:szCs w:val="28"/>
          <w:rtl/>
          <w:lang w:bidi="ar-JO"/>
        </w:rPr>
        <w:t>"</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381"/>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w:t>
      </w:r>
    </w:p>
    <w:p w14:paraId="3EC596FA" w14:textId="77777777" w:rsidR="003F0ECF" w:rsidRPr="00001A51" w:rsidRDefault="004E383D" w:rsidP="003749C6">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b/>
          <w:bCs/>
          <w:sz w:val="28"/>
          <w:szCs w:val="28"/>
          <w:rtl/>
          <w:lang w:bidi="ar-JO"/>
        </w:rPr>
        <w:t xml:space="preserve">رابعاً: </w:t>
      </w:r>
      <w:r w:rsidRPr="00001A51">
        <w:rPr>
          <w:rFonts w:ascii="Arabic Transparent" w:hAnsi="Arabic Transparent" w:cs="Arabic Transparent"/>
          <w:sz w:val="28"/>
          <w:szCs w:val="28"/>
          <w:rtl/>
          <w:lang w:bidi="ar-JO"/>
        </w:rPr>
        <w:t>الالتفات إلى المقاصد والمعاني وعدم الاكتفاء بالألفاظ والمباني</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382"/>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xml:space="preserve">، فالحكم لا يبنى بعد الاعتماد على مسالك كشف العلة القديمة والحديثة </w:t>
      </w:r>
      <w:r w:rsidR="00B154EE" w:rsidRPr="00001A51">
        <w:rPr>
          <w:rFonts w:ascii="Arabic Transparent" w:hAnsi="Arabic Transparent" w:cs="Arabic Transparent" w:hint="cs"/>
          <w:sz w:val="28"/>
          <w:szCs w:val="28"/>
          <w:rtl/>
          <w:lang w:bidi="ar-JO"/>
        </w:rPr>
        <w:t>وحدهما</w:t>
      </w:r>
      <w:r w:rsidR="00B154EE" w:rsidRPr="00001A51">
        <w:rPr>
          <w:rFonts w:ascii="Arabic Transparent" w:hAnsi="Arabic Transparent" w:cs="Arabic Transparent" w:hint="eastAsia"/>
          <w:sz w:val="28"/>
          <w:szCs w:val="28"/>
          <w:rtl/>
          <w:lang w:bidi="ar-JO"/>
        </w:rPr>
        <w:t>،</w:t>
      </w:r>
      <w:r w:rsidRPr="00001A51">
        <w:rPr>
          <w:rFonts w:ascii="Arabic Transparent" w:hAnsi="Arabic Transparent" w:cs="Arabic Transparent"/>
          <w:sz w:val="28"/>
          <w:szCs w:val="28"/>
          <w:rtl/>
          <w:lang w:bidi="ar-JO"/>
        </w:rPr>
        <w:t xml:space="preserve"> بل لابد من النظر في قصد المتصرف </w:t>
      </w:r>
      <w:r w:rsidRPr="00001A51">
        <w:rPr>
          <w:rFonts w:ascii="Arabic Transparent" w:hAnsi="Arabic Transparent" w:cs="Arabic Transparent"/>
          <w:sz w:val="28"/>
          <w:szCs w:val="28"/>
          <w:rtl/>
          <w:lang w:bidi="ar-JO"/>
        </w:rPr>
        <w:lastRenderedPageBreak/>
        <w:t xml:space="preserve">ومآل فعله، فكما هي معتبرة في العبادات فهي معتبرة في العادات، كما قرره الشاطبي، حيث قال: "تُفرّق بين </w:t>
      </w:r>
    </w:p>
    <w:p w14:paraId="06DA9ED2" w14:textId="77777777" w:rsidR="003F0ECF" w:rsidRPr="00001A51" w:rsidRDefault="003F0ECF">
      <w:pPr>
        <w:bidi w:val="0"/>
        <w:spacing w:after="0" w:line="240" w:lineRule="auto"/>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br w:type="page"/>
      </w:r>
    </w:p>
    <w:p w14:paraId="3D3BBF7F" w14:textId="39204B48" w:rsidR="004E383D" w:rsidRPr="00001A51" w:rsidRDefault="004E383D" w:rsidP="00024153">
      <w:pPr>
        <w:spacing w:after="0" w:line="348"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sz w:val="28"/>
          <w:szCs w:val="28"/>
          <w:rtl/>
          <w:lang w:bidi="ar-JO"/>
        </w:rPr>
        <w:t>ما هو عادة وما هو عبادة، وتُؤثر في توصيف الفعل وحكمه"</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383"/>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xml:space="preserve"> ويؤكد ابن القيم كذلك أن من يجري مع ظواهر العقود دون مراعاة القصد يلزمه لوازم فاسدة </w:t>
      </w:r>
      <w:r w:rsidR="003F0ECF" w:rsidRPr="00001A51">
        <w:rPr>
          <w:rFonts w:ascii="Arabic Transparent" w:hAnsi="Arabic Transparent" w:cs="Arabic Transparent" w:hint="cs"/>
          <w:sz w:val="28"/>
          <w:szCs w:val="28"/>
          <w:rtl/>
          <w:lang w:bidi="ar-JO"/>
        </w:rPr>
        <w:t>"</w:t>
      </w:r>
      <w:r w:rsidRPr="00001A51">
        <w:rPr>
          <w:rFonts w:ascii="Arabic Transparent" w:hAnsi="Arabic Transparent" w:cs="Arabic Transparent"/>
          <w:sz w:val="28"/>
          <w:szCs w:val="28"/>
          <w:rtl/>
          <w:lang w:bidi="ar-JO"/>
        </w:rPr>
        <w:t xml:space="preserve">كالتساهل في بيع </w:t>
      </w:r>
      <w:r w:rsidR="00B154EE" w:rsidRPr="00001A51">
        <w:rPr>
          <w:rFonts w:ascii="Arabic Transparent" w:hAnsi="Arabic Transparent" w:cs="Arabic Transparent" w:hint="cs"/>
          <w:sz w:val="28"/>
          <w:szCs w:val="28"/>
          <w:rtl/>
          <w:lang w:bidi="ar-JO"/>
        </w:rPr>
        <w:t>العنب لمن</w:t>
      </w:r>
      <w:r w:rsidRPr="00001A51">
        <w:rPr>
          <w:rFonts w:ascii="Arabic Transparent" w:hAnsi="Arabic Transparent" w:cs="Arabic Transparent"/>
          <w:sz w:val="28"/>
          <w:szCs w:val="28"/>
          <w:rtl/>
          <w:lang w:bidi="ar-JO"/>
        </w:rPr>
        <w:t xml:space="preserve"> يقصد عملها خمراً؛ وهذا كله لإبراز أن المعنى المقصود هو مدار الحكم لا مجرد الصورة اللفظية</w:t>
      </w:r>
      <w:r w:rsidR="003F0ECF" w:rsidRPr="00001A51">
        <w:rPr>
          <w:rFonts w:ascii="Arabic Transparent" w:hAnsi="Arabic Transparent" w:cs="Arabic Transparent" w:hint="cs"/>
          <w:sz w:val="28"/>
          <w:szCs w:val="28"/>
          <w:rtl/>
          <w:lang w:bidi="ar-JO"/>
        </w:rPr>
        <w:t>"</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384"/>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ومن الأمثلة المعاصرة على ذلك، إعادة تسمية القرض الربوي: كأن تُصاغ الزيادة في التمويل الاستهلاكي على أنها نسبة فائدة أو رسوم خدمة، أو عمولات إدارية بينما حقيقتها زيادة مشروطة على الدين مقابل الزمن؛ فالعبرة بالاسم والقصد لا بالاسم فقط.</w:t>
      </w:r>
    </w:p>
    <w:p w14:paraId="382E414E" w14:textId="77777777" w:rsidR="004E383D" w:rsidRPr="00001A51" w:rsidRDefault="004E383D" w:rsidP="00024153">
      <w:pPr>
        <w:spacing w:after="0" w:line="348"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خامساً: تغيّر الواقعة بتبدل الأوصاف المؤثرة فيها:</w:t>
      </w:r>
    </w:p>
    <w:p w14:paraId="618C22D4" w14:textId="1073E455" w:rsidR="004E383D" w:rsidRPr="00001A51" w:rsidRDefault="005D7B91" w:rsidP="00024153">
      <w:pPr>
        <w:spacing w:after="0" w:line="348"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لقد تبيَّن من استقراء الشريعة الإسلامية أنها تتصف بالدوام والاستمرارية، وأن من مقاصدها نوط أحكامها المختلفة ذات الوقائع المتنوعة بأوصاف مختلفة تقتضي تلك الأحكام، فلو كانت الشريعة مؤقتة بقوم بخصوصهم لادَّعى مُدَّعٍ أن ما قُرر فيها من الأحكام لا يختلف؛ لأنَّ غاية دوامها معلومة</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385"/>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والحقيقة أن الكثير من الوقائع يتغير حكمها، بناء على تغيّر الأوصاف المؤثرة فيها، تأصيلاً على ما قرّرَه ابن القيم</w:t>
      </w:r>
      <w:r w:rsidR="00151AED"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 xml:space="preserve">"في تغيُّر الفتوى واختلافها بحسب تغير الأزمنة والأمكنة </w:t>
      </w:r>
    </w:p>
    <w:p w14:paraId="081E39E8" w14:textId="337C3706" w:rsidR="003749C6" w:rsidRPr="00001A51" w:rsidRDefault="004E383D" w:rsidP="00024153">
      <w:pPr>
        <w:spacing w:after="0" w:line="348"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والأحوال والنيات والعوائد"</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386"/>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xml:space="preserve"> وهنا سوف نبسط الحديث عن التغيَّر بحسب الزمان والمكان والحال والعوائد، والتي هي من الأسباب العملية للتفاوت وهي كما يأتي:</w:t>
      </w:r>
    </w:p>
    <w:p w14:paraId="6351FBB7" w14:textId="77777777" w:rsidR="004E383D" w:rsidRPr="00001A51" w:rsidRDefault="004E383D" w:rsidP="00024153">
      <w:pPr>
        <w:spacing w:after="0" w:line="348"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1- تغيّر الزمان:</w:t>
      </w:r>
    </w:p>
    <w:p w14:paraId="164F84FF" w14:textId="127A1794" w:rsidR="00ED53A5" w:rsidRPr="00001A51" w:rsidRDefault="005D7B91" w:rsidP="00024153">
      <w:pPr>
        <w:spacing w:after="0" w:line="348" w:lineRule="auto"/>
        <w:jc w:val="both"/>
        <w:rPr>
          <w:rFonts w:ascii="Arabic Transparent" w:hAnsi="Arabic Transparent" w:cs="Arabic Transparent"/>
          <w:sz w:val="28"/>
          <w:szCs w:val="28"/>
          <w:rtl/>
          <w:lang w:bidi="ar-JO"/>
        </w:rPr>
      </w:pPr>
      <w:r w:rsidRPr="00001A51">
        <w:rPr>
          <w:rFonts w:ascii="Arabic Transparent" w:hAnsi="Arabic Transparent" w:cs="Arabic Transparent"/>
          <w:b/>
          <w:bCs/>
          <w:sz w:val="28"/>
          <w:szCs w:val="28"/>
          <w:rtl/>
          <w:lang w:bidi="ar-JO"/>
        </w:rPr>
        <w:t xml:space="preserve">     </w:t>
      </w:r>
      <w:r w:rsidR="004E383D" w:rsidRPr="00001A51">
        <w:rPr>
          <w:rFonts w:ascii="Arabic Transparent" w:hAnsi="Arabic Transparent" w:cs="Arabic Transparent"/>
          <w:sz w:val="28"/>
          <w:szCs w:val="28"/>
          <w:rtl/>
          <w:lang w:bidi="ar-JO"/>
        </w:rPr>
        <w:t xml:space="preserve"> إنَّ تغيُّر الزمان في بعض المسائل يكون وصفاً مؤثراً يساهم في تغير الحكم، ويعد سبباً من أسباب التَّفاوت في تحقيق المناط الخاص، حيث تختلف بعض الأحكام في زمن الفتن والجوائح والحروب عن زمن الاستقرار والعدل، لذا يمكن أن يكون الزمن وصف من الأوصاف المؤثرة في تغيِّر الحكم، فمن المقرر عند العلماء القاعدة الفقهية</w:t>
      </w: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w:t>
      </w:r>
      <w:r w:rsidR="00CF3A79" w:rsidRPr="00001A51">
        <w:rPr>
          <w:rFonts w:ascii="Arabic Transparent" w:hAnsi="Arabic Transparent" w:cs="Arabic Transparent"/>
          <w:sz w:val="28"/>
          <w:szCs w:val="28"/>
          <w:rtl/>
          <w:lang w:bidi="ar-JO"/>
        </w:rPr>
        <w:t>لا ينكر تغير الأحكام بتغير الأزمان</w:t>
      </w:r>
      <w:r w:rsidR="004E383D" w:rsidRPr="00001A51">
        <w:rPr>
          <w:rFonts w:ascii="Arabic Transparent" w:hAnsi="Arabic Transparent" w:cs="Arabic Transparent"/>
          <w:sz w:val="28"/>
          <w:szCs w:val="28"/>
          <w:rtl/>
          <w:lang w:bidi="ar-JO"/>
        </w:rPr>
        <w:t>"</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387"/>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xml:space="preserve">، كإغلاق باب المسجد في غير موعد الصلاة في هذا الزمان، صيانةً للمساجد من السرقة بيد أنَّها كانت في بعض الأزمنة الأولى دائماً مفتوحةً، وكذلك تباعد الصفوف في زمن الأوبئة على غير جري العادة من تراص الصفوف في الأزمنة المستقرة، وكذلك يلتزم المقاتلين بصلاة الخوف في </w:t>
      </w:r>
    </w:p>
    <w:p w14:paraId="70E74C59" w14:textId="77777777" w:rsidR="00ED53A5" w:rsidRPr="00001A51" w:rsidRDefault="00ED53A5">
      <w:pPr>
        <w:bidi w:val="0"/>
        <w:spacing w:after="0" w:line="240" w:lineRule="auto"/>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br w:type="page"/>
      </w:r>
    </w:p>
    <w:p w14:paraId="6604E2AE" w14:textId="054673E1" w:rsidR="004E383D" w:rsidRPr="00001A51" w:rsidRDefault="00ED53A5" w:rsidP="003749C6">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زمن الحروب </w:t>
      </w:r>
      <w:r w:rsidR="004E383D" w:rsidRPr="00001A51">
        <w:rPr>
          <w:rFonts w:ascii="Arabic Transparent" w:hAnsi="Arabic Transparent" w:cs="Arabic Transparent"/>
          <w:sz w:val="28"/>
          <w:szCs w:val="28"/>
          <w:rtl/>
          <w:lang w:bidi="ar-JO"/>
        </w:rPr>
        <w:t>بهيئاتها المختلفة في حين التزامهم بصفة الصلاة الأصلية في باقي الأزمنة وهلم جراً على الحوادث المماثلة،</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388"/>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xml:space="preserve"> حيث قال ابن عابدين:</w:t>
      </w:r>
      <w:r w:rsidR="00151AED"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فكثير من الاحكام تختلف باختلاف الزمان لتغير عُرف أهله، أو لحدوث ضرورة، أو فساد أهل الزمان بحيث لو بقى الحكم على ما كان عليه ‌للزم ‌منه ‌المشقة والضرر بالناس، ويخالف قواعد الشريعة المبنية على التخفيف والتيسير ودفع الضرر والفساد لبقاء العالم على أتم نظام وأحسن أحكام، ولهذا ترى مشايخ المذهب خالفوا ما نص عليه المجتهد في مواضع كثيرة بناها على ما كان في زمنه لعلمهم بأنه لو كان في زمنهم لقال بما قالوا به أخذاً من قواعد مذهبه"</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389"/>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xml:space="preserve"> بذلك يكون الزمان سبباً مباشراً في تفاوت العلماء في تحقيق المناط الخاص، فلا يمكن أن يكون التَّفاوت مقصوداً لذاته، بل تسببت به الأوصاف التي وقف عليها المجتهد عند الاجتهاد.</w:t>
      </w:r>
    </w:p>
    <w:p w14:paraId="6479198E" w14:textId="77777777" w:rsidR="004E383D" w:rsidRPr="00001A51" w:rsidRDefault="004E383D" w:rsidP="004E383D">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 xml:space="preserve">2- تغيّر المكان: </w:t>
      </w:r>
    </w:p>
    <w:p w14:paraId="14D64F74" w14:textId="1674895A" w:rsidR="004E383D" w:rsidRPr="00001A51" w:rsidRDefault="005D7B91" w:rsidP="003749C6">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 xml:space="preserve">في بعض المسائل يتغيَّر حكمها تبعاً لتغير المكان، حيث يعد المكان وصفاً من الأوصاف المؤثرة في الحكم أحياناً، كما في قوله تعالى: </w:t>
      </w:r>
      <w:r w:rsidR="004E383D" w:rsidRPr="00001A51">
        <w:rPr>
          <w:rFonts w:ascii="KFGQPC HAFS Uthmanic Script" w:hAnsi="Times New Roman" w:cs="KFGQPC HAFS Uthmanic Script"/>
          <w:color w:val="000000"/>
          <w:sz w:val="24"/>
          <w:szCs w:val="24"/>
          <w:rtl/>
        </w:rPr>
        <w:t>ﵟ</w:t>
      </w:r>
      <w:r w:rsidR="004E383D" w:rsidRPr="00001A51">
        <w:rPr>
          <w:rFonts w:ascii="KFGQPC HAFS Uthmanic Script" w:hAnsi="Times New Roman" w:cs="Cambria"/>
          <w:color w:val="000000"/>
          <w:sz w:val="24"/>
          <w:szCs w:val="24"/>
          <w:rtl/>
        </w:rPr>
        <w:t>...</w:t>
      </w:r>
      <w:r w:rsidR="004E383D" w:rsidRPr="00001A51">
        <w:rPr>
          <w:rFonts w:ascii="KFGQPC HAFS Uthmanic Script" w:hAnsi="Times New Roman" w:cs="KFGQPC HAFS Uthmanic Script"/>
          <w:color w:val="000000"/>
          <w:sz w:val="24"/>
          <w:szCs w:val="24"/>
          <w:rtl/>
        </w:rPr>
        <w:t>وَلَا تُقَٰتِلُوهُمۡ عِندَ ٱلۡمَسۡجِدِ ٱلۡحَرَامِ حَتَّىٰ يُقَٰتِلُوكُمۡ فِيهِۖ فَإِن قَٰتَلُوكُمۡ فَٱقۡتُلُوهُمۡۗ كَذَٰلِكَ جَزَآءُ ٱلۡكَٰفِرِينَ ١٩١ﵞ ﵝالبَقَرَةِ</w:t>
      </w:r>
      <w:r w:rsidRPr="00001A51">
        <w:rPr>
          <w:rFonts w:ascii="KFGQPC HAFS Uthmanic Script" w:hAnsi="Times New Roman" w:cs="KFGQPC HAFS Uthmanic Script"/>
          <w:color w:val="000000"/>
          <w:sz w:val="24"/>
          <w:szCs w:val="24"/>
          <w:rtl/>
        </w:rPr>
        <w:t xml:space="preserve">: </w:t>
      </w:r>
      <w:r w:rsidR="004E383D" w:rsidRPr="00001A51">
        <w:rPr>
          <w:rFonts w:ascii="KFGQPC HAFS Uthmanic Script" w:hAnsi="Times New Roman" w:cs="KFGQPC HAFS Uthmanic Script"/>
          <w:color w:val="000000"/>
          <w:sz w:val="24"/>
          <w:szCs w:val="24"/>
          <w:rtl/>
        </w:rPr>
        <w:t>ﵑﵙﵑﵜ</w:t>
      </w:r>
      <w:r w:rsidR="004E383D" w:rsidRPr="00001A51">
        <w:rPr>
          <w:rFonts w:ascii="Arabic Transparent" w:hAnsi="Arabic Transparent" w:cs="Arabic Transparent"/>
          <w:sz w:val="28"/>
          <w:szCs w:val="28"/>
          <w:rtl/>
          <w:lang w:bidi="ar-JO"/>
        </w:rPr>
        <w:t xml:space="preserve"> قال الطبري:</w:t>
      </w:r>
      <w:r w:rsidR="00151AED"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جاءت هذه الآية بمعنى: ولا تبتدئوا - أيها المؤمنون - المشركين بالقتال عند المسجد الحرام، حتى يبدؤوكم به، فإن بدءُوكم به هناك عند المسجد الحرَام في الحرم، فاقتلوهم"</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390"/>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hint="cs"/>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t xml:space="preserve"> </w:t>
      </w:r>
      <w:r w:rsidR="004E383D" w:rsidRPr="00001A51">
        <w:rPr>
          <w:rFonts w:ascii="Arabic Transparent" w:hAnsi="Arabic Transparent" w:cs="Arabic Transparent"/>
          <w:sz w:val="28"/>
          <w:szCs w:val="28"/>
          <w:rtl/>
          <w:lang w:bidi="ar-JO"/>
        </w:rPr>
        <w:t>والشاهد أنَّ المكان معتبر في تقرير الحكم من جهة تحريم ابتداء المسلمين للقتال، ويجوز ذلك عند تغيّر المكان.</w:t>
      </w:r>
    </w:p>
    <w:p w14:paraId="2A632BB3" w14:textId="77777777" w:rsidR="00837F2F" w:rsidRPr="00001A51" w:rsidRDefault="005D7B91" w:rsidP="004E383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وبعد الاستقراء تبين أنَّ هناك العديد من المسائل التي يختلف الحكم فيها تبعاً لاختلاف البلدان،</w:t>
      </w:r>
    </w:p>
    <w:p w14:paraId="6D8B40EE" w14:textId="77777777" w:rsidR="00837F2F" w:rsidRPr="00001A51" w:rsidRDefault="004E383D" w:rsidP="004E383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مثل سنّ البلوغ</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391"/>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xml:space="preserve">، </w:t>
      </w:r>
    </w:p>
    <w:p w14:paraId="4246F44D" w14:textId="46997E38" w:rsidR="00837F2F" w:rsidRPr="00001A51" w:rsidRDefault="00837F2F">
      <w:pPr>
        <w:bidi w:val="0"/>
        <w:spacing w:after="0" w:line="240" w:lineRule="auto"/>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br w:type="page"/>
      </w:r>
    </w:p>
    <w:p w14:paraId="7CB2DA12" w14:textId="37171706" w:rsidR="004E383D" w:rsidRPr="00001A51" w:rsidRDefault="004E383D" w:rsidP="00837F2F">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واختلاف المطالع</w:t>
      </w:r>
      <w:r w:rsidR="00837F2F" w:rsidRPr="00001A51">
        <w:rPr>
          <w:rFonts w:ascii="Arabic Transparent" w:hAnsi="Arabic Transparent" w:cs="Arabic Transparent" w:hint="cs"/>
          <w:sz w:val="28"/>
          <w:szCs w:val="28"/>
          <w:rtl/>
          <w:lang w:bidi="ar-JO"/>
        </w:rPr>
        <w:t xml:space="preserve"> </w:t>
      </w:r>
      <w:r w:rsidRPr="00001A51">
        <w:rPr>
          <w:rFonts w:ascii="Arabic Transparent" w:hAnsi="Arabic Transparent" w:cs="Arabic Transparent"/>
          <w:sz w:val="28"/>
          <w:szCs w:val="28"/>
          <w:rtl/>
          <w:lang w:bidi="ar-JO"/>
        </w:rPr>
        <w:t xml:space="preserve"> في رؤية الهلال</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392"/>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والمسائل التي تتعلق باللباس والجمال والهيئات وخوارم المروءة ترد إلى المكان عند بعض الفقهاء</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393"/>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w:t>
      </w:r>
    </w:p>
    <w:p w14:paraId="7464E8EF" w14:textId="77777777" w:rsidR="004E383D" w:rsidRPr="00001A51" w:rsidRDefault="004E383D" w:rsidP="004E383D">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 xml:space="preserve">3- تغيّر الحال:  </w:t>
      </w:r>
    </w:p>
    <w:p w14:paraId="5E491787" w14:textId="23480D41" w:rsidR="004E383D" w:rsidRPr="00001A51" w:rsidRDefault="00ED53A5" w:rsidP="004E383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hint="cs"/>
          <w:sz w:val="28"/>
          <w:szCs w:val="28"/>
          <w:rtl/>
          <w:lang w:bidi="ar-JO"/>
        </w:rPr>
        <w:t xml:space="preserve">     </w:t>
      </w:r>
      <w:r w:rsidR="004E383D" w:rsidRPr="00001A51">
        <w:rPr>
          <w:rFonts w:ascii="Arabic Transparent" w:hAnsi="Arabic Transparent" w:cs="Arabic Transparent"/>
          <w:sz w:val="28"/>
          <w:szCs w:val="28"/>
          <w:rtl/>
          <w:lang w:bidi="ar-JO"/>
        </w:rPr>
        <w:t xml:space="preserve">يمكن أن تتغيّر الفتوى تبعاً لتغير حال المستفتي، أو حال المستفتى عنه كما يأتي: </w:t>
      </w:r>
    </w:p>
    <w:p w14:paraId="066EF86E" w14:textId="61362811" w:rsidR="004E383D" w:rsidRPr="00001A51" w:rsidRDefault="004E383D" w:rsidP="004E383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b/>
          <w:bCs/>
          <w:sz w:val="28"/>
          <w:szCs w:val="28"/>
          <w:rtl/>
          <w:lang w:bidi="ar-JO"/>
        </w:rPr>
        <w:t xml:space="preserve">أ. حال المُستفتي: </w:t>
      </w:r>
      <w:r w:rsidRPr="00001A51">
        <w:rPr>
          <w:rFonts w:ascii="Arabic Transparent" w:hAnsi="Arabic Transparent" w:cs="Arabic Transparent"/>
          <w:sz w:val="28"/>
          <w:szCs w:val="28"/>
          <w:rtl/>
          <w:lang w:bidi="ar-JO"/>
        </w:rPr>
        <w:t>قد يقرر المفتي حكماً اجتهادياً للمستفتي على هيئة أو حال معينة لكن يتغير الحكم الاجتهادي تبعاً لتغير الحال، أو الهيئة فينتقل الحكم من الحظر إلى الإباحة أو العكس؛ لأن تحقيق المناط الخاص يقتضى ذلك، وذلك لتخلّف وصف من الأوصاف، أو زيادة وصف من الأوصاف فاقتضى أن تتغير الفتوى تبعاً للحال، ومثال ذلك ما وصفه عمر بن عبدالعزيز بالنسبة لتغيّر الأقضية، حيث قال: "تحدث للناس أقضية على قدر ما أحدثوا من الفجور"</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394"/>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xml:space="preserve"> وما هذا إلا لتقلّب أحوال الناس ويترتب على ذلك تغيّر الفتوى، وتغير الأقضية المناسبة لهذه الأحوال ضبطاً للناس على أحكام الشريعة الإسلامية، ومثله ما يحدث من مسائل الإفتاء والقضاء المعاصرة، فإنَّ التَّفاوت مبررٌ فيها بسبب اختلاف الأحوال والوقائع الحاضرة</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395"/>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w:t>
      </w:r>
    </w:p>
    <w:p w14:paraId="35AE7BD3" w14:textId="77777777" w:rsidR="00837F2F" w:rsidRPr="00001A51" w:rsidRDefault="004E383D" w:rsidP="003749C6">
      <w:pPr>
        <w:spacing w:after="0" w:line="360" w:lineRule="auto"/>
        <w:jc w:val="both"/>
        <w:rPr>
          <w:rFonts w:ascii="Arabic Transparent" w:hAnsi="Arabic Transparent" w:cs="Arabic Transparent"/>
          <w:sz w:val="28"/>
          <w:szCs w:val="28"/>
          <w:lang w:bidi="ar-JO"/>
        </w:rPr>
      </w:pPr>
      <w:r w:rsidRPr="00001A51">
        <w:rPr>
          <w:rFonts w:ascii="Arabic Transparent" w:hAnsi="Arabic Transparent" w:cs="Arabic Transparent"/>
          <w:b/>
          <w:bCs/>
          <w:sz w:val="28"/>
          <w:szCs w:val="28"/>
          <w:rtl/>
          <w:lang w:bidi="ar-JO"/>
        </w:rPr>
        <w:t xml:space="preserve">ب. حال المُستفتى عنه: </w:t>
      </w:r>
      <w:r w:rsidRPr="00001A51">
        <w:rPr>
          <w:rFonts w:ascii="Arabic Transparent" w:hAnsi="Arabic Transparent" w:cs="Arabic Transparent"/>
          <w:sz w:val="28"/>
          <w:szCs w:val="28"/>
          <w:rtl/>
          <w:lang w:bidi="ar-JO"/>
        </w:rPr>
        <w:t xml:space="preserve">وقد يحدث تغيّر في حال المُستفتى عنه فتتغيَّر الأوصاف، وقد يكون في باب العبادات أو المعاملات أو العقوبات التي يتغيّر الحكم فيها تبعاً للأوصاف وجوداً وعدماً، ومن الأمثلة عليه في باب الزكاة، فقد ثبت في كتاب الله أنَّ سهم المؤلفة قلوبهم مصرف معتبر من مصارف الزكاة، كما في قوله تعالى: </w:t>
      </w:r>
      <w:r w:rsidRPr="00001A51">
        <w:rPr>
          <w:rFonts w:ascii="KFGQPC HAFS Uthmanic Script" w:hAnsi="Times New Roman" w:cs="KFGQPC HAFS Uthmanic Script"/>
          <w:color w:val="000000"/>
          <w:sz w:val="28"/>
          <w:szCs w:val="28"/>
          <w:rtl/>
        </w:rPr>
        <w:t>ﵟإِنَّمَا ٱلصَّدَقَٰتُ لِلۡفُقَرَآءِ وَٱلۡمَسَٰكِينِ وَٱلۡعَٰمِلِينَ عَلَيۡهَا وَٱلۡمُؤَلَّفَةِ قُلُوبُهُمۡ وَفِي ٱلرِّقَابِ وَٱلۡغَٰرِمِينَ وَفِي سَبِيلِ ٱللَّهِ وَٱبۡنِ ٱلسَّبِيلِۖ فَرِيضَةٗ مِّنَ ٱللَّهِۗ وَٱللَّهُ عَلِيمٌ حَكِيمٞ ٦٠ﵞ ﵝالتَّوۡبَة</w:t>
      </w:r>
      <w:r w:rsidR="005D7B91" w:rsidRPr="00001A51">
        <w:rPr>
          <w:rFonts w:ascii="KFGQPC HAFS Uthmanic Script" w:hAnsi="Times New Roman" w:cs="KFGQPC HAFS Uthmanic Script"/>
          <w:color w:val="000000"/>
          <w:sz w:val="28"/>
          <w:szCs w:val="28"/>
          <w:rtl/>
        </w:rPr>
        <w:t>:</w:t>
      </w:r>
      <w:r w:rsidRPr="00001A51">
        <w:rPr>
          <w:rFonts w:ascii="KFGQPC HAFS Uthmanic Script" w:hAnsi="Times New Roman" w:cs="KFGQPC HAFS Uthmanic Script"/>
          <w:color w:val="000000"/>
          <w:sz w:val="28"/>
          <w:szCs w:val="28"/>
          <w:rtl/>
        </w:rPr>
        <w:t>ﵐﵖﵜ</w:t>
      </w:r>
      <w:r w:rsidRPr="00001A51">
        <w:rPr>
          <w:rFonts w:ascii="Arabic Transparent" w:hAnsi="Arabic Transparent" w:cs="Arabic Transparent"/>
          <w:sz w:val="28"/>
          <w:szCs w:val="28"/>
          <w:rtl/>
          <w:lang w:bidi="ar-JO"/>
        </w:rPr>
        <w:t xml:space="preserve"> وقد منع سيدنا عمر أشخاصاً من زكاة المؤلفة قلوبهم رُغم أن النبي </w:t>
      </w:r>
      <w:r w:rsidRPr="00001A51">
        <w:rPr>
          <w:rFonts w:ascii="AGA Arabesque" w:hAnsi="AGA Arabesque" w:cs="AGA Arabesque"/>
          <w:sz w:val="28"/>
          <w:szCs w:val="28"/>
          <w:lang w:bidi="ar-JO"/>
        </w:rPr>
        <w:t></w:t>
      </w:r>
      <w:r w:rsidRPr="00001A51">
        <w:rPr>
          <w:rFonts w:ascii="Arabic Transparent" w:hAnsi="Arabic Transparent" w:cs="Arabic Transparent"/>
          <w:sz w:val="28"/>
          <w:szCs w:val="28"/>
          <w:rtl/>
          <w:lang w:bidi="ar-JO"/>
        </w:rPr>
        <w:t xml:space="preserve"> قد فرضها لهم؛ لانقطاع موجب التأليف، ولأن الوصف الذي ثبت لهم في العهد النبوي انتفى عنهم في عهد الفاروق </w:t>
      </w:r>
    </w:p>
    <w:p w14:paraId="4FE4DE72" w14:textId="77777777" w:rsidR="00837F2F" w:rsidRPr="00001A51" w:rsidRDefault="00837F2F">
      <w:pPr>
        <w:bidi w:val="0"/>
        <w:spacing w:after="0" w:line="240" w:lineRule="auto"/>
        <w:rPr>
          <w:rFonts w:ascii="Arabic Transparent" w:hAnsi="Arabic Transparent" w:cs="Arabic Transparent"/>
          <w:sz w:val="28"/>
          <w:szCs w:val="28"/>
          <w:lang w:bidi="ar-JO"/>
        </w:rPr>
      </w:pPr>
      <w:r w:rsidRPr="00001A51">
        <w:rPr>
          <w:rFonts w:ascii="Arabic Transparent" w:hAnsi="Arabic Transparent" w:cs="Arabic Transparent"/>
          <w:sz w:val="28"/>
          <w:szCs w:val="28"/>
          <w:lang w:bidi="ar-JO"/>
        </w:rPr>
        <w:br w:type="page"/>
      </w:r>
    </w:p>
    <w:p w14:paraId="4E2F0B3C" w14:textId="1A3694CF" w:rsidR="004E383D" w:rsidRPr="00001A51" w:rsidRDefault="004E383D" w:rsidP="003749C6">
      <w:pPr>
        <w:spacing w:after="0" w:line="360" w:lineRule="auto"/>
        <w:jc w:val="both"/>
        <w:rPr>
          <w:rFonts w:ascii="Arabic Transparent" w:hAnsi="Arabic Transparent" w:cs="Arabic Transparent"/>
          <w:sz w:val="28"/>
          <w:szCs w:val="28"/>
          <w:rtl/>
          <w:lang w:bidi="ar-JO"/>
        </w:rPr>
      </w:pPr>
      <w:r w:rsidRPr="00001A51">
        <w:rPr>
          <w:rFonts w:ascii="AGA Arabesque" w:hAnsi="AGA Arabesque" w:cs="AGA Arabesque"/>
          <w:sz w:val="28"/>
          <w:szCs w:val="28"/>
          <w:lang w:bidi="ar-JO"/>
        </w:rPr>
        <w:t></w:t>
      </w:r>
      <w:r w:rsidRPr="00001A51">
        <w:rPr>
          <w:rFonts w:ascii="Arabic Transparent" w:hAnsi="Arabic Transparent" w:cs="Arabic Transparent"/>
          <w:sz w:val="28"/>
          <w:szCs w:val="28"/>
          <w:rtl/>
          <w:lang w:bidi="ar-JO"/>
        </w:rPr>
        <w:t>، وهو بيانه ما ذكره ابن قدامة</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396"/>
      </w:r>
      <w:r w:rsidRPr="00001A51">
        <w:rPr>
          <w:rFonts w:ascii="Arabic Transparent" w:hAnsi="Arabic Transparent" w:cs="Arabic Transparent"/>
          <w:sz w:val="28"/>
          <w:szCs w:val="28"/>
          <w:vertAlign w:val="superscript"/>
          <w:rtl/>
          <w:lang w:bidi="ar-JO"/>
        </w:rPr>
        <w:t>)</w:t>
      </w:r>
      <w:r w:rsidR="00151AED" w:rsidRPr="00001A51">
        <w:rPr>
          <w:rFonts w:ascii="Arabic Transparent" w:hAnsi="Arabic Transparent" w:cs="Arabic Transparent"/>
          <w:sz w:val="28"/>
          <w:szCs w:val="28"/>
          <w:rtl/>
          <w:lang w:bidi="ar-JO"/>
        </w:rPr>
        <w:t xml:space="preserve"> "</w:t>
      </w:r>
      <w:r w:rsidRPr="00001A51">
        <w:rPr>
          <w:rFonts w:ascii="Arabic Transparent" w:hAnsi="Arabic Transparent" w:cs="Arabic Transparent"/>
          <w:sz w:val="28"/>
          <w:szCs w:val="28"/>
          <w:rtl/>
          <w:lang w:bidi="ar-JO"/>
        </w:rPr>
        <w:t>والمؤلفة قلوبهم ضربان؛ كفار ومسلمون، وهم جميعا السادة المطاعون في قومهم وعشائرهم"</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397"/>
      </w:r>
      <w:r w:rsidRPr="00001A51">
        <w:rPr>
          <w:rFonts w:ascii="Arabic Transparent" w:hAnsi="Arabic Transparent" w:cs="Arabic Transparent"/>
          <w:sz w:val="28"/>
          <w:szCs w:val="28"/>
          <w:vertAlign w:val="superscript"/>
          <w:rtl/>
          <w:lang w:bidi="ar-JO"/>
        </w:rPr>
        <w:t xml:space="preserve">) </w:t>
      </w:r>
      <w:r w:rsidRPr="00001A51">
        <w:rPr>
          <w:rFonts w:ascii="Arabic Transparent" w:hAnsi="Arabic Transparent" w:cs="Arabic Transparent"/>
          <w:sz w:val="28"/>
          <w:szCs w:val="28"/>
          <w:rtl/>
          <w:lang w:bidi="ar-JO"/>
        </w:rPr>
        <w:t>فهم كل من يرجى خيره أو خير غيره به أو يخشى شره أو شر غيره به، يدفع له الزكاة سواء من أكان من المسلمين أو الكفار</w:t>
      </w:r>
      <w:r w:rsidR="00837F2F" w:rsidRPr="00001A51">
        <w:rPr>
          <w:rFonts w:ascii="Arabic Transparent" w:hAnsi="Arabic Transparent" w:cs="Arabic Transparent" w:hint="cs"/>
          <w:sz w:val="28"/>
          <w:szCs w:val="28"/>
          <w:rtl/>
          <w:lang w:bidi="ar-JO"/>
        </w:rPr>
        <w:t>"</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398"/>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وقد أعزَّ الله الإسلام ولم يعد المسلمين بحاجة إليهم فاستغنى المسلمون عن تأليف قلوبهم</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399"/>
      </w:r>
      <w:r w:rsidRPr="00001A51">
        <w:rPr>
          <w:rFonts w:ascii="Arabic Transparent" w:hAnsi="Arabic Transparent" w:cs="Arabic Transparent"/>
          <w:sz w:val="28"/>
          <w:szCs w:val="28"/>
          <w:vertAlign w:val="superscript"/>
          <w:rtl/>
          <w:lang w:bidi="ar-JO"/>
        </w:rPr>
        <w:t>)</w:t>
      </w:r>
      <w:r w:rsidR="005D7B91" w:rsidRPr="00001A51">
        <w:rPr>
          <w:rFonts w:ascii="Arabic Transparent" w:hAnsi="Arabic Transparent" w:cs="Arabic Transparent"/>
          <w:sz w:val="28"/>
          <w:szCs w:val="28"/>
          <w:vertAlign w:val="superscript"/>
          <w:rtl/>
          <w:lang w:bidi="ar-JO"/>
        </w:rPr>
        <w:t xml:space="preserve">، </w:t>
      </w:r>
      <w:r w:rsidRPr="00001A51">
        <w:rPr>
          <w:rFonts w:ascii="Arabic Transparent" w:hAnsi="Arabic Transparent" w:cs="Arabic Transparent"/>
          <w:sz w:val="28"/>
          <w:szCs w:val="28"/>
          <w:rtl/>
          <w:lang w:bidi="ar-JO"/>
        </w:rPr>
        <w:t xml:space="preserve">وبعد رسولنا </w:t>
      </w:r>
      <w:r w:rsidRPr="00001A51">
        <w:rPr>
          <w:rFonts w:ascii="AGA Arabesque" w:hAnsi="AGA Arabesque" w:cs="AGA Arabesque"/>
          <w:sz w:val="28"/>
          <w:szCs w:val="28"/>
          <w:lang w:bidi="ar-JO"/>
        </w:rPr>
        <w:t></w:t>
      </w:r>
      <w:r w:rsidRPr="00001A51">
        <w:rPr>
          <w:rFonts w:ascii="Arabic Transparent" w:hAnsi="Arabic Transparent" w:cs="Arabic Transparent"/>
          <w:sz w:val="28"/>
          <w:szCs w:val="28"/>
          <w:rtl/>
          <w:lang w:bidi="ar-JO"/>
        </w:rPr>
        <w:t xml:space="preserve"> وجد الخليفة أبو بكر </w:t>
      </w:r>
      <w:r w:rsidRPr="00001A51">
        <w:rPr>
          <w:rFonts w:ascii="AGA Arabesque" w:hAnsi="AGA Arabesque" w:cs="AGA Arabesque"/>
          <w:sz w:val="28"/>
          <w:szCs w:val="28"/>
          <w:lang w:bidi="ar-JO"/>
        </w:rPr>
        <w:t></w:t>
      </w:r>
      <w:r w:rsidRPr="00001A51">
        <w:rPr>
          <w:rFonts w:ascii="Arabic Transparent" w:hAnsi="Arabic Transparent" w:cs="Arabic Transparent"/>
          <w:sz w:val="28"/>
          <w:szCs w:val="28"/>
          <w:rtl/>
          <w:lang w:bidi="ar-JO"/>
        </w:rPr>
        <w:t xml:space="preserve"> موجب التأليف فأعطى عدي بن حاتم من أبل الصدقة ورأى سيدنا عمر </w:t>
      </w:r>
      <w:r w:rsidRPr="00001A51">
        <w:rPr>
          <w:rFonts w:ascii="AGA Arabesque" w:hAnsi="AGA Arabesque" w:cs="AGA Arabesque"/>
          <w:sz w:val="28"/>
          <w:szCs w:val="28"/>
          <w:lang w:bidi="ar-JO"/>
        </w:rPr>
        <w:t></w:t>
      </w:r>
      <w:r w:rsidRPr="00001A51">
        <w:rPr>
          <w:rFonts w:ascii="Arabic Transparent" w:hAnsi="Arabic Transparent" w:cs="Arabic Transparent"/>
          <w:sz w:val="28"/>
          <w:szCs w:val="28"/>
          <w:rtl/>
          <w:lang w:bidi="ar-JO"/>
        </w:rPr>
        <w:t xml:space="preserve"> انقطاع موجب التأليف فترك العمل بهذا السهم فالحكم يتغير وفق أوصاف الحال المستفتى عنه </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400"/>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w:t>
      </w:r>
    </w:p>
    <w:p w14:paraId="2A5071CD" w14:textId="6B2A9305" w:rsidR="00837F2F" w:rsidRPr="00001A51" w:rsidRDefault="004E383D" w:rsidP="00837F2F">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b/>
          <w:bCs/>
          <w:sz w:val="28"/>
          <w:szCs w:val="28"/>
          <w:rtl/>
          <w:lang w:bidi="ar-JO"/>
        </w:rPr>
        <w:t xml:space="preserve">4- تغيّر العادة: </w:t>
      </w:r>
      <w:r w:rsidR="00CE1A95" w:rsidRPr="00001A51">
        <w:rPr>
          <w:rFonts w:ascii="Arabic Transparent" w:hAnsi="Arabic Transparent" w:cs="Arabic Transparent" w:hint="cs"/>
          <w:sz w:val="28"/>
          <w:szCs w:val="28"/>
          <w:rtl/>
          <w:lang w:bidi="ar-JO"/>
        </w:rPr>
        <w:t>"</w:t>
      </w:r>
      <w:r w:rsidRPr="00001A51">
        <w:rPr>
          <w:rFonts w:ascii="Arabic Transparent" w:hAnsi="Arabic Transparent" w:cs="Arabic Transparent"/>
          <w:sz w:val="28"/>
          <w:szCs w:val="28"/>
          <w:rtl/>
          <w:lang w:bidi="ar-JO"/>
        </w:rPr>
        <w:t>هي ما واظب عليه أكثر الناس من قول، أو فعل، أو ترك، أو تصرف، وساروا عليه في جميع البلدان، أو في بعضها، سواء أكان ذلك في جميع العصور، أو في عصر معين مما كان قائماً عند التصرف ولم يخالف الشرع، ولم يُصرح بخلافه"</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401"/>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b/>
          <w:bCs/>
          <w:sz w:val="28"/>
          <w:szCs w:val="28"/>
          <w:rtl/>
          <w:lang w:bidi="ar-JO"/>
        </w:rPr>
        <w:t xml:space="preserve"> </w:t>
      </w:r>
      <w:r w:rsidRPr="00001A51">
        <w:rPr>
          <w:rFonts w:ascii="Arabic Transparent" w:hAnsi="Arabic Transparent" w:cs="Arabic Transparent"/>
          <w:sz w:val="28"/>
          <w:szCs w:val="28"/>
          <w:rtl/>
          <w:lang w:bidi="ar-JO"/>
        </w:rPr>
        <w:t>وشدد الفقهاء على ضرورة معرفة المفتي للعادات الجارية قبل إصدار الفتوى ما قال القرافي:</w:t>
      </w:r>
      <w:r w:rsidR="00151AED" w:rsidRPr="00001A51">
        <w:rPr>
          <w:rFonts w:ascii="Arabic Transparent" w:hAnsi="Arabic Transparent" w:cs="Arabic Transparent"/>
          <w:sz w:val="28"/>
          <w:szCs w:val="28"/>
          <w:rtl/>
          <w:lang w:bidi="ar-JO"/>
        </w:rPr>
        <w:t xml:space="preserve"> "</w:t>
      </w:r>
      <w:r w:rsidRPr="00001A51">
        <w:rPr>
          <w:rFonts w:ascii="Arabic Transparent" w:hAnsi="Arabic Transparent" w:cs="Arabic Transparent"/>
          <w:sz w:val="28"/>
          <w:szCs w:val="28"/>
          <w:rtl/>
          <w:lang w:bidi="ar-JO"/>
        </w:rPr>
        <w:t xml:space="preserve">إن إجراء الأحكام التي مدركها </w:t>
      </w:r>
      <w:r w:rsidR="00837F2F" w:rsidRPr="00001A51">
        <w:rPr>
          <w:rFonts w:ascii="Arabic Transparent" w:hAnsi="Arabic Transparent" w:cs="Arabic Transparent"/>
          <w:sz w:val="28"/>
          <w:szCs w:val="28"/>
          <w:rtl/>
          <w:lang w:bidi="ar-JO"/>
        </w:rPr>
        <w:br w:type="page"/>
      </w:r>
    </w:p>
    <w:p w14:paraId="7DCEE1B9" w14:textId="39130916" w:rsidR="004E383D" w:rsidRPr="00001A51" w:rsidRDefault="004E383D" w:rsidP="004E383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العوائد مع تغير تلك العوائد: خلاف ‌الإجماع ‌وجهالة ‌في ‌الدين، بل كل ما هو في الشريعة يتبع العوائد: يتغير الحكم فيه عند تغير العادة إلى ما تقتضيه العادة المتجددة "</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402"/>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xml:space="preserve"> وضرب المثل في كتاب الفروق على ذلك بتغيّر العملة المتعارف عليها، والعيوب المعتبرة في المبيع، حيث قال:</w:t>
      </w:r>
      <w:r w:rsidR="00151AED" w:rsidRPr="00001A51">
        <w:rPr>
          <w:rFonts w:ascii="Arabic Transparent" w:hAnsi="Arabic Transparent" w:cs="Arabic Transparent"/>
          <w:sz w:val="28"/>
          <w:szCs w:val="28"/>
          <w:rtl/>
          <w:lang w:bidi="ar-JO"/>
        </w:rPr>
        <w:t xml:space="preserve"> "</w:t>
      </w:r>
      <w:r w:rsidRPr="00001A51">
        <w:rPr>
          <w:rFonts w:ascii="Arabic Transparent" w:hAnsi="Arabic Transparent" w:cs="Arabic Transparent"/>
          <w:sz w:val="28"/>
          <w:szCs w:val="28"/>
          <w:rtl/>
          <w:lang w:bidi="ar-JO"/>
        </w:rPr>
        <w:t>الأحكام المترتبة على العوائد تدور معها كيفما دارت، وتبطل معها إذا بطلت كالنقود في المعاملات، والعيوب ‌في ‌البياعات، ونحو ذلك فلو تغيرت العادة في النقد والسكة إلى سكة أخرى لحمل الثمن في البيع عند الإطلاق على السكة التي تجددت العادة بها دون ما قبلها، وكذلك إذا كان الشيء عيباً في الثياب في عادة الناس، رددنا به المبيع فإذا تغيرت العادة وصار ذلك المكروه محبوباً موجباً لزيادة الثمن لم ترد به"</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403"/>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xml:space="preserve"> وكذلك التفريق بين الصيغ الصريحة والكنايات في الطلاق، وإلى تقدير الموازين وغيرها</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404"/>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xml:space="preserve">. </w:t>
      </w:r>
    </w:p>
    <w:p w14:paraId="66DEF126" w14:textId="2AE06B01" w:rsidR="003749C6" w:rsidRPr="00001A51" w:rsidRDefault="005D7B91" w:rsidP="00837F2F">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وقد تابع ابن القيم المالكية في التنبيه إلى ضرورة الالتفات إلى عادات الناس عند الإفتاء حيث قال:</w:t>
      </w:r>
      <w:r w:rsidR="00151AED"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ومن أفتى الناس بمجرد المنقول في الكتب على اختلاف عرفهم وعوائدهم وأزمنتهم وأمكنتهم وأحوالهم وقرائن أحوالهم فقد ‌ضلَّ ‌وأضلَّ، وكانت جنايته على الدين أعظم من جناية من طَبب الناس كلهم على اختلاف بلادهم وعوائدهم وأزمنتهم وطبائعهم بما في كتاب من كتب الطب على أبدانهم"</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405"/>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xml:space="preserve"> وهذا من أسباب تفاوت المفتين عند تحقيق المناط الخاص، حيث ينتشر عنه قول يصلح لحال دون حال، أو زمان دون زمان، أو مكان دون مكان، أو أشخاص محددين، وإنَّ هذه الأحكام المترتبة على الأوصاف والقرائن تدور معها أينما دارت</w:t>
      </w:r>
      <w:r w:rsidR="004E383D" w:rsidRPr="00001A51">
        <w:rPr>
          <w:rFonts w:ascii="Arabic Transparent" w:hAnsi="Arabic Transparent" w:cs="Arabic Transparent"/>
          <w:sz w:val="28"/>
          <w:szCs w:val="28"/>
          <w:vertAlign w:val="superscript"/>
          <w:rtl/>
          <w:lang w:bidi="ar-JO"/>
        </w:rPr>
        <w:t xml:space="preserve"> (</w:t>
      </w:r>
      <w:r w:rsidR="004E383D" w:rsidRPr="00001A51">
        <w:rPr>
          <w:rFonts w:ascii="Arabic Transparent" w:hAnsi="Arabic Transparent" w:cs="Arabic Transparent"/>
          <w:sz w:val="28"/>
          <w:szCs w:val="28"/>
          <w:vertAlign w:val="superscript"/>
          <w:rtl/>
          <w:lang w:bidi="ar-JO"/>
        </w:rPr>
        <w:footnoteReference w:id="406"/>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w:t>
      </w:r>
    </w:p>
    <w:p w14:paraId="6503A1D2" w14:textId="77777777" w:rsidR="004E383D" w:rsidRPr="00001A51" w:rsidRDefault="004E383D" w:rsidP="004E383D">
      <w:pPr>
        <w:spacing w:after="0" w:line="360" w:lineRule="auto"/>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الفرع الثاني: بالنظر إلى مجتهد التحقيق:</w:t>
      </w:r>
    </w:p>
    <w:p w14:paraId="788B2390" w14:textId="61FCE56F" w:rsidR="00837F2F" w:rsidRPr="00001A51" w:rsidRDefault="005D7B91" w:rsidP="00837F2F">
      <w:pPr>
        <w:spacing w:after="0" w:line="360" w:lineRule="auto"/>
        <w:jc w:val="both"/>
        <w:rPr>
          <w:rFonts w:ascii="Arabic Transparent" w:hAnsi="Arabic Transparent" w:cs="Arabic Transparent"/>
          <w:sz w:val="28"/>
          <w:szCs w:val="28"/>
          <w:rtl/>
          <w:lang w:val="en-AE" w:bidi="ar-JO"/>
        </w:rPr>
      </w:pPr>
      <w:r w:rsidRPr="00001A51">
        <w:rPr>
          <w:rFonts w:ascii="Arabic Transparent" w:hAnsi="Arabic Transparent" w:cs="Arabic Transparent"/>
          <w:sz w:val="28"/>
          <w:szCs w:val="28"/>
          <w:rtl/>
          <w:lang w:val="en-AE" w:bidi="ar-JO"/>
        </w:rPr>
        <w:t xml:space="preserve">     </w:t>
      </w:r>
      <w:r w:rsidR="004E383D" w:rsidRPr="00001A51">
        <w:rPr>
          <w:rFonts w:ascii="Arabic Transparent" w:hAnsi="Arabic Transparent" w:cs="Arabic Transparent"/>
          <w:sz w:val="28"/>
          <w:szCs w:val="28"/>
          <w:rtl/>
          <w:lang w:val="en-AE" w:bidi="ar-JO"/>
        </w:rPr>
        <w:t xml:space="preserve">هناك العديد من العلماء الذين تحدثوا حول تفاوت بالنظر إلى المجتهد، فالنووي يبين أنَّ من أسباب التفاوت في الأحكام، </w:t>
      </w:r>
      <w:r w:rsidR="00837F2F" w:rsidRPr="00001A51">
        <w:rPr>
          <w:rFonts w:ascii="Arabic Transparent" w:hAnsi="Arabic Transparent" w:cs="Arabic Transparent" w:hint="cs"/>
          <w:sz w:val="28"/>
          <w:szCs w:val="28"/>
          <w:rtl/>
          <w:lang w:val="en-AE" w:bidi="ar-JO"/>
        </w:rPr>
        <w:t>"</w:t>
      </w:r>
      <w:r w:rsidR="004E383D" w:rsidRPr="00001A51">
        <w:rPr>
          <w:rFonts w:ascii="Arabic Transparent" w:hAnsi="Arabic Transparent" w:cs="Arabic Transparent"/>
          <w:sz w:val="28"/>
          <w:szCs w:val="28"/>
          <w:rtl/>
          <w:lang w:val="en-AE" w:bidi="ar-JO"/>
        </w:rPr>
        <w:t>التفاوت بين المجتهدين فيها</w:t>
      </w:r>
      <w:r w:rsidR="00837F2F" w:rsidRPr="00001A51">
        <w:rPr>
          <w:rFonts w:ascii="Arabic Transparent" w:hAnsi="Arabic Transparent" w:cs="Arabic Transparent" w:hint="cs"/>
          <w:sz w:val="28"/>
          <w:szCs w:val="28"/>
          <w:rtl/>
          <w:lang w:val="en-AE" w:bidi="ar-JO"/>
        </w:rPr>
        <w:t>"</w:t>
      </w:r>
      <w:r w:rsidR="004E383D" w:rsidRPr="00001A51">
        <w:rPr>
          <w:rFonts w:ascii="Arabic Transparent" w:hAnsi="Arabic Transparent" w:cs="Arabic Transparent"/>
          <w:sz w:val="28"/>
          <w:szCs w:val="28"/>
          <w:vertAlign w:val="superscript"/>
          <w:rtl/>
          <w:lang w:val="en-AE" w:bidi="ar-JO"/>
        </w:rPr>
        <w:t>(</w:t>
      </w:r>
      <w:r w:rsidR="004E383D" w:rsidRPr="00001A51">
        <w:rPr>
          <w:rFonts w:ascii="Arabic Transparent" w:hAnsi="Arabic Transparent" w:cs="Arabic Transparent"/>
          <w:sz w:val="28"/>
          <w:szCs w:val="28"/>
          <w:vertAlign w:val="superscript"/>
          <w:rtl/>
          <w:lang w:val="en-AE" w:bidi="ar-JO"/>
        </w:rPr>
        <w:footnoteReference w:id="407"/>
      </w:r>
      <w:r w:rsidR="004E383D" w:rsidRPr="00001A51">
        <w:rPr>
          <w:rFonts w:ascii="Arabic Transparent" w:hAnsi="Arabic Transparent" w:cs="Arabic Transparent"/>
          <w:sz w:val="28"/>
          <w:szCs w:val="28"/>
          <w:vertAlign w:val="superscript"/>
          <w:rtl/>
          <w:lang w:val="en-AE" w:bidi="ar-JO"/>
        </w:rPr>
        <w:t>)</w:t>
      </w:r>
      <w:r w:rsidR="004E383D" w:rsidRPr="00001A51">
        <w:rPr>
          <w:rFonts w:ascii="Arabic Transparent" w:hAnsi="Arabic Transparent" w:cs="Arabic Transparent"/>
          <w:sz w:val="28"/>
          <w:szCs w:val="28"/>
          <w:rtl/>
          <w:lang w:val="en-AE" w:bidi="ar-JO"/>
        </w:rPr>
        <w:t xml:space="preserve">، وكذلك نسب الزحيلي التفاوت بين المجتهدين إلى الكثير من الأسباب، حيث قال: "وإما بسبب ‌التفاوت ‌بين ‌المجتهدين في كثرة أو قلة </w:t>
      </w:r>
      <w:r w:rsidR="004E383D" w:rsidRPr="00001A51">
        <w:rPr>
          <w:rFonts w:ascii="Arabic Transparent" w:hAnsi="Arabic Transparent" w:cs="Arabic Transparent"/>
          <w:sz w:val="28"/>
          <w:szCs w:val="28"/>
          <w:rtl/>
          <w:lang w:val="en-AE" w:bidi="ar-JO"/>
        </w:rPr>
        <w:lastRenderedPageBreak/>
        <w:t>الاعتماد على مصدر تشريعي، أو لمراعاة المصالح والحاجات والأعراف المتجددة المتطورة"</w:t>
      </w:r>
      <w:r w:rsidR="004E383D" w:rsidRPr="00001A51">
        <w:rPr>
          <w:rFonts w:ascii="Arabic Transparent" w:hAnsi="Arabic Transparent" w:cs="Arabic Transparent"/>
          <w:sz w:val="28"/>
          <w:szCs w:val="28"/>
          <w:vertAlign w:val="superscript"/>
          <w:rtl/>
          <w:lang w:val="en-AE" w:bidi="ar-JO"/>
        </w:rPr>
        <w:t>(</w:t>
      </w:r>
      <w:r w:rsidR="004E383D" w:rsidRPr="00001A51">
        <w:rPr>
          <w:rFonts w:ascii="Arabic Transparent" w:hAnsi="Arabic Transparent" w:cs="Arabic Transparent"/>
          <w:sz w:val="28"/>
          <w:szCs w:val="28"/>
          <w:vertAlign w:val="superscript"/>
          <w:rtl/>
          <w:lang w:val="en-AE" w:bidi="ar-JO"/>
        </w:rPr>
        <w:footnoteReference w:id="408"/>
      </w:r>
      <w:r w:rsidR="004E383D" w:rsidRPr="00001A51">
        <w:rPr>
          <w:rFonts w:ascii="Arabic Transparent" w:hAnsi="Arabic Transparent" w:cs="Arabic Transparent"/>
          <w:sz w:val="28"/>
          <w:szCs w:val="28"/>
          <w:vertAlign w:val="superscript"/>
          <w:rtl/>
          <w:lang w:val="en-AE" w:bidi="ar-JO"/>
        </w:rPr>
        <w:t>)</w:t>
      </w:r>
      <w:r w:rsidR="00ED53A5" w:rsidRPr="00001A51">
        <w:rPr>
          <w:rFonts w:ascii="Arabic Transparent" w:hAnsi="Arabic Transparent" w:cs="Arabic Transparent" w:hint="cs"/>
          <w:sz w:val="28"/>
          <w:szCs w:val="28"/>
          <w:rtl/>
          <w:lang w:val="en-AE" w:bidi="ar-JO"/>
        </w:rPr>
        <w:t>،</w:t>
      </w:r>
      <w:r w:rsidR="00837F2F" w:rsidRPr="00001A51">
        <w:rPr>
          <w:rFonts w:ascii="Arabic Transparent" w:hAnsi="Arabic Transparent" w:cs="Arabic Transparent"/>
          <w:sz w:val="28"/>
          <w:szCs w:val="28"/>
          <w:rtl/>
          <w:lang w:val="en-AE" w:bidi="ar-JO"/>
        </w:rPr>
        <w:br w:type="page"/>
      </w:r>
    </w:p>
    <w:p w14:paraId="5763E289" w14:textId="31AA97B7" w:rsidR="004E383D" w:rsidRPr="00001A51" w:rsidRDefault="004E383D" w:rsidP="004E383D">
      <w:pPr>
        <w:spacing w:after="0" w:line="360" w:lineRule="auto"/>
        <w:jc w:val="both"/>
        <w:rPr>
          <w:rFonts w:ascii="Arabic Transparent" w:hAnsi="Arabic Transparent" w:cs="Arabic Transparent"/>
          <w:sz w:val="28"/>
          <w:szCs w:val="28"/>
          <w:rtl/>
          <w:lang w:val="en-AE" w:bidi="ar-JO"/>
        </w:rPr>
      </w:pPr>
      <w:r w:rsidRPr="00001A51">
        <w:rPr>
          <w:rFonts w:ascii="Arabic Transparent" w:hAnsi="Arabic Transparent" w:cs="Arabic Transparent"/>
          <w:sz w:val="28"/>
          <w:szCs w:val="28"/>
          <w:rtl/>
          <w:lang w:val="en-AE" w:bidi="ar-JO"/>
        </w:rPr>
        <w:t>وغيرها من الأسباب وبين أن منبع التفاوت والاختلاف بين المجتهدين</w:t>
      </w:r>
      <w:r w:rsidR="00151AED" w:rsidRPr="00001A51">
        <w:rPr>
          <w:rFonts w:ascii="Arabic Transparent" w:hAnsi="Arabic Transparent" w:cs="Arabic Transparent"/>
          <w:sz w:val="28"/>
          <w:szCs w:val="28"/>
          <w:rtl/>
          <w:lang w:val="en-AE" w:bidi="ar-JO"/>
        </w:rPr>
        <w:t xml:space="preserve"> "</w:t>
      </w:r>
      <w:r w:rsidRPr="00001A51">
        <w:rPr>
          <w:rFonts w:ascii="Arabic Transparent" w:hAnsi="Arabic Transparent" w:cs="Arabic Transparent"/>
          <w:sz w:val="28"/>
          <w:szCs w:val="28"/>
          <w:rtl/>
          <w:lang w:val="en-AE" w:bidi="ar-JO"/>
        </w:rPr>
        <w:t>هو تفاوت الأفكار والعقول البشرية في فهم النصوص واستنباط الأحكام، وإدراك أسرار التشريع وعلل الأحكام الشرعية"</w:t>
      </w:r>
      <w:r w:rsidRPr="00001A51">
        <w:rPr>
          <w:rFonts w:ascii="Arabic Transparent" w:hAnsi="Arabic Transparent" w:cs="Arabic Transparent"/>
          <w:sz w:val="28"/>
          <w:szCs w:val="28"/>
          <w:vertAlign w:val="superscript"/>
          <w:rtl/>
          <w:lang w:val="en-AE" w:bidi="ar-JO"/>
        </w:rPr>
        <w:t>(</w:t>
      </w:r>
      <w:r w:rsidRPr="00001A51">
        <w:rPr>
          <w:rFonts w:ascii="Arabic Transparent" w:hAnsi="Arabic Transparent" w:cs="Arabic Transparent"/>
          <w:sz w:val="28"/>
          <w:szCs w:val="28"/>
          <w:vertAlign w:val="superscript"/>
          <w:rtl/>
          <w:lang w:val="en-AE" w:bidi="ar-JO"/>
        </w:rPr>
        <w:footnoteReference w:id="409"/>
      </w:r>
      <w:r w:rsidRPr="00001A51">
        <w:rPr>
          <w:rFonts w:ascii="Arabic Transparent" w:hAnsi="Arabic Transparent" w:cs="Arabic Transparent"/>
          <w:sz w:val="28"/>
          <w:szCs w:val="28"/>
          <w:vertAlign w:val="superscript"/>
          <w:rtl/>
          <w:lang w:val="en-AE" w:bidi="ar-JO"/>
        </w:rPr>
        <w:t>)</w:t>
      </w:r>
      <w:r w:rsidRPr="00001A51">
        <w:rPr>
          <w:rFonts w:ascii="Arabic Transparent" w:hAnsi="Arabic Transparent" w:cs="Arabic Transparent"/>
          <w:sz w:val="28"/>
          <w:szCs w:val="28"/>
          <w:rtl/>
          <w:lang w:val="en-AE" w:bidi="ar-JO"/>
        </w:rPr>
        <w:t xml:space="preserve"> وبعد الاستقراء تبين أن التفاوت بالنظر إلى المجتهد يدور حول الاختلاف حول منهجية الاجتهاد في النازلة المعاصرة والثاني: يدور حول مناهج الاجتهاد في المعاملات المالية المعاصرة، وهما على قسمين، كما يأتي:</w:t>
      </w:r>
    </w:p>
    <w:p w14:paraId="2DF6752B" w14:textId="77777777" w:rsidR="004E383D" w:rsidRPr="00001A51" w:rsidRDefault="004E383D" w:rsidP="004E383D">
      <w:pPr>
        <w:spacing w:after="0" w:line="360" w:lineRule="auto"/>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القسم الأول: ما يعود إلى منهجية الاجتهاد في النازلة المعاصرة</w:t>
      </w:r>
    </w:p>
    <w:p w14:paraId="1F5A33C3" w14:textId="1474584A" w:rsidR="004E383D" w:rsidRPr="00001A51" w:rsidRDefault="005D7B91" w:rsidP="003749C6">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 xml:space="preserve">يقصد بمنهجية الاجتهاد: </w:t>
      </w:r>
      <w:r w:rsidR="00837F2F" w:rsidRPr="00001A51">
        <w:rPr>
          <w:rFonts w:ascii="Arabic Transparent" w:hAnsi="Arabic Transparent" w:cs="Arabic Transparent" w:hint="cs"/>
          <w:sz w:val="28"/>
          <w:szCs w:val="28"/>
          <w:rtl/>
          <w:lang w:bidi="ar-JO"/>
        </w:rPr>
        <w:t>"</w:t>
      </w:r>
      <w:r w:rsidR="004E383D" w:rsidRPr="00001A51">
        <w:rPr>
          <w:rFonts w:ascii="Arabic Transparent" w:hAnsi="Arabic Transparent" w:cs="Arabic Transparent"/>
          <w:sz w:val="28"/>
          <w:szCs w:val="28"/>
          <w:rtl/>
          <w:lang w:bidi="ar-JO"/>
        </w:rPr>
        <w:t>جملة الخطوات العملية التي يسلكها المجتهد لدراسة الواقعة الجديدة وصولاً إلى الحكم الشرعي الذي يتناسب معها</w:t>
      </w:r>
      <w:r w:rsidR="00837F2F" w:rsidRPr="00001A51">
        <w:rPr>
          <w:rFonts w:ascii="Arabic Transparent" w:hAnsi="Arabic Transparent" w:cs="Arabic Transparent" w:hint="cs"/>
          <w:sz w:val="28"/>
          <w:szCs w:val="28"/>
          <w:rtl/>
          <w:lang w:bidi="ar-JO"/>
        </w:rPr>
        <w:t>"</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410"/>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xml:space="preserve">، ففي بعض المراحل التي يمر بها المجتهد يقع خلاف مع غيره من المجتهدين، وبالمحصلة يحدث التفاوت في تحقيق المناط الخاص وتختلف الفتاوى حول الواقعة المالية الواحدة، وبيانها كما يأتي: </w:t>
      </w:r>
    </w:p>
    <w:p w14:paraId="62809435" w14:textId="77777777" w:rsidR="004E383D" w:rsidRPr="00001A51" w:rsidRDefault="004E383D" w:rsidP="004E383D">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أولاً: عدم التصور الشامل للواقعة:</w:t>
      </w:r>
    </w:p>
    <w:p w14:paraId="3F02DAB6" w14:textId="77777777" w:rsidR="00B72075" w:rsidRPr="00001A51" w:rsidRDefault="005D7B91" w:rsidP="00F04ECB">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تبين مما سبق أن التصور الفقهي يكون من خلال التعرف على التفاصيل المتعلقة بالنازلة من حيث موضوعها، وماهيتها، والظروف المحيطة بها، وأثرها</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411"/>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xml:space="preserve"> بناء عليه لابد من فهم النازلة بتفصيلها وتحليلها إن كانت مركبة من عدد من المسائل المترابطة، أو كان الحكم فيها متوقف على بيان حكم مسألة أخرى، كما أن بعضها يحتوي على شروط، أو موانع تغيُّر الحكم العام على المسألة.</w:t>
      </w: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وتصور المسألة بحد ذاته لا يكفي للحكم عليها، بل لابد من إنشاء تصور شامل لما يحيط بالنازلة من ملابسات وقرائن أحوال وظروف، قال ابن القيم: "لا يتمكن المفتي ولا الحاكم من الفتوى والحكم بالحق إلا بنوعين من الفهم أحدهما: فهم الواقع والفقه فيه واستنباط علم حقيقة ما وقع بالقرائن والأمارات والعلامات حتى يحيط علماً. النوع الثاني</w:t>
      </w: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 xml:space="preserve">فهم الواجب في الواقع، وهو فهم حكم الله الذي حكم به في كتابه على لسان رسوله في الواقع، ثم يطبق أحدهما على الآخر؛ فمن بذل جهده، واستفرغ وسعه في ذلك لم يعدم آجرين أو أجراً... ومن تأمل الشريعة وقضايا الصحابة وجدهما طافحة بهذا، ومن سلك غير هذا أضاع على الناس حقوقهم، ونَسب إلى الشريعة </w:t>
      </w:r>
      <w:r w:rsidR="004E383D" w:rsidRPr="00001A51">
        <w:rPr>
          <w:rFonts w:ascii="Arabic Transparent" w:hAnsi="Arabic Transparent" w:cs="Arabic Transparent"/>
          <w:sz w:val="28"/>
          <w:szCs w:val="28"/>
          <w:rtl/>
          <w:lang w:bidi="ar-JO"/>
        </w:rPr>
        <w:lastRenderedPageBreak/>
        <w:t xml:space="preserve">التي بعث الله بها رسوله" </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412"/>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xml:space="preserve"> وبعد تحليل كلام ابن القيم نجد أن المجتهد في قضايا المعاملات المالية عليه أن يسعى لإيجاد التصور </w:t>
      </w:r>
    </w:p>
    <w:p w14:paraId="24FBB34B" w14:textId="77777777" w:rsidR="00B72075" w:rsidRPr="00001A51" w:rsidRDefault="00B72075">
      <w:pPr>
        <w:bidi w:val="0"/>
        <w:spacing w:after="0" w:line="240" w:lineRule="auto"/>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br w:type="page"/>
      </w:r>
    </w:p>
    <w:p w14:paraId="42095DD1" w14:textId="6B8D40CC" w:rsidR="004E383D" w:rsidRPr="00001A51" w:rsidRDefault="004E383D" w:rsidP="00F04ECB">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الشامل لحدود المسألة حتى لا يقع في الخلط، فيجمع الحكم الشرعي على الواقعة غير المناسبة له، ومثاله كمن ينزل أحكام الحوالة الفقهية على الحوالة المصرفية، وينزل أحكام الوديعة الفقهية على الوديعة المصرفية، والسبب في ذلك يرجع إلى عدم التصور الشامل للواقعة، والاعتماد على تشابه الأسماء والمصطلحات الفقهية مع المصطلحات المصرفية المعاصرة، حيث ينبه القرضاوي إلى ذلك عند حديثه عن الفتوى بين الانضباط والتسيب، فيقول: "المتأمل في بعض فقهاء العصر يجد بعضهم يجازف بالفتوى في أمور المعاملات الحديثة مثل التأمين بأنواعه، وأعمال البنوك، والأسهم، والسندات، وأصناف الشركات، فيحرم ويحلل دون أن يحيط بهذه الأشياء علماً، ولم يتمكن من دراستها جيداً، ومهما يكن علمه بالنصوص عظيماً ومعرفته بالأدلة واسعة، فإنَّ هذا لا يغني ما لم يؤيد ذلك معرفة بالواقعة المسئول عنها وفهمه لحقيقتها الراهنة"</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413"/>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xml:space="preserve"> </w:t>
      </w:r>
    </w:p>
    <w:p w14:paraId="1834986A" w14:textId="06BA238A" w:rsidR="00F04ECB" w:rsidRPr="00001A51" w:rsidRDefault="00ED53A5" w:rsidP="00F04ECB">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hint="cs"/>
          <w:sz w:val="28"/>
          <w:szCs w:val="28"/>
          <w:rtl/>
          <w:lang w:bidi="ar-JO"/>
        </w:rPr>
        <w:t xml:space="preserve">     </w:t>
      </w:r>
      <w:r w:rsidR="004E383D" w:rsidRPr="00001A51">
        <w:rPr>
          <w:rFonts w:ascii="Arabic Transparent" w:hAnsi="Arabic Transparent" w:cs="Arabic Transparent"/>
          <w:sz w:val="28"/>
          <w:szCs w:val="28"/>
          <w:rtl/>
          <w:lang w:bidi="ar-JO"/>
        </w:rPr>
        <w:t>ولا ضير أن يكون هناك مشاركة بين أصحاب الاختصاص والخبرة الفنية وبين المجتهدين من علماء الشريعة الإسلامية يساعدوهم في تصور الحقائق العلمية، حيث يقول ابن بيه</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414"/>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"فمن الأهميّة بمكان أن يبذُلَ الاقتصاديون الوَضعيون، والأطباء، وغيرهم من أصحاب الصنائع والتخصصات جهداً؛ لإيصال كلُ العناصر التي يتوفّرون عليها إلى زملائهم الشرعيين؛ ليحقق هؤلاء المناط لتنزيل الحكم على واقع العقد وعلى حقيقة الذات"</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415"/>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xml:space="preserve"> وطبيعة هذه العلاقة تَكمن في تصور المسائل المعاصرة واختبار صفات الأوصاف الصالحة ليعلّق عليها الحكم، وغير الصالحة ليعلّق الحكم على غيرها.</w:t>
      </w:r>
    </w:p>
    <w:p w14:paraId="38592331" w14:textId="4EA7E14C" w:rsidR="00C83898" w:rsidRPr="00001A51" w:rsidRDefault="005D7B91" w:rsidP="00C83898">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 xml:space="preserve">إنَّ الإفتاء في بعض النوازل والحوادث يَفتقر إلى التصور السليم، وهذا الضِّرب لا يستقيم إلا باجتهاد جماعيّ من كل التخصُّصات، حيث يقلّب المجتهدون النظر في وجوه المسألة، لا سيما إذا كانت من مستجدات الطب، أو الاقتصاد، أو الزراعة وغيرها، فإنَّ فَهم الواقع فيها يتوقّف على استشارة المتخصص وتقريره العلمي؛ فإذا تجلّى الأمر لأنظار الفقهاء استفرغوا وسعهم في استنباط حكم شرعي مناسب، على أن يُراعى في اجتهادهم الإنجاز الجماعي؛ لأنَّه أحرى </w:t>
      </w:r>
      <w:r w:rsidR="004E383D" w:rsidRPr="00001A51">
        <w:rPr>
          <w:rFonts w:ascii="Arabic Transparent" w:hAnsi="Arabic Transparent" w:cs="Arabic Transparent"/>
          <w:sz w:val="28"/>
          <w:szCs w:val="28"/>
          <w:rtl/>
          <w:lang w:bidi="ar-JO"/>
        </w:rPr>
        <w:lastRenderedPageBreak/>
        <w:t>بالصواب، وأقوم في العلم والعمل</w:t>
      </w:r>
      <w:r w:rsidR="00C83898" w:rsidRPr="00001A51">
        <w:rPr>
          <w:rFonts w:ascii="Arabic Transparent" w:hAnsi="Arabic Transparent" w:cs="Arabic Transparent" w:hint="cs"/>
          <w:sz w:val="28"/>
          <w:szCs w:val="28"/>
          <w:rtl/>
          <w:lang w:bidi="ar-JO"/>
        </w:rPr>
        <w:t>"</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416"/>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hint="cs"/>
          <w:sz w:val="28"/>
          <w:szCs w:val="28"/>
          <w:rtl/>
          <w:lang w:bidi="ar-JO"/>
        </w:rPr>
        <w:t>.</w:t>
      </w:r>
      <w:r w:rsidR="00C83898" w:rsidRPr="00001A51">
        <w:rPr>
          <w:rFonts w:ascii="Arabic Transparent" w:hAnsi="Arabic Transparent" w:cs="Arabic Transparent"/>
          <w:sz w:val="28"/>
          <w:szCs w:val="28"/>
          <w:rtl/>
          <w:lang w:bidi="ar-JO"/>
        </w:rPr>
        <w:br w:type="page"/>
      </w:r>
    </w:p>
    <w:p w14:paraId="392A32EF" w14:textId="09F92801" w:rsidR="00C83898" w:rsidRPr="00001A51" w:rsidRDefault="005D7B91" w:rsidP="00C83898">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 xml:space="preserve">ومن الضرورة بمكان أن لا يغترّ المجتهد بمسميات الوقائع الخادَّعة وقوالبها المزخرفة، حيث </w:t>
      </w:r>
      <w:r w:rsidR="00C83898" w:rsidRPr="00001A51">
        <w:rPr>
          <w:rFonts w:ascii="Arabic Transparent" w:hAnsi="Arabic Transparent" w:cs="Arabic Transparent" w:hint="cs"/>
          <w:sz w:val="28"/>
          <w:szCs w:val="28"/>
          <w:rtl/>
          <w:lang w:bidi="ar-JO"/>
        </w:rPr>
        <w:t>"</w:t>
      </w:r>
      <w:r w:rsidR="004E383D" w:rsidRPr="00001A51">
        <w:rPr>
          <w:rFonts w:ascii="Arabic Transparent" w:hAnsi="Arabic Transparent" w:cs="Arabic Transparent"/>
          <w:sz w:val="28"/>
          <w:szCs w:val="28"/>
          <w:rtl/>
          <w:lang w:bidi="ar-JO"/>
        </w:rPr>
        <w:t>إنَّ بعض الأحكام الشرعية تتعلق بالمقاصد والحقائق والمعاني لا بالألفاظ والمباني</w:t>
      </w:r>
      <w:r w:rsidR="00C83898" w:rsidRPr="00001A51">
        <w:rPr>
          <w:rFonts w:ascii="Arabic Transparent" w:hAnsi="Arabic Transparent" w:cs="Arabic Transparent" w:hint="cs"/>
          <w:sz w:val="28"/>
          <w:szCs w:val="28"/>
          <w:rtl/>
          <w:lang w:bidi="ar-JO"/>
        </w:rPr>
        <w:t>"</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417"/>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حيث قال ابن القيم -رحمه الله- فيمن لا يتصوّر المسألة بشكل صحيح</w:t>
      </w: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"وتارة تورد عليه المسألة الباطلة في دين الله في قالبٍ مزخرفٍ ولفظ حسن، فيُجيب بغير الصواب فيبادر إلى تسويغها وهي أبطل الباطل"</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418"/>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وهي كانت منتشرة بكثرة عند بداية ظهور التلفاز، والدخان، وشراب الشّعير، والفوائد البنكية، وغيرها، فتحدث فيها بعض العلماء، وأعلن حكماً شرعيّاً من غيرِ أنَّ يدرك حقيقتها بعد السماع من أهل الاختصاص فترتب عليه أنَّ تتفاوت الفتاوى في بعض الواقعات المعاصرة لذلك السبب.</w:t>
      </w:r>
    </w:p>
    <w:p w14:paraId="03756016" w14:textId="1DD2C05B" w:rsidR="004E383D" w:rsidRPr="00001A51" w:rsidRDefault="004E383D" w:rsidP="00C83898">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ثانياً: الاختلاف في التكييف الفقهي</w:t>
      </w:r>
      <w:r w:rsidR="005D7B91" w:rsidRPr="00001A51">
        <w:rPr>
          <w:rFonts w:ascii="Arabic Transparent" w:hAnsi="Arabic Transparent" w:cs="Arabic Transparent"/>
          <w:b/>
          <w:bCs/>
          <w:sz w:val="28"/>
          <w:szCs w:val="28"/>
          <w:rtl/>
          <w:lang w:bidi="ar-JO"/>
        </w:rPr>
        <w:t xml:space="preserve">: </w:t>
      </w:r>
    </w:p>
    <w:p w14:paraId="48F3DB92" w14:textId="38F2D9A0" w:rsidR="004E383D" w:rsidRPr="00001A51" w:rsidRDefault="005D7B91" w:rsidP="004E383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عرفنا سابقاً أن التكييف الفقهي المتعلق بالمعاملات يكون من خلال إلحاق الواقعة المالية المستجدة بأصل فقهي</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419"/>
      </w:r>
      <w:r w:rsidR="004E383D" w:rsidRPr="00001A51">
        <w:rPr>
          <w:rFonts w:ascii="Arabic Transparent" w:hAnsi="Arabic Transparent" w:cs="Arabic Transparent"/>
          <w:sz w:val="28"/>
          <w:szCs w:val="28"/>
          <w:vertAlign w:val="superscript"/>
          <w:rtl/>
          <w:lang w:bidi="ar-JO"/>
        </w:rPr>
        <w:t xml:space="preserve">) </w:t>
      </w:r>
      <w:r w:rsidR="004E383D" w:rsidRPr="00001A51">
        <w:rPr>
          <w:rFonts w:ascii="Arabic Transparent" w:hAnsi="Arabic Transparent" w:cs="Arabic Transparent"/>
          <w:sz w:val="28"/>
          <w:szCs w:val="28"/>
          <w:rtl/>
          <w:lang w:bidi="ar-JO"/>
        </w:rPr>
        <w:t>ومن أبرز أسباب التفاوت بين المجتهدين الاختلاف في التكييف الفقهي؛ لأنَّ المعاملات المالية تبنى على الإباحة فيتعين على المجتهد أن يلحق الواقعة المالية بأصل فقهي مباح ويبني الحكم وفق الأوصاف التي تغير حكم من الإباحة إلى التحريم، ويعتبر الدكتور القحطاني فسراً خطورة الخطأ في تكييف المناط، حيث قال: "والمتأمل في بعض الفتاوى المعاصرة الجانحة عن الصواب تتأكد لديه القناعة بأن الخطأ الذي وقع في بعض الفتاوى مرده إلى الخطأ في التكييف الفقهي السليم للواقعة المسؤول عنها، وإن حدث اختلاف في بعض أحكام تلك النوازل، فإن مرده في الغالب إلى اختلاف وجهات نظرهم في تصور النازلة وتكييفها التكييف الصحيح"</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420"/>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w:t>
      </w:r>
    </w:p>
    <w:p w14:paraId="2F7D4CC1" w14:textId="74F665B2" w:rsidR="000F5721" w:rsidRPr="00001A51" w:rsidRDefault="005D7B91" w:rsidP="000F5721">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 xml:space="preserve">يحدث الخلل في التكييف الفقهي من جهة قيام بعض العلماء بالتسرع بتكييف المسألة الجديدة، فيقول: ليس لها مثال سابق في الموروث الفقهي ليخرَّج عليه، فيفتح ذلك الباب أمام المتربصين إلى القول بأن الفقه الإسلامي يقف عاجزاً أمام بعض الصور الحديثة في المعاملات المالية، فيحكم على المسألة بناءً على المصالح والمفاسد والمآلات، وكان يكفيه أن يتوقف عن الاجتهاد فيها حتى </w:t>
      </w:r>
      <w:r w:rsidR="004E383D" w:rsidRPr="00001A51">
        <w:rPr>
          <w:rFonts w:ascii="Arabic Transparent" w:hAnsi="Arabic Transparent" w:cs="Arabic Transparent"/>
          <w:sz w:val="28"/>
          <w:szCs w:val="28"/>
          <w:rtl/>
          <w:lang w:bidi="ar-JO"/>
        </w:rPr>
        <w:lastRenderedPageBreak/>
        <w:t xml:space="preserve">تصدر بها قرارات المجامع الفقهية وجهات الفتوى الرسمية، لذا ينبغي عدم التسرع عند التكييف الفقهي، وممن يشير إلى هذا المعنى العطاوي، حيث قال: "علمنا أنّ بعض القضايا المعاصرة المعروضة </w:t>
      </w:r>
      <w:r w:rsidR="000F5721" w:rsidRPr="00001A51">
        <w:rPr>
          <w:rFonts w:ascii="Arabic Transparent" w:hAnsi="Arabic Transparent" w:cs="Arabic Transparent"/>
          <w:sz w:val="28"/>
          <w:szCs w:val="28"/>
          <w:rtl/>
          <w:lang w:bidi="ar-JO"/>
        </w:rPr>
        <w:br w:type="page"/>
      </w:r>
    </w:p>
    <w:p w14:paraId="558517C7" w14:textId="5788A05F" w:rsidR="004E383D" w:rsidRPr="00001A51" w:rsidRDefault="004E383D" w:rsidP="00F04ECB">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على النظر الفقهي قد تختلف عن القضايا التي نظر فيها الفقهاء السابقون من حيث الأسماء والعناوين لا من حيث الحقائق والمضامين؛ فهي تحمل أسماء جديدة لمسائل قديمة، وعلى العكس؛ فقد تكون تحمل الأسماء نفسها، ولكنّ حقائقها ومضامينها في هذا العصر مختلفة عن المسائل القديمة، لأنّه جدّ فيها أوصاف التي لم تكن موجودة في المعاملة القديمة، أو عُدِمت فيها أو تغيّرت بعض الأوصاف السابقة المؤثّرة في الحكم"</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421"/>
      </w:r>
      <w:r w:rsidRPr="00001A51">
        <w:rPr>
          <w:rFonts w:ascii="Arabic Transparent" w:hAnsi="Arabic Transparent" w:cs="Arabic Transparent"/>
          <w:sz w:val="28"/>
          <w:szCs w:val="28"/>
          <w:vertAlign w:val="superscript"/>
          <w:rtl/>
          <w:lang w:bidi="ar-JO"/>
        </w:rPr>
        <w:t>)</w:t>
      </w:r>
    </w:p>
    <w:p w14:paraId="385BB24B" w14:textId="7DA6BB49" w:rsidR="00F04ECB" w:rsidRPr="00001A51" w:rsidRDefault="00ED53A5" w:rsidP="000F5721">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hint="cs"/>
          <w:sz w:val="28"/>
          <w:szCs w:val="28"/>
          <w:rtl/>
          <w:lang w:bidi="ar-JO"/>
        </w:rPr>
        <w:t xml:space="preserve">      </w:t>
      </w:r>
      <w:r w:rsidR="004E383D" w:rsidRPr="00001A51">
        <w:rPr>
          <w:rFonts w:ascii="Arabic Transparent" w:hAnsi="Arabic Transparent" w:cs="Arabic Transparent"/>
          <w:sz w:val="28"/>
          <w:szCs w:val="28"/>
          <w:rtl/>
          <w:lang w:bidi="ar-JO"/>
        </w:rPr>
        <w:t>وذلك لا يعني أن نمنع النظر الخاص الذي تقتضيه طبيعة كل واقعة بحسب ما يظهر للمجتهد فيها، ولكن ينبغي تحري الدقة في إجراء التكييف الفقهي، ومثاله الت</w:t>
      </w:r>
      <w:r w:rsidR="00545BC7" w:rsidRPr="00001A51">
        <w:rPr>
          <w:rFonts w:ascii="Arabic Transparent" w:hAnsi="Arabic Transparent" w:cs="Arabic Transparent" w:hint="cs"/>
          <w:sz w:val="28"/>
          <w:szCs w:val="28"/>
          <w:rtl/>
          <w:lang w:bidi="ar-JO"/>
        </w:rPr>
        <w:t>ّ</w:t>
      </w:r>
      <w:r w:rsidR="004E383D" w:rsidRPr="00001A51">
        <w:rPr>
          <w:rFonts w:ascii="Arabic Transparent" w:hAnsi="Arabic Transparent" w:cs="Arabic Transparent"/>
          <w:sz w:val="28"/>
          <w:szCs w:val="28"/>
          <w:rtl/>
          <w:lang w:bidi="ar-JO"/>
        </w:rPr>
        <w:t>ور</w:t>
      </w:r>
      <w:r w:rsidR="00545BC7" w:rsidRPr="00001A51">
        <w:rPr>
          <w:rFonts w:ascii="Arabic Transparent" w:hAnsi="Arabic Transparent" w:cs="Arabic Transparent" w:hint="cs"/>
          <w:sz w:val="28"/>
          <w:szCs w:val="28"/>
          <w:rtl/>
          <w:lang w:bidi="ar-JO"/>
        </w:rPr>
        <w:t>ُّ</w:t>
      </w:r>
      <w:r w:rsidR="004E383D" w:rsidRPr="00001A51">
        <w:rPr>
          <w:rFonts w:ascii="Arabic Transparent" w:hAnsi="Arabic Transparent" w:cs="Arabic Transparent"/>
          <w:sz w:val="28"/>
          <w:szCs w:val="28"/>
          <w:rtl/>
          <w:lang w:bidi="ar-JO"/>
        </w:rPr>
        <w:t xml:space="preserve">ق المصرفي المنظم فمن قالوا بتحريمه، قاموا بتكييفه على </w:t>
      </w:r>
      <w:r w:rsidR="000F5721" w:rsidRPr="00001A51">
        <w:rPr>
          <w:rFonts w:ascii="Arabic Transparent" w:hAnsi="Arabic Transparent" w:cs="Arabic Transparent" w:hint="cs"/>
          <w:sz w:val="28"/>
          <w:szCs w:val="28"/>
          <w:rtl/>
          <w:lang w:bidi="ar-JO"/>
        </w:rPr>
        <w:t>"</w:t>
      </w:r>
      <w:r w:rsidR="004E383D" w:rsidRPr="00001A51">
        <w:rPr>
          <w:rFonts w:ascii="Arabic Transparent" w:hAnsi="Arabic Transparent" w:cs="Arabic Transparent"/>
          <w:sz w:val="28"/>
          <w:szCs w:val="28"/>
          <w:rtl/>
          <w:lang w:bidi="ar-JO"/>
        </w:rPr>
        <w:t>صورة بيوع العينة المحرمة</w:t>
      </w:r>
      <w:r w:rsidR="000F5721" w:rsidRPr="00001A51">
        <w:rPr>
          <w:rFonts w:ascii="Arabic Transparent" w:hAnsi="Arabic Transparent" w:cs="Arabic Transparent" w:hint="cs"/>
          <w:sz w:val="28"/>
          <w:szCs w:val="28"/>
          <w:rtl/>
          <w:lang w:bidi="ar-JO"/>
        </w:rPr>
        <w:t>"</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422"/>
      </w:r>
      <w:r w:rsidR="004E383D" w:rsidRPr="00001A51">
        <w:rPr>
          <w:rFonts w:ascii="Arabic Transparent" w:hAnsi="Arabic Transparent" w:cs="Arabic Transparent"/>
          <w:sz w:val="28"/>
          <w:szCs w:val="28"/>
          <w:vertAlign w:val="superscript"/>
          <w:rtl/>
          <w:lang w:bidi="ar-JO"/>
        </w:rPr>
        <w:t>)</w:t>
      </w:r>
      <w:r w:rsidR="006D4091" w:rsidRPr="00001A51">
        <w:rPr>
          <w:rFonts w:ascii="Arabic Transparent" w:hAnsi="Arabic Transparent" w:cs="Arabic Transparent" w:hint="cs"/>
          <w:sz w:val="28"/>
          <w:szCs w:val="28"/>
          <w:rtl/>
          <w:lang w:bidi="ar-JO"/>
        </w:rPr>
        <w:t xml:space="preserve">، </w:t>
      </w:r>
      <w:r w:rsidR="004E383D" w:rsidRPr="00001A51">
        <w:rPr>
          <w:rFonts w:ascii="Arabic Transparent" w:hAnsi="Arabic Transparent" w:cs="Arabic Transparent"/>
          <w:sz w:val="28"/>
          <w:szCs w:val="28"/>
          <w:rtl/>
          <w:lang w:bidi="ar-JO"/>
        </w:rPr>
        <w:t>ومن قالوا بإباحته</w:t>
      </w:r>
      <w:r w:rsidR="004E383D" w:rsidRPr="00001A51">
        <w:rPr>
          <w:rFonts w:ascii="Arabic Transparent" w:hAnsi="Arabic Transparent" w:cs="Arabic Transparent"/>
          <w:sz w:val="28"/>
          <w:szCs w:val="28"/>
          <w:vertAlign w:val="superscript"/>
          <w:rtl/>
          <w:lang w:bidi="ar-JO"/>
        </w:rPr>
        <w:t xml:space="preserve"> </w:t>
      </w:r>
      <w:r w:rsidR="004E383D" w:rsidRPr="00001A51">
        <w:rPr>
          <w:rFonts w:ascii="Arabic Transparent" w:hAnsi="Arabic Transparent" w:cs="Arabic Transparent"/>
          <w:sz w:val="28"/>
          <w:szCs w:val="28"/>
          <w:rtl/>
          <w:lang w:bidi="ar-JO"/>
        </w:rPr>
        <w:t xml:space="preserve">قاموا بتكييفه على عقد التورق الفردي الذي أجازه الفقهاء </w:t>
      </w:r>
      <w:r w:rsidR="000F5721" w:rsidRPr="00001A51">
        <w:rPr>
          <w:rFonts w:ascii="Arabic Transparent" w:hAnsi="Arabic Transparent" w:cs="Arabic Transparent" w:hint="cs"/>
          <w:sz w:val="28"/>
          <w:szCs w:val="28"/>
          <w:rtl/>
          <w:lang w:bidi="ar-JO"/>
        </w:rPr>
        <w:t>"</w:t>
      </w:r>
      <w:r w:rsidR="004E383D" w:rsidRPr="00001A51">
        <w:rPr>
          <w:rFonts w:ascii="Arabic Transparent" w:hAnsi="Arabic Transparent" w:cs="Arabic Transparent"/>
          <w:sz w:val="28"/>
          <w:szCs w:val="28"/>
          <w:rtl/>
          <w:lang w:bidi="ar-JO"/>
        </w:rPr>
        <w:t>للحاجة</w:t>
      </w:r>
      <w:r w:rsidR="000F5721" w:rsidRPr="00001A51">
        <w:rPr>
          <w:rFonts w:ascii="Arabic Transparent" w:hAnsi="Arabic Transparent" w:cs="Arabic Transparent" w:hint="cs"/>
          <w:sz w:val="28"/>
          <w:szCs w:val="28"/>
          <w:rtl/>
          <w:lang w:bidi="ar-JO"/>
        </w:rPr>
        <w:t>"</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423"/>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w:t>
      </w:r>
    </w:p>
    <w:p w14:paraId="60AB487A" w14:textId="77777777" w:rsidR="004E383D" w:rsidRPr="00001A51" w:rsidRDefault="004E383D" w:rsidP="004E383D">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ثالثاً: التقديرات المتباينة عند تحقيق المناط</w:t>
      </w:r>
    </w:p>
    <w:p w14:paraId="2608600A" w14:textId="7B5FBA20" w:rsidR="004E383D" w:rsidRPr="00001A51" w:rsidRDefault="005D7B91" w:rsidP="00F04ECB">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إن الاختلاف في تصور المسألة، أو تكييفها الفقهي، أو توصيفها، أو النظر إلى مآلاتها كلها أسباب تؤول في المحصلة إلى تفاوت تقدير المجتهدين عند تحقيق المناط الخاص التي تتعلق بالمسائل والواقعات المستجدة التي لا تقبل الحصر ولا العدد، حيث يقول الشهرستاني: "وبالجملة نعلم قطعاً ويقيناً أنَّ الحوادث والوقائع في العبادات، والتصرفات مما لا يقبل الحصر والعد، ونعلم قطعاً أنه لم يرد في كل حادثة نص، ولا يتصور ذلك أيضاً والنصوص إذا كانت متناهية والوقائع غير متناهية، وما يتناهى لا يضبطه ما يتناهى، عُلِم قطعاً أن الاجتهاد والقياس واجب الاعتبار، حتى يكون بصدد كل حادثة اجتهاد"</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424"/>
      </w:r>
      <w:r w:rsidR="004E383D" w:rsidRPr="00001A51">
        <w:rPr>
          <w:rFonts w:ascii="Arabic Transparent" w:hAnsi="Arabic Transparent" w:cs="Arabic Transparent"/>
          <w:sz w:val="28"/>
          <w:szCs w:val="28"/>
          <w:vertAlign w:val="superscript"/>
          <w:rtl/>
          <w:lang w:bidi="ar-JO"/>
        </w:rPr>
        <w:t>)</w:t>
      </w:r>
    </w:p>
    <w:p w14:paraId="01DA1474" w14:textId="77777777" w:rsidR="000F5721" w:rsidRPr="00001A51" w:rsidRDefault="005D7B91" w:rsidP="004E383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 xml:space="preserve">ومن الأمثلة التي ترد عليه، زكاة الحلي المستعمل، فهو متردد بين أصلين، الأول: أن الحلي ذهب كالنقد، وتجب فيه الزكاة، لأن الأصل في الذهب الزكاة، والأصل الثاني: أن الذهب </w:t>
      </w:r>
      <w:r w:rsidR="004E383D" w:rsidRPr="00001A51">
        <w:rPr>
          <w:rFonts w:ascii="Arabic Transparent" w:hAnsi="Arabic Transparent" w:cs="Arabic Transparent"/>
          <w:sz w:val="28"/>
          <w:szCs w:val="28"/>
          <w:rtl/>
          <w:lang w:bidi="ar-JO"/>
        </w:rPr>
        <w:lastRenderedPageBreak/>
        <w:t xml:space="preserve">المستعمل مقتنى، فلا تجب فيه الزكاة؛ لأنَّ الأصل عدم وجوب الزكاة في المقتنيات، فمن حقق مناط الحلي </w:t>
      </w:r>
    </w:p>
    <w:p w14:paraId="4C2B1FB6" w14:textId="77777777" w:rsidR="000F5721" w:rsidRPr="00001A51" w:rsidRDefault="000F5721">
      <w:pPr>
        <w:bidi w:val="0"/>
        <w:spacing w:after="0" w:line="240" w:lineRule="auto"/>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br w:type="page"/>
      </w:r>
    </w:p>
    <w:p w14:paraId="3AFED424" w14:textId="070FE10F" w:rsidR="004E383D" w:rsidRPr="00001A51" w:rsidRDefault="004E383D" w:rsidP="004E383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بأنه ذهب أجرى أصل الوجوب، وقال</w:t>
      </w:r>
      <w:r w:rsidR="000F5721" w:rsidRPr="00001A51">
        <w:rPr>
          <w:rFonts w:ascii="Arabic Transparent" w:hAnsi="Arabic Transparent" w:cs="Arabic Transparent" w:hint="cs"/>
          <w:sz w:val="28"/>
          <w:szCs w:val="28"/>
          <w:rtl/>
          <w:lang w:bidi="ar-JO"/>
        </w:rPr>
        <w:t>:</w:t>
      </w:r>
      <w:r w:rsidRPr="00001A51">
        <w:rPr>
          <w:rFonts w:ascii="Arabic Transparent" w:hAnsi="Arabic Transparent" w:cs="Arabic Transparent"/>
          <w:sz w:val="28"/>
          <w:szCs w:val="28"/>
          <w:rtl/>
          <w:lang w:bidi="ar-JO"/>
        </w:rPr>
        <w:t xml:space="preserve"> </w:t>
      </w:r>
      <w:r w:rsidR="000F5721" w:rsidRPr="00001A51">
        <w:rPr>
          <w:rFonts w:ascii="Arabic Transparent" w:hAnsi="Arabic Transparent" w:cs="Arabic Transparent" w:hint="cs"/>
          <w:sz w:val="28"/>
          <w:szCs w:val="28"/>
          <w:rtl/>
          <w:lang w:bidi="ar-JO"/>
        </w:rPr>
        <w:t>"</w:t>
      </w:r>
      <w:r w:rsidRPr="00001A51">
        <w:rPr>
          <w:rFonts w:ascii="Arabic Transparent" w:hAnsi="Arabic Transparent" w:cs="Arabic Transparent"/>
          <w:sz w:val="28"/>
          <w:szCs w:val="28"/>
          <w:rtl/>
          <w:lang w:bidi="ar-JO"/>
        </w:rPr>
        <w:t>تجب الزكاة في الحلي المستعمل</w:t>
      </w:r>
      <w:r w:rsidR="000F5721" w:rsidRPr="00001A51">
        <w:rPr>
          <w:rFonts w:ascii="Arabic Transparent" w:hAnsi="Arabic Transparent" w:cs="Arabic Transparent" w:hint="cs"/>
          <w:sz w:val="28"/>
          <w:szCs w:val="28"/>
          <w:rtl/>
          <w:lang w:bidi="ar-JO"/>
        </w:rPr>
        <w:t>"</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425"/>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xml:space="preserve"> ومن حقق مناط الحلي بأنه من جملة المقتنيات أجرى أصل عدم الوجوب، وقال </w:t>
      </w:r>
      <w:r w:rsidR="000F5721" w:rsidRPr="00001A51">
        <w:rPr>
          <w:rFonts w:ascii="Arabic Transparent" w:hAnsi="Arabic Transparent" w:cs="Arabic Transparent" w:hint="cs"/>
          <w:sz w:val="28"/>
          <w:szCs w:val="28"/>
          <w:rtl/>
          <w:lang w:bidi="ar-JO"/>
        </w:rPr>
        <w:t>"</w:t>
      </w:r>
      <w:r w:rsidRPr="00001A51">
        <w:rPr>
          <w:rFonts w:ascii="Arabic Transparent" w:hAnsi="Arabic Transparent" w:cs="Arabic Transparent"/>
          <w:sz w:val="28"/>
          <w:szCs w:val="28"/>
          <w:rtl/>
          <w:lang w:bidi="ar-JO"/>
        </w:rPr>
        <w:t>لا تجب الزكاة في الحلي المستعمل</w:t>
      </w:r>
      <w:r w:rsidR="000F5721" w:rsidRPr="00001A51">
        <w:rPr>
          <w:rFonts w:ascii="Arabic Transparent" w:hAnsi="Arabic Transparent" w:cs="Arabic Transparent" w:hint="cs"/>
          <w:sz w:val="28"/>
          <w:szCs w:val="28"/>
          <w:rtl/>
          <w:lang w:bidi="ar-JO"/>
        </w:rPr>
        <w:t>"</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426"/>
      </w:r>
      <w:r w:rsidRPr="00001A51">
        <w:rPr>
          <w:rFonts w:ascii="Arabic Transparent" w:hAnsi="Arabic Transparent" w:cs="Arabic Transparent"/>
          <w:sz w:val="28"/>
          <w:szCs w:val="28"/>
          <w:vertAlign w:val="superscript"/>
          <w:rtl/>
          <w:lang w:bidi="ar-JO"/>
        </w:rPr>
        <w:t>).</w:t>
      </w:r>
    </w:p>
    <w:p w14:paraId="5D1D319B" w14:textId="77777777" w:rsidR="004E383D" w:rsidRPr="00001A51" w:rsidRDefault="004E383D" w:rsidP="004E383D">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 xml:space="preserve">رابعاً: الاختلاف في اعتبار المآلات: </w:t>
      </w:r>
    </w:p>
    <w:p w14:paraId="440500EB" w14:textId="276EF010" w:rsidR="004E383D" w:rsidRPr="00001A51" w:rsidRDefault="005D7B91" w:rsidP="00F04ECB">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عرّفه الريسوني، فقال: "هو النظر فيما يمكن أن تؤول إليه الأفعال والتصرفات والتكاليف موضوع الاجتهاد والإفتاء والتوجيه وإدخال ذلك في الحسبان عند الحكم والفتوى"</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427"/>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xml:space="preserve"> إذن هو الفقه الذي ينظر إلى مآل الحكم الشرعي عند تنزيله في الواقعة المعاصرة، ويأخذه بعين الاعتبار، فإنَّ الحكم سيؤدي إلى تحقيق مقصد معتبر أمضاه المجتهد وإذا أدى إلى حكم غير معتبر شرعاً منعه وحرمه المجتهد، ولكن البعض يتجه بالنظر إلى الوسائل دون المقاصد، والبعض ينظر إلى المقاصد دون الوسائل، والحق أنَّ القواعد تشير إلى ضرورة التوازن بين فقه الواقع والمتوقع، والنظر إلى الحال والمآل والجمع بين الوسيلة والمقصد عند النظر، يقول الشاطبي: "النظر في مالآت الأفعال معتبر مقصود شرعاً كانت الأفعال موافقة، أو مخالفة وذلك أنَّ المجتهد لا يحكم على فعل من الأفعال الصادرة عن المكلفين بالإقدام، أو الإحجام إلا بعد نظره إلى ما يؤول إليه ذلك الفعل، فقد يكون مشروعاً لمصلحة قد تستجلب، أو مفسدة تنشأ عنه، أو مصلحة تندفع </w:t>
      </w:r>
      <w:r w:rsidR="00B154EE" w:rsidRPr="00001A51">
        <w:rPr>
          <w:rFonts w:ascii="Arabic Transparent" w:hAnsi="Arabic Transparent" w:cs="Arabic Transparent" w:hint="cs"/>
          <w:sz w:val="28"/>
          <w:szCs w:val="28"/>
          <w:rtl/>
          <w:lang w:bidi="ar-JO"/>
        </w:rPr>
        <w:t>به</w:t>
      </w:r>
      <w:r w:rsidR="00B154EE" w:rsidRPr="00001A51">
        <w:rPr>
          <w:rFonts w:ascii="Arabic Transparent" w:hAnsi="Arabic Transparent" w:cs="Arabic Transparent" w:hint="eastAsia"/>
          <w:sz w:val="28"/>
          <w:szCs w:val="28"/>
          <w:rtl/>
          <w:lang w:bidi="ar-JO"/>
        </w:rPr>
        <w:t>،</w:t>
      </w:r>
      <w:r w:rsidR="004E383D" w:rsidRPr="00001A51">
        <w:rPr>
          <w:rFonts w:ascii="Arabic Transparent" w:hAnsi="Arabic Transparent" w:cs="Arabic Transparent"/>
          <w:sz w:val="28"/>
          <w:szCs w:val="28"/>
          <w:rtl/>
          <w:lang w:bidi="ar-JO"/>
        </w:rPr>
        <w:t xml:space="preserve"> ولكن له مآل على خلاف ذلك"</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428"/>
      </w:r>
      <w:r w:rsidR="004E383D" w:rsidRPr="00001A51">
        <w:rPr>
          <w:rFonts w:ascii="Arabic Transparent" w:hAnsi="Arabic Transparent" w:cs="Arabic Transparent"/>
          <w:sz w:val="28"/>
          <w:szCs w:val="28"/>
          <w:vertAlign w:val="superscript"/>
          <w:rtl/>
          <w:lang w:bidi="ar-JO"/>
        </w:rPr>
        <w:t xml:space="preserve">) </w:t>
      </w:r>
    </w:p>
    <w:p w14:paraId="7C6A5005" w14:textId="6D9E5B2F" w:rsidR="000F5721" w:rsidRPr="00001A51" w:rsidRDefault="005D7B91" w:rsidP="000F5721">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فإنَّ إهمال النظر في المآلات يعد سبباً للوقوع في الخطأ الزلل، وإن بالغ في الأخذ بالمآلات وقع بالخطأ والزلل، فعلى المجتهد أن يقتصد عند الأخذ بالمآلات، حيث يقول القحطاني:</w:t>
      </w:r>
      <w:r w:rsidR="00151AED"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 xml:space="preserve">وكم أبوب للشر فتحت بسبب فتاوى لم يعتبر فيها ما تؤل إليه بعض الوقائع المستجدة من مفاسد وأضرار، وقد يحصل في اعتبار قاعدة النظر إلى المال خير ونفع عظيم، وقد عرف المسلمون في تاريخهم </w:t>
      </w:r>
      <w:r w:rsidR="000F5721" w:rsidRPr="00001A51">
        <w:rPr>
          <w:rFonts w:ascii="Arabic Transparent" w:hAnsi="Arabic Transparent" w:cs="Arabic Transparent"/>
          <w:sz w:val="28"/>
          <w:szCs w:val="28"/>
          <w:rtl/>
          <w:lang w:bidi="ar-JO"/>
        </w:rPr>
        <w:br w:type="page"/>
      </w:r>
    </w:p>
    <w:p w14:paraId="35DBC35A" w14:textId="26E3636F" w:rsidR="004E383D" w:rsidRPr="00001A51" w:rsidRDefault="004E383D" w:rsidP="004E383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المعاصر فتناً كثيرةً ناتجةً عن عدم التسلح بفقه المآلات، وعدم أخذ الاحتياط حتى لا تتحول جهود نصرة الدين إلى مضرة ومزيد فتنة للمجتمعات المسلمة"</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429"/>
      </w:r>
      <w:r w:rsidRPr="00001A51">
        <w:rPr>
          <w:rFonts w:ascii="Arabic Transparent" w:hAnsi="Arabic Transparent" w:cs="Arabic Transparent"/>
          <w:sz w:val="28"/>
          <w:szCs w:val="28"/>
          <w:vertAlign w:val="superscript"/>
          <w:rtl/>
          <w:lang w:bidi="ar-JO"/>
        </w:rPr>
        <w:t>)</w:t>
      </w:r>
    </w:p>
    <w:p w14:paraId="4AE22751" w14:textId="77777777" w:rsidR="004E383D" w:rsidRPr="00001A51" w:rsidRDefault="004E383D" w:rsidP="004E383D">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القسم الثاني: ما يعود إلى مناهج الاجتهاد في المعاملات المالية:</w:t>
      </w:r>
    </w:p>
    <w:p w14:paraId="5A80EF0E" w14:textId="6BD06E24" w:rsidR="00F04ECB" w:rsidRPr="00001A51" w:rsidRDefault="005D7B91" w:rsidP="000F5721">
      <w:pPr>
        <w:spacing w:after="0" w:line="360" w:lineRule="auto"/>
        <w:jc w:val="both"/>
        <w:rPr>
          <w:rFonts w:ascii="Arabic Transparent" w:hAnsi="Arabic Transparent" w:cs="Arabic Transparent"/>
          <w:sz w:val="28"/>
          <w:szCs w:val="28"/>
          <w:lang w:bidi="ar-JO"/>
        </w:rPr>
      </w:pPr>
      <w:r w:rsidRPr="00001A51">
        <w:rPr>
          <w:rFonts w:ascii="Arabic Transparent" w:hAnsi="Arabic Transparent" w:cs="Arabic Transparent"/>
          <w:b/>
          <w:bCs/>
          <w:sz w:val="28"/>
          <w:szCs w:val="28"/>
          <w:rtl/>
          <w:lang w:bidi="ar-JO"/>
        </w:rPr>
        <w:t xml:space="preserve">     </w:t>
      </w:r>
      <w:r w:rsidR="004E383D" w:rsidRPr="00001A51">
        <w:rPr>
          <w:rFonts w:ascii="Arabic Transparent" w:hAnsi="Arabic Transparent" w:cs="Arabic Transparent"/>
          <w:sz w:val="28"/>
          <w:szCs w:val="28"/>
          <w:rtl/>
          <w:lang w:bidi="ar-JO"/>
        </w:rPr>
        <w:t>بعد الحديث عن التفاوت الذي يعود إلى منهجية الاجتهاد سوف نبسط الحديث عن التفاوت الذي يعود إلى مناهج الاجتهاد</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430"/>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xml:space="preserve"> حيث يذكر الدكتور مدكور أن المجتهدين بناءً على طريقة تفكيرهم مختلفون في بحثهم المسائل وما يسلكون من طرق البحث والاستنباط، وبيّن أن فريقاً منهم يتغلل في معاني الألفاظ وسبر أغوارها ومعانيها ومقاصدها وفريقاً أخر يقف على ما تدل عليه الألفاظ، حيث يقول الدكتور مدكور "ولكل فريق موازين معينة يهتدي بها في تفكيره، ويعتمد عليها في استنباطه، وتكوِّن له منهجا خاصا يتميز عن منهج غيره الفكري،...والواقع أن فكرة اتباع منهج معين في الاجتهاد وجدت ملازمة لوجود الفقه، لأنه حيث يكون الفقه يكون حتما منهاج للاجتهاد"</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431"/>
      </w:r>
      <w:r w:rsidR="004E383D" w:rsidRPr="00001A51">
        <w:rPr>
          <w:rFonts w:ascii="Arabic Transparent" w:hAnsi="Arabic Transparent" w:cs="Arabic Transparent"/>
          <w:sz w:val="28"/>
          <w:szCs w:val="28"/>
          <w:vertAlign w:val="superscript"/>
          <w:rtl/>
          <w:lang w:bidi="ar-JO"/>
        </w:rPr>
        <w:t xml:space="preserve">) </w:t>
      </w:r>
      <w:r w:rsidR="004E383D" w:rsidRPr="00001A51">
        <w:rPr>
          <w:rFonts w:ascii="Arabic Transparent" w:hAnsi="Arabic Transparent" w:cs="Arabic Transparent"/>
          <w:sz w:val="28"/>
          <w:szCs w:val="28"/>
          <w:rtl/>
          <w:lang w:bidi="ar-JO"/>
        </w:rPr>
        <w:t>وبعد الاستقراء يتبين أنَّ مناهج الاجتهاد في المعاملات المالية تعود إلى ثلاثة مناهج تتباين في طريقة الفهم للمستجدات العصرية، أحدها: بظواهر النصوص الشرعية الأصلية والتبعية، والثانية: بالمصالح العارية عن النصوص والثالثة: بالجمع بين الطريقتين</w:t>
      </w:r>
      <w:r w:rsidR="007B14A0" w:rsidRPr="00001A51">
        <w:rPr>
          <w:rFonts w:ascii="Arabic Transparent" w:hAnsi="Arabic Transparent" w:cs="Arabic Transparent" w:hint="cs"/>
          <w:sz w:val="28"/>
          <w:szCs w:val="28"/>
          <w:rtl/>
          <w:lang w:bidi="ar-JO"/>
        </w:rPr>
        <w:t>،</w:t>
      </w:r>
      <w:r w:rsidR="004E383D" w:rsidRPr="00001A51">
        <w:rPr>
          <w:rFonts w:ascii="Arabic Transparent" w:hAnsi="Arabic Transparent" w:cs="Arabic Transparent"/>
          <w:sz w:val="28"/>
          <w:szCs w:val="28"/>
          <w:rtl/>
          <w:lang w:bidi="ar-JO"/>
        </w:rPr>
        <w:t xml:space="preserve"> </w:t>
      </w:r>
      <w:r w:rsidR="007B14A0" w:rsidRPr="00001A51">
        <w:rPr>
          <w:rFonts w:ascii="Arabic Transparent" w:hAnsi="Arabic Transparent" w:cs="Arabic Transparent" w:hint="cs"/>
          <w:sz w:val="28"/>
          <w:szCs w:val="28"/>
          <w:rtl/>
          <w:lang w:bidi="ar-JO"/>
        </w:rPr>
        <w:t>و</w:t>
      </w:r>
      <w:r w:rsidR="004E383D" w:rsidRPr="00001A51">
        <w:rPr>
          <w:rFonts w:ascii="Arabic Transparent" w:hAnsi="Arabic Transparent" w:cs="Arabic Transparent"/>
          <w:sz w:val="28"/>
          <w:szCs w:val="28"/>
          <w:rtl/>
          <w:lang w:bidi="ar-JO"/>
        </w:rPr>
        <w:t>هذا ما سنتعرف عليه بما يأتي:</w:t>
      </w:r>
    </w:p>
    <w:p w14:paraId="026B1D85" w14:textId="77777777" w:rsidR="004E383D" w:rsidRPr="00001A51" w:rsidRDefault="004E383D" w:rsidP="004E383D">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 xml:space="preserve">أولاً: المنهج الظاهري: </w:t>
      </w:r>
    </w:p>
    <w:p w14:paraId="62582672" w14:textId="487FB65D" w:rsidR="00822A5D" w:rsidRPr="00001A51" w:rsidRDefault="005D7B91" w:rsidP="004E383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من أشهر المناهج عبر التاريخ المنهج الظاهري الذي يلمس المطلع آثاره بين الكتب والأبحاث والفتاوى والاجتهادات الصادرة من المذاهب الإسلامية من مختلف الملل والنحل، والذي سوف نتلمس نزراً من فَيئِه في المطالب المعدودة القادمة والتي تبحث في بيان حقيقة المنهج الظاهري ثمَّ الحديث عن خطوات الإفتاء وفق المنهج الظاهري ثمَّ عرض لبعض الأمثلة على المنهج الظاهري مع بيان وتحليل مجمل عليها، وهي مرتبة كالآتي:</w:t>
      </w:r>
    </w:p>
    <w:p w14:paraId="6683EE5E" w14:textId="77777777" w:rsidR="00822A5D" w:rsidRPr="00001A51" w:rsidRDefault="00822A5D">
      <w:pPr>
        <w:bidi w:val="0"/>
        <w:spacing w:after="0" w:line="240" w:lineRule="auto"/>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br w:type="page"/>
      </w:r>
    </w:p>
    <w:p w14:paraId="0D271E9C" w14:textId="77777777" w:rsidR="004E383D" w:rsidRPr="00001A51" w:rsidRDefault="004E383D" w:rsidP="004E383D">
      <w:pPr>
        <w:spacing w:after="0" w:line="360" w:lineRule="auto"/>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 xml:space="preserve">1. حقيقة المنهج الظاهري: </w:t>
      </w:r>
    </w:p>
    <w:p w14:paraId="7F9CABAC" w14:textId="6A87C3A8" w:rsidR="007B14A0" w:rsidRPr="00001A51" w:rsidRDefault="005D7B91" w:rsidP="00F04ECB">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يعتقد البعض أن الحديث عن المنهج الظاهري، هو ذاته الحديث عن المذهب الظاهري الذي ترأَّسه داود الظاهري وتلميذه الذي انتصر له ابن حزم الظاهري في الأندلس ولكن الحقيقة التي لا مناص عنها أن هذا المنهج أكثر انتشاراً من أن يضيق به مذهب معين، حيث يقول القرضاوي "أنَّ هناك مدرسة يمثلها عدد من الفئات ويغلب عليها الطابع الديني، تبنوا روح المذهب الظاهري، وإن لم يتسموا باسمه، أو يدعوا انتحاله، ولكنهم أخذوا منه الجمود على ظواهر الألفاظ، وإغفال الحكم والتعليلات للنصوص"</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432"/>
      </w:r>
      <w:r w:rsidR="004E383D"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 xml:space="preserve">والحقيقة الأخرى أن المنهج الظاهري الذي نحن بصدده ليس دائماً يعرف بالانحراف والسوء إنما يعرف أحياناً بالاتزان والدقة والهدوء فهو كان وما زال معهوداً زمن النبي وصحابته من السلف الصالح ومن تبعهم من العلماء والمجتهدين إلى يومنا هذا، فها هو ابن عمر </w:t>
      </w:r>
      <w:r w:rsidR="005224A0" w:rsidRPr="00001A51">
        <w:rPr>
          <w:rFonts w:ascii="AGA Arabesque" w:hAnsi="AGA Arabesque" w:cs="AGA Arabesque"/>
          <w:sz w:val="28"/>
          <w:szCs w:val="28"/>
          <w:lang w:bidi="ar-JO"/>
        </w:rPr>
        <w:t></w:t>
      </w:r>
      <w:r w:rsidR="004E383D" w:rsidRPr="00001A51">
        <w:rPr>
          <w:rFonts w:ascii="Arabic Transparent" w:hAnsi="Arabic Transparent" w:cs="Arabic Transparent"/>
          <w:sz w:val="28"/>
          <w:szCs w:val="28"/>
          <w:rtl/>
          <w:lang w:bidi="ar-JO"/>
        </w:rPr>
        <w:t xml:space="preserve"> </w:t>
      </w:r>
      <w:r w:rsidR="00822A5D" w:rsidRPr="00001A51">
        <w:rPr>
          <w:rFonts w:ascii="Arabic Transparent" w:hAnsi="Arabic Transparent" w:cs="Arabic Transparent" w:hint="cs"/>
          <w:sz w:val="28"/>
          <w:szCs w:val="28"/>
          <w:rtl/>
          <w:lang w:bidi="ar-JO"/>
        </w:rPr>
        <w:t>"</w:t>
      </w:r>
      <w:r w:rsidR="004E383D" w:rsidRPr="00001A51">
        <w:rPr>
          <w:rFonts w:ascii="Arabic Transparent" w:hAnsi="Arabic Transparent" w:cs="Arabic Transparent"/>
          <w:sz w:val="28"/>
          <w:szCs w:val="28"/>
          <w:rtl/>
          <w:lang w:bidi="ar-JO"/>
        </w:rPr>
        <w:t>عرف بعزوفه عن الرأي وتمسكه بالأثر حتى غلب على فتواه الاتجاه إلى ظاهر اللفظ دون البحث عميقاً في معانيه</w:t>
      </w:r>
      <w:r w:rsidR="00822A5D" w:rsidRPr="00001A51">
        <w:rPr>
          <w:rFonts w:ascii="Arabic Transparent" w:hAnsi="Arabic Transparent" w:cs="Arabic Transparent" w:hint="cs"/>
          <w:sz w:val="28"/>
          <w:szCs w:val="28"/>
          <w:rtl/>
          <w:lang w:bidi="ar-JO"/>
        </w:rPr>
        <w:t>"</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433"/>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وفي هذا السياق سوف نجلي حقيقة المنهج الظاهري من ناحية المفهوم اللُّغَوي والشرعي، مع بيان مشروعية المنهج الظاهري بعون الله تعالى.</w:t>
      </w:r>
    </w:p>
    <w:p w14:paraId="686CDC33" w14:textId="77DCB906" w:rsidR="004E383D" w:rsidRPr="00001A51" w:rsidRDefault="005D7B91" w:rsidP="004E383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 xml:space="preserve">بعد التعرف على مفهوم المنهج سوف يكون الحديث في مفهوم الظاهري لتتوضح الصورة بشكل كامل، الظاهري وهو </w:t>
      </w:r>
      <w:r w:rsidR="00822A5D" w:rsidRPr="00001A51">
        <w:rPr>
          <w:rFonts w:ascii="Arabic Transparent" w:hAnsi="Arabic Transparent" w:cs="Arabic Transparent" w:hint="cs"/>
          <w:sz w:val="28"/>
          <w:szCs w:val="28"/>
          <w:rtl/>
          <w:lang w:bidi="ar-JO"/>
        </w:rPr>
        <w:t>"</w:t>
      </w:r>
      <w:r w:rsidR="004E383D" w:rsidRPr="00001A51">
        <w:rPr>
          <w:rFonts w:ascii="Arabic Transparent" w:hAnsi="Arabic Transparent" w:cs="Arabic Transparent"/>
          <w:sz w:val="28"/>
          <w:szCs w:val="28"/>
          <w:rtl/>
          <w:lang w:bidi="ar-JO"/>
        </w:rPr>
        <w:t xml:space="preserve">اسم منسوب إلى ظاهر، وهو اسم فاعل أصله الثلاثي ظَهَرَ، وظهَر الشَّيءُ: بدا واتَّضح بعد خفاء، وتبيَّن وجودُه، وقيل؛ </w:t>
      </w:r>
      <w:r w:rsidR="00822A5D" w:rsidRPr="00001A51">
        <w:rPr>
          <w:rFonts w:ascii="Arabic Transparent" w:hAnsi="Arabic Transparent" w:cs="Arabic Transparent" w:hint="cs"/>
          <w:sz w:val="28"/>
          <w:szCs w:val="28"/>
          <w:rtl/>
          <w:lang w:bidi="ar-JO"/>
        </w:rPr>
        <w:t>ا</w:t>
      </w:r>
      <w:r w:rsidR="004E383D" w:rsidRPr="00001A51">
        <w:rPr>
          <w:rFonts w:ascii="Arabic Transparent" w:hAnsi="Arabic Transparent" w:cs="Arabic Transparent"/>
          <w:sz w:val="28"/>
          <w:szCs w:val="28"/>
          <w:rtl/>
          <w:lang w:bidi="ar-JO"/>
        </w:rPr>
        <w:t>نكَشَفَ وَبَرَزَ، وَلِذَلِكَ سُمِّيَ وَقْتُ الظُّهرِ وَالظهِيرَةِ، وَهُوَ أَظهر أَوقَات النّهَارِ وأضواؤها</w:t>
      </w:r>
      <w:r w:rsidR="00822A5D" w:rsidRPr="00001A51">
        <w:rPr>
          <w:rFonts w:ascii="Arabic Transparent" w:hAnsi="Arabic Transparent" w:cs="Arabic Transparent" w:hint="cs"/>
          <w:sz w:val="28"/>
          <w:szCs w:val="28"/>
          <w:rtl/>
          <w:lang w:bidi="ar-JO"/>
        </w:rPr>
        <w:t>"</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434"/>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w:t>
      </w:r>
    </w:p>
    <w:p w14:paraId="33488065" w14:textId="58C38C0E" w:rsidR="004E383D" w:rsidRPr="00001A51" w:rsidRDefault="005D7B91" w:rsidP="004E383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 xml:space="preserve">عرف العلماء المنهج الظاهري اصطلاحاً بعدة تعريفات نجمل منها مع التوضيح والبيان لأهم المحددات التي ترد في المفاهيم وهي كالآتي: </w:t>
      </w:r>
    </w:p>
    <w:p w14:paraId="5422DC64" w14:textId="1D00251A" w:rsidR="00AA32AA" w:rsidRPr="00001A51" w:rsidRDefault="004E383D" w:rsidP="004E383D">
      <w:pPr>
        <w:spacing w:after="0" w:line="360" w:lineRule="auto"/>
        <w:jc w:val="both"/>
        <w:rPr>
          <w:rFonts w:ascii="KFGQPC HAFS Uthmanic Script" w:hAnsi="Aptos" w:cs="KFGQPC HAFS Uthmanic Script"/>
          <w:color w:val="000000"/>
          <w:sz w:val="28"/>
          <w:szCs w:val="28"/>
          <w:rtl/>
        </w:rPr>
      </w:pPr>
      <w:r w:rsidRPr="00001A51">
        <w:rPr>
          <w:rFonts w:ascii="Arabic Transparent" w:hAnsi="Arabic Transparent" w:cs="Arabic Transparent"/>
          <w:sz w:val="28"/>
          <w:szCs w:val="28"/>
          <w:rtl/>
          <w:lang w:bidi="ar-JO"/>
        </w:rPr>
        <w:t xml:space="preserve"> </w:t>
      </w:r>
      <w:r w:rsidR="006D4091" w:rsidRPr="00001A51">
        <w:rPr>
          <w:rFonts w:ascii="Arabic Transparent" w:hAnsi="Arabic Transparent" w:cs="Arabic Transparent" w:hint="cs"/>
          <w:sz w:val="28"/>
          <w:szCs w:val="28"/>
          <w:rtl/>
          <w:lang w:bidi="ar-JO"/>
        </w:rPr>
        <w:t xml:space="preserve">   </w:t>
      </w:r>
      <w:r w:rsidRPr="00001A51">
        <w:rPr>
          <w:rFonts w:ascii="Arabic Transparent" w:hAnsi="Arabic Transparent" w:cs="Arabic Transparent"/>
          <w:sz w:val="28"/>
          <w:szCs w:val="28"/>
          <w:rtl/>
          <w:lang w:bidi="ar-JO"/>
        </w:rPr>
        <w:t xml:space="preserve"> عرَّفَه الجرجاني -رحمه الله-: "هو ما ظهر المراد منه للسامع بنفس الكلام، وهو اسم لكلام ظهر المراد منه للسامع بنفس الصيغة"</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435"/>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xml:space="preserve">، ففي قوله تعالى: </w:t>
      </w:r>
      <w:r w:rsidRPr="00001A51">
        <w:rPr>
          <w:rFonts w:ascii="KFGQPC HAFS Uthmanic Script" w:hAnsi="Aptos" w:cs="KFGQPC HAFS Uthmanic Script"/>
          <w:color w:val="000000"/>
          <w:sz w:val="28"/>
          <w:szCs w:val="28"/>
          <w:rtl/>
        </w:rPr>
        <w:t>ﵟ</w:t>
      </w:r>
      <w:r w:rsidRPr="00001A51">
        <w:rPr>
          <w:rFonts w:ascii="KFGQPC HAFS Uthmanic Script" w:hAnsi="Aptos" w:cs="Cambria"/>
          <w:color w:val="000000"/>
          <w:sz w:val="28"/>
          <w:szCs w:val="28"/>
          <w:rtl/>
        </w:rPr>
        <w:t>..</w:t>
      </w:r>
      <w:r w:rsidRPr="00001A51">
        <w:rPr>
          <w:rFonts w:ascii="KFGQPC HAFS Uthmanic Script" w:hAnsi="Aptos" w:cs="KFGQPC HAFS Uthmanic Script"/>
          <w:color w:val="000000"/>
          <w:sz w:val="28"/>
          <w:szCs w:val="28"/>
          <w:rtl/>
        </w:rPr>
        <w:t>وَأَحَلَّ ٱللَّهُ ٱلۡبَيۡعَ</w:t>
      </w:r>
      <w:r w:rsidRPr="00001A51">
        <w:rPr>
          <w:rFonts w:ascii="KFGQPC HAFS Uthmanic Script" w:hAnsi="Aptos" w:cs="Cambria"/>
          <w:color w:val="000000"/>
          <w:sz w:val="28"/>
          <w:szCs w:val="28"/>
          <w:rtl/>
        </w:rPr>
        <w:t>..</w:t>
      </w:r>
      <w:r w:rsidRPr="00001A51">
        <w:rPr>
          <w:rFonts w:ascii="KFGQPC HAFS Uthmanic Script" w:hAnsi="Aptos" w:cs="KFGQPC HAFS Uthmanic Script"/>
          <w:color w:val="000000"/>
          <w:sz w:val="28"/>
          <w:szCs w:val="28"/>
          <w:rtl/>
        </w:rPr>
        <w:t xml:space="preserve"> ٢٧٥ﵞ ﵝالبَقَرَةِ</w:t>
      </w:r>
      <w:r w:rsidR="005D7B91" w:rsidRPr="00001A51">
        <w:rPr>
          <w:rFonts w:ascii="KFGQPC HAFS Uthmanic Script" w:hAnsi="Aptos" w:cs="KFGQPC HAFS Uthmanic Script"/>
          <w:color w:val="000000"/>
          <w:sz w:val="28"/>
          <w:szCs w:val="28"/>
          <w:rtl/>
        </w:rPr>
        <w:t xml:space="preserve">: </w:t>
      </w:r>
      <w:r w:rsidRPr="00001A51">
        <w:rPr>
          <w:rFonts w:ascii="KFGQPC HAFS Uthmanic Script" w:hAnsi="Aptos" w:cs="KFGQPC HAFS Uthmanic Script"/>
          <w:color w:val="000000"/>
          <w:sz w:val="28"/>
          <w:szCs w:val="28"/>
          <w:rtl/>
        </w:rPr>
        <w:t>ﵕﵗﵒﵜ</w:t>
      </w:r>
    </w:p>
    <w:p w14:paraId="04AAC9B6" w14:textId="77777777" w:rsidR="00AA32AA" w:rsidRPr="00001A51" w:rsidRDefault="00AA32AA">
      <w:pPr>
        <w:bidi w:val="0"/>
        <w:spacing w:after="0" w:line="240" w:lineRule="auto"/>
        <w:rPr>
          <w:rFonts w:ascii="KFGQPC HAFS Uthmanic Script" w:hAnsi="Aptos" w:cs="KFGQPC HAFS Uthmanic Script"/>
          <w:color w:val="000000"/>
          <w:sz w:val="28"/>
          <w:szCs w:val="28"/>
          <w:rtl/>
        </w:rPr>
      </w:pPr>
      <w:r w:rsidRPr="00001A51">
        <w:rPr>
          <w:rFonts w:ascii="KFGQPC HAFS Uthmanic Script" w:hAnsi="Aptos" w:cs="KFGQPC HAFS Uthmanic Script"/>
          <w:color w:val="000000"/>
          <w:sz w:val="28"/>
          <w:szCs w:val="28"/>
          <w:rtl/>
        </w:rPr>
        <w:br w:type="page"/>
      </w:r>
    </w:p>
    <w:p w14:paraId="67371288" w14:textId="586DBAF9" w:rsidR="004E383D" w:rsidRPr="00001A51" w:rsidRDefault="004E383D" w:rsidP="004E383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عندما يتوقف القارئ يظهر المراد من الآية بإباحة البيع مطلقاً، وهذا المراد من نفس الصيغة، وضده الخفي الذي لا يرام إلا بالبحث والتنقيب وهو الخلوص إلى أن البيع ليس على مطلق الإباحة، إنما هو مقيد بأنواع محرمة، ولا يدرك المفتي مضنة ذلك إلا بالطلب والاجتهاد.</w:t>
      </w:r>
    </w:p>
    <w:p w14:paraId="46CEDB20" w14:textId="2C43E233" w:rsidR="004E383D" w:rsidRPr="00001A51" w:rsidRDefault="005D7B91" w:rsidP="004E383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وعرَّفَه البركتي، بأنَّه: "اسم لكلام ظهر المرادُ منه بصيغته ويكون محتملاً للتخصيص والتأويل"</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436"/>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xml:space="preserve"> فلا يحتاج من سعى إلى ظاهر النص إلى بلوغ المشقة في التنقيب والبحث، لأنَّ الكلام ظهر المراد منه بمجرد قراءة أو سماع الصيغة، ويعرف أيضاً لدى الأصوليين في باب الدلالة أنه قسم من أقسام اللفظ الواضح الدلالة على معناه</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437"/>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w:t>
      </w:r>
    </w:p>
    <w:p w14:paraId="08B92DCD" w14:textId="769FADDD" w:rsidR="004E383D" w:rsidRPr="00001A51" w:rsidRDefault="005D7B91" w:rsidP="00F04ECB">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وعرَّفَه عبد المنعم: "اللفظ الذي انكشف معناه اللُّغَوي واتضح للسامع من أهل اللسان بمجرد السماع من غير قرينة"</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438"/>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،فهو بين من الوهلة الأولى، يستطيع النَّاظر والسامع أن يعقل معناه المتبادر الجلي ولا يحتاج إلى أدنى نوع من القرائن ليفهم.</w:t>
      </w:r>
    </w:p>
    <w:p w14:paraId="431EB66A" w14:textId="6516E990" w:rsidR="004E383D" w:rsidRPr="00001A51" w:rsidRDefault="005D7B91" w:rsidP="004E383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وعرَّفَه أصولياً الدريني بتعريف مشابه لمعناه اللُّغَوي، حيث قال: "هو اللفظ الذي يتبادر معناه اللُّغَوي إلى العقل، بمجرد قراءة الصيغة أو سماعها دون اعتماد على دليل خارجي في فهمه"</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439"/>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xml:space="preserve">  وفي المجمل إن التعريفات السابقة جميعها متقاربة في الألفاظ والمعاني حيث تنص على أمرين: أنه يتبادر إلى الذهن بسرعة، ثانياً: لا حاجة للواسطة أو القرينة لفهمه. </w:t>
      </w:r>
    </w:p>
    <w:p w14:paraId="0C48C90B" w14:textId="55E7D152" w:rsidR="004E383D" w:rsidRPr="00001A51" w:rsidRDefault="00F04ECB" w:rsidP="004E383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hint="cs"/>
          <w:sz w:val="28"/>
          <w:szCs w:val="28"/>
          <w:rtl/>
          <w:lang w:bidi="ar-JO"/>
        </w:rPr>
        <w:t xml:space="preserve">     </w:t>
      </w:r>
      <w:r w:rsidR="004E383D" w:rsidRPr="00001A51">
        <w:rPr>
          <w:rFonts w:ascii="Arabic Transparent" w:hAnsi="Arabic Transparent" w:cs="Arabic Transparent"/>
          <w:sz w:val="28"/>
          <w:szCs w:val="28"/>
          <w:rtl/>
          <w:lang w:bidi="ar-JO"/>
        </w:rPr>
        <w:t>بعد أن تم عرض التعريفات مجملة حول معنى الظاهر فلا بد من تعريف المعنى اللقبي للمنهج الظاهري بصورة واحدة متكاملة، وجل التعاريف تدور حول المعنى اللُّغَوي ذاته، بعيداً عمن نسب المنهج الظاهري لجماعة بعينها، فقد احتمل في تعريفه شدة في اللفظ وقسوة في المعنى على من اتبع ذلك المنهج مصححاً ومقوماً لهم.</w:t>
      </w:r>
    </w:p>
    <w:p w14:paraId="5F5557E0" w14:textId="18394C30" w:rsidR="00AA32AA" w:rsidRPr="00001A51" w:rsidRDefault="005D7B91" w:rsidP="004E383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وعرف حكيم المنهج الظاهري، بأنه: "المنهج القائم على الأخذ بظواهر النصوص والتشبث بها، وعدم الالتفات إلى ما وراء تلك النصوص من مقاصد وأسرار وحكم وعلل"</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440"/>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w:t>
      </w:r>
    </w:p>
    <w:p w14:paraId="692C9F08" w14:textId="77777777" w:rsidR="00AA32AA" w:rsidRPr="00001A51" w:rsidRDefault="00AA32AA">
      <w:pPr>
        <w:bidi w:val="0"/>
        <w:spacing w:after="0" w:line="240" w:lineRule="auto"/>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br w:type="page"/>
      </w:r>
    </w:p>
    <w:p w14:paraId="68192502" w14:textId="0FE424C4" w:rsidR="004E383D" w:rsidRPr="00001A51" w:rsidRDefault="00F04ECB" w:rsidP="00F04ECB">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hint="cs"/>
          <w:sz w:val="28"/>
          <w:szCs w:val="28"/>
          <w:rtl/>
          <w:lang w:bidi="ar-JO"/>
        </w:rPr>
        <w:t xml:space="preserve">    </w:t>
      </w:r>
      <w:r w:rsidR="004E383D" w:rsidRPr="00001A51">
        <w:rPr>
          <w:rFonts w:ascii="Arabic Transparent" w:hAnsi="Arabic Transparent" w:cs="Arabic Transparent"/>
          <w:sz w:val="28"/>
          <w:szCs w:val="28"/>
          <w:rtl/>
          <w:lang w:bidi="ar-JO"/>
        </w:rPr>
        <w:t xml:space="preserve"> وللقرضاوي تعريف مشابه، حيث قال: "هو (المنهج) الذي يعنى بالنصوص الجزئية، ويتشبث بها، ويفهمها فهماً حرفياً، بمعزل عما قصد الشارع من ورائها"</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441"/>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وهذا التعريف قد وجه في بيان حال مدرسة معاصرة تتشبث بالنصوص مغفلة لمقاصد الشريعة، ولا أحد من العلماء الثقات يعارض المنهج الظاهري السليم</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442"/>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xml:space="preserve"> الذي يتوصل إليه المجتهد بمجرد النظر في النصوص للوهلة الأولى دون وجود قرينة تصرف النص عن ظاهره لمعنى مقصود للشارع، ويؤكد هذا المعنى الدريني بقوله: "كل معنى يتبادر إلى العقل من اللفظ لغة، يمثل -مبدئياً- إرادة المشرع، فيجب العمل به، فهو حجة لذلك، ولا يجوز صرف هذا المعنى إلى معنى آخر؛ لأنَّ هذا إلغاء إرادة الشارع واستبدال إرادة المجتهد بها، وهو لا يجوز مطلقاً"</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443"/>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w:t>
      </w:r>
    </w:p>
    <w:p w14:paraId="6A5F1602" w14:textId="21584C3B" w:rsidR="004E383D" w:rsidRPr="00001A51" w:rsidRDefault="004E383D" w:rsidP="007B14A0">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6D4091" w:rsidRPr="00001A51">
        <w:rPr>
          <w:rFonts w:ascii="Arabic Transparent" w:hAnsi="Arabic Transparent" w:cs="Arabic Transparent" w:hint="cs"/>
          <w:sz w:val="28"/>
          <w:szCs w:val="28"/>
          <w:rtl/>
          <w:lang w:bidi="ar-JO"/>
        </w:rPr>
        <w:t xml:space="preserve">   </w:t>
      </w:r>
      <w:r w:rsidRPr="00001A51">
        <w:rPr>
          <w:rFonts w:ascii="Arabic Transparent" w:hAnsi="Arabic Transparent" w:cs="Arabic Transparent"/>
          <w:sz w:val="28"/>
          <w:szCs w:val="28"/>
          <w:rtl/>
          <w:lang w:bidi="ar-JO"/>
        </w:rPr>
        <w:t xml:space="preserve"> وعند تحليل التعريفات السابقة يرى الباحث أنه ليس من الإنصاف إلحاق المنهج الظاهري بمصطلحات التشدد والتضيق والتعصب للظن أن منهجهم يشتمل على السمات الآتية: "الوقوف عند ظواهر النصوص، التقليد والتعصب المنهجي، حرفيه الفهم والتفسير، الجنوح الى التشدد والتعصب، الاعتداد برأيهم إلى حد الغرور، الإنكار بشدة على المخالفين، والتجريح لمخالفيهم في الرأي، وعدم المبالاة بإثارة الفتن الدينية والمذهبية وغيرها"</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444"/>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xml:space="preserve"> ومن خلال استقراء عدد لا بأس به من التعريفات للمنهج الظاهري، والذي يشتمل على سمة واحدة ممَّا سبق؛ وهي الوقوف على ظواهر النصوص</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445"/>
      </w:r>
      <w:r w:rsidRPr="00001A51">
        <w:rPr>
          <w:rFonts w:ascii="Arabic Transparent" w:hAnsi="Arabic Transparent" w:cs="Arabic Transparent"/>
          <w:sz w:val="28"/>
          <w:szCs w:val="28"/>
          <w:vertAlign w:val="superscript"/>
          <w:rtl/>
          <w:lang w:bidi="ar-JO"/>
        </w:rPr>
        <w:t>)</w:t>
      </w:r>
      <w:r w:rsidR="005D7B91" w:rsidRPr="00001A51">
        <w:rPr>
          <w:rFonts w:ascii="Arabic Transparent" w:hAnsi="Arabic Transparent" w:cs="Arabic Transparent"/>
          <w:sz w:val="28"/>
          <w:szCs w:val="28"/>
          <w:rtl/>
          <w:lang w:bidi="ar-JO"/>
        </w:rPr>
        <w:t xml:space="preserve">، </w:t>
      </w:r>
      <w:r w:rsidRPr="00001A51">
        <w:rPr>
          <w:rFonts w:ascii="Arabic Transparent" w:hAnsi="Arabic Transparent" w:cs="Arabic Transparent"/>
          <w:sz w:val="28"/>
          <w:szCs w:val="28"/>
          <w:rtl/>
          <w:lang w:bidi="ar-JO"/>
        </w:rPr>
        <w:t>بيد أنه يبدو كأي منهج يشينه الإفراط والتفريط في استعماله الزائد من قبل المفتي ويزيُّنه الاعتدال والتوسط، وهذا حال كل منهج.</w:t>
      </w:r>
    </w:p>
    <w:p w14:paraId="5CDC4742" w14:textId="0F7681C3" w:rsidR="00AA32AA" w:rsidRPr="00001A51" w:rsidRDefault="005D7B91" w:rsidP="004E383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يتبين مما سبق أنَّ مفهوم المنهج الظاهري: طريق منظم في الاجتهاد يعتمد على العمل بالمعنى المتبادر من الألفاظ بحسب دلالتها اللغوية، دون العدول عنها إلى التأويل أو التعليل إلا بدليل ظاهر يقتضي ذلك، وهذا المنهج الأسلم عند الفقهاء وفيه الورع والاحتياط من الوقوع في مزالق الاجتهاد.</w:t>
      </w:r>
    </w:p>
    <w:p w14:paraId="505CC5F1" w14:textId="77777777" w:rsidR="00AA32AA" w:rsidRPr="00001A51" w:rsidRDefault="00AA32AA">
      <w:pPr>
        <w:bidi w:val="0"/>
        <w:spacing w:after="0" w:line="240" w:lineRule="auto"/>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br w:type="page"/>
      </w:r>
    </w:p>
    <w:p w14:paraId="09A68479" w14:textId="4450443D" w:rsidR="004E383D" w:rsidRPr="00001A51" w:rsidRDefault="005D7B91" w:rsidP="004E383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والسؤال الذي يتبادر إلى الذهن أين موقع المنهج الظاهري من التفاوت في تحقيق المناط الخاص، والإجابة عنه تكون من جهة عدم اعتبار القرائن والمآلات والظروف التي تحتاج إلى تحقيق المناط الخاص وإصدار حكم جديد، بل يكتفي بتحقيق المناط العام وعدم إصدار حكم جديد على الواقع عملاً بظاهر الدليل الكلي واحتياطاً من التوسع في باب الاجتهاد.</w:t>
      </w:r>
    </w:p>
    <w:p w14:paraId="5434D319" w14:textId="77777777" w:rsidR="004E383D" w:rsidRPr="00001A51" w:rsidRDefault="004E383D" w:rsidP="004E383D">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 xml:space="preserve">2. مشروعية المنهج الظاهري: </w:t>
      </w:r>
    </w:p>
    <w:p w14:paraId="09934851" w14:textId="6EACAD28" w:rsidR="004E383D" w:rsidRPr="00001A51" w:rsidRDefault="005D7B91" w:rsidP="00F04ECB">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 xml:space="preserve">تبين بعد البحث عدم وجود دليل مباشر يدل على مشروعية المنهج الظاهري، ولكن ثبت في القرآن الكريم والسنة النبوية الشريفة دخوله تحت الأدلة العامة للاجتهاد، وثبت بالدليل المتواتر العملي الذي درج عليه العلماء من لدن النبي </w:t>
      </w:r>
      <w:r w:rsidR="005E3842" w:rsidRPr="00001A51">
        <w:rPr>
          <w:rFonts w:ascii="AGA Arabesque" w:hAnsi="AGA Arabesque" w:cs="AGA Arabesque"/>
          <w:sz w:val="28"/>
          <w:szCs w:val="28"/>
          <w:lang w:bidi="ar-JO"/>
        </w:rPr>
        <w:t></w:t>
      </w:r>
      <w:r w:rsidR="004E383D" w:rsidRPr="00001A51">
        <w:rPr>
          <w:rFonts w:ascii="Arabic Transparent" w:hAnsi="Arabic Transparent" w:cs="Arabic Transparent"/>
          <w:sz w:val="28"/>
          <w:szCs w:val="28"/>
          <w:rtl/>
          <w:lang w:bidi="ar-JO"/>
        </w:rPr>
        <w:t xml:space="preserve"> إلى يومنا هذا، والتطبيق العملي الذي درج عليه المجتهدين إلى هذا الوقت.</w:t>
      </w:r>
    </w:p>
    <w:p w14:paraId="724A03EB" w14:textId="77777777" w:rsidR="004E383D" w:rsidRPr="00001A51" w:rsidRDefault="004E383D" w:rsidP="004E383D">
      <w:pPr>
        <w:spacing w:after="0" w:line="360" w:lineRule="auto"/>
        <w:jc w:val="both"/>
        <w:rPr>
          <w:rFonts w:ascii="Arabic Transparent" w:hAnsi="Arabic Transparent" w:cs="Arabic Transparent"/>
          <w:sz w:val="28"/>
          <w:szCs w:val="28"/>
          <w:lang w:bidi="ar-JO"/>
        </w:rPr>
      </w:pPr>
      <w:r w:rsidRPr="00001A51">
        <w:rPr>
          <w:rFonts w:ascii="Arabic Transparent" w:hAnsi="Arabic Transparent" w:cs="Arabic Transparent"/>
          <w:sz w:val="28"/>
          <w:szCs w:val="28"/>
          <w:rtl/>
          <w:lang w:bidi="ar-JO"/>
        </w:rPr>
        <w:t xml:space="preserve">أ- </w:t>
      </w:r>
      <w:r w:rsidRPr="00001A51">
        <w:rPr>
          <w:rFonts w:ascii="Arabic Transparent" w:hAnsi="Arabic Transparent" w:cs="Arabic Transparent"/>
          <w:b/>
          <w:bCs/>
          <w:sz w:val="28"/>
          <w:szCs w:val="28"/>
          <w:rtl/>
          <w:lang w:bidi="ar-JO"/>
        </w:rPr>
        <w:t xml:space="preserve">القرآن الكريم: </w:t>
      </w:r>
    </w:p>
    <w:p w14:paraId="40E4F1FF" w14:textId="0A9D5910" w:rsidR="00AA32AA" w:rsidRPr="00001A51" w:rsidRDefault="005D7B91" w:rsidP="007B14A0">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 xml:space="preserve">في قوله تعالى: </w:t>
      </w:r>
      <w:r w:rsidR="004E383D" w:rsidRPr="00001A51">
        <w:rPr>
          <w:rFonts w:ascii="KFGQPC HAFS Uthmanic Script" w:hAnsi="Aptos" w:cs="KFGQPC HAFS Uthmanic Script"/>
          <w:color w:val="000000"/>
          <w:sz w:val="28"/>
          <w:szCs w:val="28"/>
          <w:rtl/>
        </w:rPr>
        <w:t>ﵟ هُوَ ٱلَّذِيٓ أَنزَلَ عَلَيۡكَ ٱلۡكِتَٰبَ مِنۡهُ ءَايَٰتٞ مُّحۡكَمَٰتٌ هُنَّ أُمُّ ٱلۡكِتَٰبِ وَأُخَرُ مُتَشَٰبِهَٰتٞۖ فَأَمَّا ٱلَّذِينَ فِي قُلُوبِهِمۡ زَيۡغٞ فَيَتَّبِعُونَ مَا تَشَٰبَهَ مِنۡهُ ٱبۡتِغَآءَ ٱلۡفِتۡنَةِ وَٱبۡتِغَآءَ تَأۡوِيلِهِۦۖ وَمَا يَعۡلَمُ تَأۡوِيلَهُۥٓ إِلَّا ٱللَّهُۗ وَٱلرَّٰسِخُونَ فِي ٱلۡعِلۡمِ يَقُولُونَ ءَامَنَّا بِهِۦ كُلّٞ مِّنۡ عِندِ رَبِّنَاۗ وَمَا يَذَّكَّرُ إِلَّآ أُوْلُواْ ٱلۡأَلۡبَٰبِ ٧ﵞ ﵝآل عِمۡرَان</w:t>
      </w:r>
      <w:r w:rsidRPr="00001A51">
        <w:rPr>
          <w:rFonts w:ascii="KFGQPC HAFS Uthmanic Script" w:hAnsi="Aptos" w:cs="KFGQPC HAFS Uthmanic Script"/>
          <w:color w:val="000000"/>
          <w:sz w:val="28"/>
          <w:szCs w:val="28"/>
          <w:rtl/>
        </w:rPr>
        <w:t xml:space="preserve">: </w:t>
      </w:r>
      <w:r w:rsidR="004E383D" w:rsidRPr="00001A51">
        <w:rPr>
          <w:rFonts w:ascii="KFGQPC HAFS Uthmanic Script" w:hAnsi="Aptos" w:cs="KFGQPC HAFS Uthmanic Script"/>
          <w:color w:val="000000"/>
          <w:sz w:val="28"/>
          <w:szCs w:val="28"/>
          <w:rtl/>
        </w:rPr>
        <w:t xml:space="preserve">ﵗﵜ </w:t>
      </w:r>
      <w:r w:rsidR="004E383D" w:rsidRPr="00001A51">
        <w:rPr>
          <w:rFonts w:ascii="Arabic Transparent" w:hAnsi="Arabic Transparent" w:cs="Arabic Transparent"/>
          <w:b/>
          <w:bCs/>
          <w:sz w:val="28"/>
          <w:szCs w:val="28"/>
          <w:rtl/>
          <w:lang w:bidi="ar-JO"/>
        </w:rPr>
        <w:t>وجه الدلالة:</w:t>
      </w:r>
      <w:r w:rsidR="004E383D" w:rsidRPr="00001A51">
        <w:rPr>
          <w:rFonts w:ascii="Arabic Transparent" w:hAnsi="Arabic Transparent" w:cs="Arabic Transparent"/>
          <w:sz w:val="28"/>
          <w:szCs w:val="28"/>
          <w:rtl/>
          <w:lang w:bidi="ar-JO"/>
        </w:rPr>
        <w:t xml:space="preserve"> في الآية الكريمة دليل صريح على المنهج الظاهري حيث إنَّ المفسرين اختلفوا في تأويل قوله</w:t>
      </w:r>
      <w:r w:rsidR="00151AED" w:rsidRPr="00001A51">
        <w:rPr>
          <w:rFonts w:ascii="Arabic Transparent" w:hAnsi="Arabic Transparent" w:cs="Arabic Transparent"/>
          <w:sz w:val="28"/>
          <w:szCs w:val="28"/>
          <w:rtl/>
          <w:lang w:bidi="ar-JO"/>
        </w:rPr>
        <w:t xml:space="preserve"> </w:t>
      </w:r>
      <w:r w:rsidR="0096434B" w:rsidRPr="00001A51">
        <w:rPr>
          <w:rFonts w:ascii="KFGQPC HAFS Uthmanic Script" w:hAnsi="Aptos" w:cs="KFGQPC HAFS Uthmanic Script"/>
          <w:color w:val="000000"/>
          <w:sz w:val="28"/>
          <w:szCs w:val="28"/>
          <w:rtl/>
        </w:rPr>
        <w:t xml:space="preserve">ﵟ </w:t>
      </w:r>
      <w:r w:rsidR="004E383D" w:rsidRPr="00001A51">
        <w:rPr>
          <w:rFonts w:ascii="KFGQPC HAFS Uthmanic Script" w:hAnsi="Aptos" w:cs="KFGQPC HAFS Uthmanic Script"/>
          <w:color w:val="000000"/>
          <w:sz w:val="28"/>
          <w:szCs w:val="28"/>
          <w:rtl/>
        </w:rPr>
        <w:t>هُوَ ٱلَّذِيٓ أَنزَلَ عَلَيۡكَ ٱلۡكِتَٰبَ مِنۡهُ ءَايَٰتٞ مُّحۡكَمَٰتٌ هُنَّ أُمُّ ٱلۡكِتَٰبِ وَأُخَرُ مُتَشَٰبِهَٰتٞۖ</w:t>
      </w:r>
      <w:r w:rsidR="0096434B" w:rsidRPr="00001A51">
        <w:rPr>
          <w:rFonts w:ascii="KFGQPC HAFS Uthmanic Script" w:hAnsi="Aptos" w:cs="KFGQPC HAFS Uthmanic Script"/>
          <w:color w:val="000000"/>
          <w:sz w:val="28"/>
          <w:szCs w:val="28"/>
          <w:rtl/>
        </w:rPr>
        <w:t xml:space="preserve"> ﵞ</w:t>
      </w:r>
      <w:r w:rsidR="0096434B"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فعدد لابأس به قال في تأويل المحكمات، وهي تشمل الألفاظ الواضحة، من محكم ومفسر ونص وظاهر، و</w:t>
      </w:r>
      <w:r w:rsidR="004E383D" w:rsidRPr="00001A51">
        <w:rPr>
          <w:rFonts w:ascii="Arabic Transparent" w:hAnsi="Arabic Transparent" w:cs="Arabic Transparent"/>
          <w:sz w:val="28"/>
          <w:szCs w:val="28"/>
          <w:rtl/>
        </w:rPr>
        <w:t>أمَّا</w:t>
      </w:r>
      <w:r w:rsidR="004E383D" w:rsidRPr="00001A51">
        <w:rPr>
          <w:rFonts w:ascii="Arabic Transparent" w:hAnsi="Arabic Transparent" w:cs="Arabic Transparent"/>
          <w:sz w:val="28"/>
          <w:szCs w:val="28"/>
          <w:rtl/>
          <w:lang w:bidi="ar-JO"/>
        </w:rPr>
        <w:t xml:space="preserve"> المتشابهات تشمل الألفاظ الخفية، غير الواضحة</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446"/>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وعلى هذا يكون ذلك دليلاً شرعياً على ثبوت مشروعية المنهج الظاهري من القرآن الكريم، وهو "ما قاله النَّحاس يبين ما اختاره ابن عطية، وهو الجاري على وضع اللسان، وذلك أن المحكم اسم مفعول من أحكم، والإحكام الإتقان، ولا شك في أن ما كان واضح المعنى لا إشكال فيه ولا تردد"</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447"/>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w:t>
      </w:r>
    </w:p>
    <w:p w14:paraId="516E6539" w14:textId="77777777" w:rsidR="00AA32AA" w:rsidRPr="00001A51" w:rsidRDefault="00AA32AA">
      <w:pPr>
        <w:bidi w:val="0"/>
        <w:spacing w:after="0" w:line="240" w:lineRule="auto"/>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br w:type="page"/>
      </w:r>
    </w:p>
    <w:p w14:paraId="2A248B92" w14:textId="77777777" w:rsidR="004E383D" w:rsidRPr="00001A51" w:rsidRDefault="004E383D" w:rsidP="004E383D">
      <w:pPr>
        <w:spacing w:after="0" w:line="360" w:lineRule="auto"/>
        <w:jc w:val="both"/>
        <w:rPr>
          <w:rFonts w:ascii="Arabic Transparent" w:hAnsi="Arabic Transparent" w:cs="Arabic Transparent"/>
          <w:b/>
          <w:bCs/>
          <w:sz w:val="28"/>
          <w:szCs w:val="28"/>
          <w:lang w:bidi="ar-JO"/>
        </w:rPr>
      </w:pPr>
      <w:r w:rsidRPr="00001A51">
        <w:rPr>
          <w:rFonts w:ascii="Arabic Transparent" w:hAnsi="Arabic Transparent" w:cs="Arabic Transparent"/>
          <w:b/>
          <w:bCs/>
          <w:sz w:val="28"/>
          <w:szCs w:val="28"/>
          <w:rtl/>
          <w:lang w:bidi="ar-JO"/>
        </w:rPr>
        <w:t xml:space="preserve"> ب- الحديث النبوي: </w:t>
      </w:r>
    </w:p>
    <w:p w14:paraId="570B21E6" w14:textId="0DE6C0BC" w:rsidR="004E383D" w:rsidRPr="00001A51" w:rsidRDefault="005D7B91" w:rsidP="00F04ECB">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 xml:space="preserve">قد صح من الأحديث ما يدل على مشروعية المنهج الظاهري ضمن المناهج الأصولية، منه الحديث الذي روته أُمِّ سَلَمةَ رضي اللَّه عنها: أَنَّ رَسُول اللَّه </w:t>
      </w:r>
      <w:r w:rsidR="004E383D" w:rsidRPr="00001A51">
        <w:rPr>
          <w:rFonts w:ascii="Arial" w:hAnsi="Arial"/>
          <w:sz w:val="28"/>
          <w:szCs w:val="28"/>
          <w:rtl/>
          <w:lang w:bidi="ar-JO"/>
        </w:rPr>
        <w:t>ﷺ</w:t>
      </w:r>
      <w:r w:rsidR="004E383D" w:rsidRPr="00001A51">
        <w:rPr>
          <w:rFonts w:ascii="Arabic Transparent" w:hAnsi="Arabic Transparent" w:cs="Arabic Transparent"/>
          <w:sz w:val="28"/>
          <w:szCs w:val="28"/>
          <w:rtl/>
          <w:lang w:bidi="ar-JO"/>
        </w:rPr>
        <w:t xml:space="preserve"> قَالَ: "‌إنما ‌أنا ‌بشر، ‌وإنكم ‌تختصمون ‌إلي، ‌ولعل ‌بعضكم أن يكون ألحن بحجته من بعض، وأقضي له على نحو مما أسمع، فمن قضيت له من حق أخيه شيئا فلا يأخذ، فإنما أقطع له قطعة من النار"</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448"/>
      </w:r>
      <w:r w:rsidR="004E383D" w:rsidRPr="00001A51">
        <w:rPr>
          <w:rFonts w:ascii="Arabic Transparent" w:hAnsi="Arabic Transparent" w:cs="Arabic Transparent"/>
          <w:sz w:val="28"/>
          <w:szCs w:val="28"/>
          <w:vertAlign w:val="superscript"/>
          <w:rtl/>
          <w:lang w:bidi="ar-JO"/>
        </w:rPr>
        <w:t>)</w:t>
      </w:r>
      <w:r w:rsidR="007B14A0" w:rsidRPr="00001A51">
        <w:rPr>
          <w:rFonts w:ascii="Arabic Transparent" w:hAnsi="Arabic Transparent" w:cs="Arabic Transparent" w:hint="cs"/>
          <w:sz w:val="28"/>
          <w:szCs w:val="28"/>
          <w:rtl/>
          <w:lang w:bidi="ar-JO"/>
        </w:rPr>
        <w:t>، وجه</w:t>
      </w:r>
      <w:r w:rsidR="004E383D" w:rsidRPr="00001A51">
        <w:rPr>
          <w:rFonts w:ascii="Arabic Transparent" w:hAnsi="Arabic Transparent" w:cs="Arabic Transparent"/>
          <w:sz w:val="28"/>
          <w:szCs w:val="28"/>
          <w:rtl/>
          <w:lang w:bidi="ar-JO"/>
        </w:rPr>
        <w:t xml:space="preserve"> الشاهد أنَّ النبي </w:t>
      </w:r>
      <w:r w:rsidR="005E3842" w:rsidRPr="00001A51">
        <w:rPr>
          <w:rFonts w:ascii="AGA Arabesque" w:hAnsi="AGA Arabesque" w:cs="AGA Arabesque"/>
          <w:sz w:val="28"/>
          <w:szCs w:val="28"/>
          <w:lang w:bidi="ar-JO"/>
        </w:rPr>
        <w:t></w:t>
      </w:r>
      <w:r w:rsidR="004E383D" w:rsidRPr="00001A51">
        <w:rPr>
          <w:rFonts w:ascii="Arabic Transparent" w:hAnsi="Arabic Transparent" w:cs="Arabic Transparent"/>
          <w:sz w:val="28"/>
          <w:szCs w:val="28"/>
          <w:rtl/>
          <w:lang w:bidi="ar-JO"/>
        </w:rPr>
        <w:t xml:space="preserve"> وهو المؤيد بالوحي يتبع المنهج الظاهري في سماع دعاوي النَّاس في قوله "بنحو ما أسمع" ولم يقل بنحو ما يتبين مع القرائن، إنما كلامه هذا قاعدة سار عليه القضاء من يومه إلى يومنا حيث عُد الإقرار والإشهاد من أقوى أدلة الإثبات إلى اليوم، وهي تسري على ما سار عليه المنهج الظاهري</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449"/>
      </w:r>
      <w:r w:rsidR="004E383D" w:rsidRPr="00001A51">
        <w:rPr>
          <w:rFonts w:ascii="Arabic Transparent" w:hAnsi="Arabic Transparent" w:cs="Arabic Transparent"/>
          <w:sz w:val="28"/>
          <w:szCs w:val="28"/>
          <w:vertAlign w:val="superscript"/>
          <w:rtl/>
          <w:lang w:bidi="ar-JO"/>
        </w:rPr>
        <w:t>).</w:t>
      </w:r>
    </w:p>
    <w:p w14:paraId="612067CB" w14:textId="77777777" w:rsidR="004E383D" w:rsidRPr="00001A51" w:rsidRDefault="004E383D" w:rsidP="004E383D">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 xml:space="preserve">ج- المعقول: </w:t>
      </w:r>
    </w:p>
    <w:p w14:paraId="555B38AC" w14:textId="68E3BA34" w:rsidR="00F04ECB" w:rsidRPr="00001A51" w:rsidRDefault="005D7B91" w:rsidP="00AA32AA">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ثبت في علم الاصول في مجال القواعد الفقهيَّة، قاعدة تنص على أن: "الأصل في الكلام الحقيقة"</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450"/>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xml:space="preserve"> ولا يصار إلى المجازي إلا بالقرائن، وهذا هو عين المنهج الظاهري الذي نشأ منذ بداية التشريع ولا زال إلى يومنا هذا وما كان للعقل إلا تصديقه، وذكر زيدان بعض الأمثلة على القاعدة فعندما تقول: كلمة "أسد" فلا يتبادر للعقل إلا الحيوان المفترس بينما إذا أضفت إليها قرينة فقلت</w:t>
      </w:r>
      <w:r w:rsidR="00151AED"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أحسنت يا أسد" دلّت على أنَّ الكلام يراد به مدح شخصٍ يمتلك صفة الشجاعة</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451"/>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حيث لا يصح أن يطلق لفظ للعاقل من البشر على الحيوان غير العاقل، ولا يصح أن يذهب العقل عند وصف الأسد المجرد ليظن أن الإطلاق يراد به غير الأسد، فالنتيجة أن العقل السليم لا يقبل إلا التصور السليم الذي ثبت بظاهر الشرع وصدقته العادة.</w:t>
      </w:r>
    </w:p>
    <w:p w14:paraId="7C17DAB2" w14:textId="77777777" w:rsidR="00F04ECB" w:rsidRPr="00001A51" w:rsidRDefault="004E383D" w:rsidP="00F04ECB">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 xml:space="preserve">3. مثال على المنهج الظاهري: </w:t>
      </w:r>
    </w:p>
    <w:p w14:paraId="70DB1AC8" w14:textId="209F53C8" w:rsidR="00AA32AA" w:rsidRPr="00001A51" w:rsidRDefault="004E383D" w:rsidP="00AA32AA">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b/>
          <w:bCs/>
          <w:sz w:val="28"/>
          <w:szCs w:val="28"/>
          <w:rtl/>
          <w:lang w:bidi="ar-JO"/>
        </w:rPr>
        <w:t xml:space="preserve"> </w:t>
      </w:r>
      <w:r w:rsidR="006D4091" w:rsidRPr="00001A51">
        <w:rPr>
          <w:rFonts w:ascii="Arabic Transparent" w:hAnsi="Arabic Transparent" w:cs="Arabic Transparent" w:hint="cs"/>
          <w:b/>
          <w:bCs/>
          <w:sz w:val="28"/>
          <w:szCs w:val="28"/>
          <w:rtl/>
          <w:lang w:bidi="ar-JO"/>
        </w:rPr>
        <w:t xml:space="preserve">   </w:t>
      </w:r>
      <w:r w:rsidRPr="00001A51">
        <w:rPr>
          <w:rFonts w:ascii="Arabic Transparent" w:hAnsi="Arabic Transparent" w:cs="Arabic Transparent"/>
          <w:b/>
          <w:bCs/>
          <w:sz w:val="28"/>
          <w:szCs w:val="28"/>
          <w:rtl/>
          <w:lang w:bidi="ar-JO"/>
        </w:rPr>
        <w:t xml:space="preserve"> </w:t>
      </w:r>
      <w:r w:rsidRPr="00001A51">
        <w:rPr>
          <w:rFonts w:ascii="Arabic Transparent" w:hAnsi="Arabic Transparent" w:cs="Arabic Transparent"/>
          <w:sz w:val="28"/>
          <w:szCs w:val="28"/>
          <w:rtl/>
          <w:lang w:bidi="ar-JO"/>
        </w:rPr>
        <w:t>في مسألة بيع العينة وهي أن يبيع شخص سلعة بثمن مؤجل أعلى، ثم يشتريها من المشتري نقداً بثمن أقل، فيحصل في النهاية على نقد مقابل زيادة في الذمة</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452"/>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xml:space="preserve">، من اجتهد بها بناءً على </w:t>
      </w:r>
      <w:r w:rsidRPr="00001A51">
        <w:rPr>
          <w:rFonts w:ascii="Arabic Transparent" w:hAnsi="Arabic Transparent" w:cs="Arabic Transparent"/>
          <w:sz w:val="28"/>
          <w:szCs w:val="28"/>
          <w:rtl/>
          <w:lang w:bidi="ar-JO"/>
        </w:rPr>
        <w:lastRenderedPageBreak/>
        <w:t>المنهج الظاهري قال: إنَّ الأصل في المعاملات الإباحة</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453"/>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xml:space="preserve">، ولا يوجد نص صريح وصحيح يحرم صورة </w:t>
      </w:r>
      <w:r w:rsidR="00AA32AA" w:rsidRPr="00001A51">
        <w:rPr>
          <w:rFonts w:ascii="Arabic Transparent" w:hAnsi="Arabic Transparent" w:cs="Arabic Transparent"/>
          <w:sz w:val="28"/>
          <w:szCs w:val="28"/>
          <w:rtl/>
          <w:lang w:bidi="ar-JO"/>
        </w:rPr>
        <w:br w:type="page"/>
      </w:r>
    </w:p>
    <w:p w14:paraId="305AE050" w14:textId="618CC7D5" w:rsidR="004E383D" w:rsidRPr="00001A51" w:rsidRDefault="004E383D" w:rsidP="00F04ECB">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البيع إذا استوفى شروطه وأركانه، وبالتالي يحكم عليها بالإباحة عملاً بتحقيق المناط العام وجرياً على عادة القواعد العامة في البيوع، ولا يحكم بالتحريم اعتماداً على قصد التحايل أو سد الذرائع، لأنَّ ذلك تعليلاً عقلياً وليس نصاً ظاهراً عند من يقول بجوازه</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454"/>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w:t>
      </w:r>
    </w:p>
    <w:p w14:paraId="295C2452" w14:textId="77777777" w:rsidR="004E383D" w:rsidRPr="00001A51" w:rsidRDefault="004E383D" w:rsidP="004E383D">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 xml:space="preserve">ثانياً: المنهج المقاصدي: </w:t>
      </w:r>
    </w:p>
    <w:p w14:paraId="4EEA2DA9" w14:textId="6421EF88" w:rsidR="004E383D" w:rsidRPr="00001A51" w:rsidRDefault="005D7B91" w:rsidP="004E383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b/>
          <w:bCs/>
          <w:sz w:val="28"/>
          <w:szCs w:val="28"/>
          <w:rtl/>
          <w:lang w:bidi="ar-JO"/>
        </w:rPr>
        <w:t xml:space="preserve">     </w:t>
      </w:r>
      <w:r w:rsidR="004E383D" w:rsidRPr="00001A51">
        <w:rPr>
          <w:rFonts w:ascii="Arabic Transparent" w:hAnsi="Arabic Transparent" w:cs="Arabic Transparent"/>
          <w:sz w:val="28"/>
          <w:szCs w:val="28"/>
          <w:rtl/>
          <w:lang w:bidi="ar-JO"/>
        </w:rPr>
        <w:t>هو المنهج المعدُّ لإدراك مكنونات وأسرار الأمور عند النظر في القضايا الفقهيَّة المعاصرة والتي تنبثق عنها حزمةً من المسائل الماليَّة المعاصرة يصعب في معظم الأحيان إدراك علتها لخفاء معين، بالمقابل فإنها تبدو حكمتها الشرعية</w:t>
      </w:r>
      <w:r w:rsidR="004E383D" w:rsidRPr="00001A51">
        <w:rPr>
          <w:rFonts w:ascii="Arabic Transparent" w:hAnsi="Arabic Transparent" w:cs="Arabic Transparent"/>
          <w:sz w:val="28"/>
          <w:szCs w:val="28"/>
          <w:vertAlign w:val="superscript"/>
          <w:rtl/>
          <w:lang w:bidi="ar-JO"/>
        </w:rPr>
        <w:t xml:space="preserve"> (</w:t>
      </w:r>
      <w:r w:rsidR="004E383D" w:rsidRPr="00001A51">
        <w:rPr>
          <w:rFonts w:ascii="Arabic Transparent" w:hAnsi="Arabic Transparent" w:cs="Arabic Transparent"/>
          <w:sz w:val="28"/>
          <w:szCs w:val="28"/>
          <w:vertAlign w:val="superscript"/>
          <w:rtl/>
          <w:lang w:bidi="ar-JO"/>
        </w:rPr>
        <w:footnoteReference w:id="455"/>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xml:space="preserve"> وغاياتها أن تكون المقاصد مساعدةً على استنباط الحكم الشرعي ضمن باقة من القواعد والأصول التي ينتظم الاجتهاد من خلالها، وسوف نعرف المزيد عنه من جهة: حقيقته ومشروعيته، والتمثيل عليه، وبيانها كما يأتي:</w:t>
      </w:r>
    </w:p>
    <w:p w14:paraId="08E69E5D" w14:textId="77777777" w:rsidR="004E383D" w:rsidRPr="00001A51" w:rsidRDefault="004E383D" w:rsidP="004E383D">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 xml:space="preserve">1. حقيقة المنهج المقاصدي: </w:t>
      </w:r>
    </w:p>
    <w:p w14:paraId="79B59B8F" w14:textId="77777777" w:rsidR="00F04ECB" w:rsidRPr="00001A51" w:rsidRDefault="005D7B91" w:rsidP="00F04ECB">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 xml:space="preserve">يعد أحد الأسباب التي تسيِّر حركة الاجتهاد الفقهي مع وجود المعيقات، من قلة النصوص في بعض المسائل، وندرتها في البعض الآخر، ممَّا دعا العلماء إلى إعمال المقاصد الشرعية، وسوف نتعرف على حقيقتها بشكل جيد من خلال إدراك المعنى اللُّغَوي والاصطلاحي كما يأتي: </w:t>
      </w:r>
    </w:p>
    <w:p w14:paraId="22209D0F" w14:textId="55D64CAF" w:rsidR="007B14A0" w:rsidRPr="00001A51" w:rsidRDefault="005D7B91" w:rsidP="00F04ECB">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عرفنا مفهوم المنهج سابقاً وأما مصطلح المقاصدي بياء النسبة التي أصلها مقاصد ومفردها مقصد وأصلها الثلاثي قصد وتعني لغةً: "من إتيان الشي، ومن الاعتدال ويأتي بمعنى الغاية والفحوى والمقاصد تعني الأهداف"</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456"/>
      </w:r>
      <w:r w:rsidR="004E383D" w:rsidRPr="00001A51">
        <w:rPr>
          <w:rFonts w:ascii="Arabic Transparent" w:hAnsi="Arabic Transparent" w:cs="Arabic Transparent"/>
          <w:sz w:val="28"/>
          <w:szCs w:val="28"/>
          <w:vertAlign w:val="superscript"/>
          <w:rtl/>
          <w:lang w:bidi="ar-JO"/>
        </w:rPr>
        <w:t>).</w:t>
      </w:r>
    </w:p>
    <w:p w14:paraId="0058EE81" w14:textId="1BAF21F0" w:rsidR="00E661D0" w:rsidRPr="00001A51" w:rsidRDefault="005D7B91" w:rsidP="004E383D">
      <w:pPr>
        <w:spacing w:after="0" w:line="360" w:lineRule="auto"/>
        <w:jc w:val="both"/>
        <w:rPr>
          <w:rFonts w:ascii="Arabic Transparent" w:hAnsi="Arabic Transparent" w:cs="Arabic Transparent"/>
          <w:sz w:val="28"/>
          <w:szCs w:val="28"/>
          <w:vertAlign w:val="superscript"/>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وعرفه الزحيلي اصطلاحا، بقوله: "هي المعاني والأهداف الملحوظة للشرع في جميع أحكامه أو معظمها"</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457"/>
      </w:r>
      <w:r w:rsidR="004E383D" w:rsidRPr="00001A51">
        <w:rPr>
          <w:rFonts w:ascii="Arabic Transparent" w:hAnsi="Arabic Transparent" w:cs="Arabic Transparent"/>
          <w:sz w:val="28"/>
          <w:szCs w:val="28"/>
          <w:vertAlign w:val="superscript"/>
          <w:rtl/>
          <w:lang w:bidi="ar-JO"/>
        </w:rPr>
        <w:t>)</w:t>
      </w:r>
    </w:p>
    <w:p w14:paraId="28B5C796" w14:textId="77777777" w:rsidR="00E661D0" w:rsidRPr="00001A51" w:rsidRDefault="00E661D0">
      <w:pPr>
        <w:bidi w:val="0"/>
        <w:spacing w:after="0" w:line="240" w:lineRule="auto"/>
        <w:rPr>
          <w:rFonts w:ascii="Arabic Transparent" w:hAnsi="Arabic Transparent" w:cs="Arabic Transparent"/>
          <w:sz w:val="28"/>
          <w:szCs w:val="28"/>
          <w:vertAlign w:val="superscript"/>
          <w:rtl/>
          <w:lang w:bidi="ar-JO"/>
        </w:rPr>
      </w:pPr>
      <w:r w:rsidRPr="00001A51">
        <w:rPr>
          <w:rFonts w:ascii="Arabic Transparent" w:hAnsi="Arabic Transparent" w:cs="Arabic Transparent"/>
          <w:sz w:val="28"/>
          <w:szCs w:val="28"/>
          <w:vertAlign w:val="superscript"/>
          <w:rtl/>
          <w:lang w:bidi="ar-JO"/>
        </w:rPr>
        <w:br w:type="page"/>
      </w:r>
    </w:p>
    <w:p w14:paraId="6EC2726C" w14:textId="5509BE94" w:rsidR="004E383D" w:rsidRPr="00001A51" w:rsidRDefault="005D7B91" w:rsidP="004E383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و</w:t>
      </w:r>
      <w:r w:rsidR="004E383D" w:rsidRPr="00001A51">
        <w:rPr>
          <w:rFonts w:ascii="Arabic Transparent" w:hAnsi="Arabic Transparent" w:cs="Arabic Transparent"/>
          <w:sz w:val="28"/>
          <w:szCs w:val="28"/>
          <w:rtl/>
        </w:rPr>
        <w:t>أمَّا</w:t>
      </w:r>
      <w:r w:rsidR="004E383D" w:rsidRPr="00001A51">
        <w:rPr>
          <w:rFonts w:ascii="Arabic Transparent" w:hAnsi="Arabic Transparent" w:cs="Arabic Transparent"/>
          <w:sz w:val="28"/>
          <w:szCs w:val="28"/>
          <w:rtl/>
          <w:lang w:bidi="ar-JO"/>
        </w:rPr>
        <w:t xml:space="preserve"> بالنسبة للمفهوم باعتباره لقباً فقد عرف بعدة تعريفات من قبل المعاصرين كما يأتي: </w:t>
      </w:r>
    </w:p>
    <w:p w14:paraId="34AC95D8" w14:textId="024ABD75" w:rsidR="004E383D" w:rsidRPr="00001A51" w:rsidRDefault="005D7B91" w:rsidP="004E383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حيث عرَّفَه ابن عاشور، بقوله:</w:t>
      </w:r>
      <w:r w:rsidR="00151AED"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المعاني والحكم الملحوظة للشارع في جميع أحوال التشريع أو معظمها بحيث لا تختص ملاحظتها بالكون في نوع خاص من أحكام الشريعة"</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458"/>
      </w:r>
      <w:r w:rsidR="004E383D" w:rsidRPr="00001A51">
        <w:rPr>
          <w:rFonts w:ascii="Arabic Transparent" w:hAnsi="Arabic Transparent" w:cs="Arabic Transparent"/>
          <w:sz w:val="28"/>
          <w:szCs w:val="28"/>
          <w:vertAlign w:val="superscript"/>
          <w:rtl/>
          <w:lang w:bidi="ar-JO"/>
        </w:rPr>
        <w:t>)</w:t>
      </w:r>
    </w:p>
    <w:p w14:paraId="5BFD4407" w14:textId="13C85B22" w:rsidR="004E383D" w:rsidRPr="00001A51" w:rsidRDefault="005D7B91" w:rsidP="004E383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وعرَّفَه علال الفاسي بقوله: "الأسرار التي وضعها الشارع عند كل حكم من الأحكام"</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459"/>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xml:space="preserve"> </w:t>
      </w:r>
    </w:p>
    <w:p w14:paraId="1E27A21A" w14:textId="6DFBC068" w:rsidR="004E383D" w:rsidRPr="00001A51" w:rsidRDefault="005D7B91" w:rsidP="004E383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وعرَّفَه الريسوني، بقوله: "هي الغايات التي وضعتها الشريعة لأجل تحقيقها لمصلحة العباد"</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460"/>
      </w:r>
      <w:r w:rsidR="004E383D" w:rsidRPr="00001A51">
        <w:rPr>
          <w:rFonts w:ascii="Arabic Transparent" w:hAnsi="Arabic Transparent" w:cs="Arabic Transparent"/>
          <w:sz w:val="28"/>
          <w:szCs w:val="28"/>
          <w:vertAlign w:val="superscript"/>
          <w:rtl/>
          <w:lang w:bidi="ar-JO"/>
        </w:rPr>
        <w:t>)</w:t>
      </w:r>
    </w:p>
    <w:p w14:paraId="718285F3" w14:textId="2AC32ECB" w:rsidR="004E383D" w:rsidRPr="00001A51" w:rsidRDefault="005D7B91" w:rsidP="004E383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 xml:space="preserve">وممَّا يؤخذ على التعريفات السابقة أنها أهملت مقاصد المكلف على اعتبار أن المقاصد تقسم إلى مقاصد الشارع ومقاصد المكلف، وبمجموعهما يطلق عليها مقاصد الشريعة، والأمر الآخر أنها ركزت على الغاية من المقاصد ولم تركز على أثرها في الاجتهاد. </w:t>
      </w:r>
    </w:p>
    <w:p w14:paraId="3759B88F" w14:textId="63F83F0B" w:rsidR="004E383D" w:rsidRPr="00001A51" w:rsidRDefault="005D7B91" w:rsidP="004E383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 xml:space="preserve">نخلص من مجموع التعاريف السابقة إلى التعريف التالي للمنهج المقاصدي، بأنه: الطريق المنظم الذي يسلكه المجتهد في مراعاته المعاني التي يعتبرها الشارع، والبواعث التي تصدر من المكلف ممَّا له تأثير في تنزيل الحكم على محله المناسب، ويمكن بسط التعريف كما يأتي: </w:t>
      </w:r>
    </w:p>
    <w:p w14:paraId="05BD6DB7" w14:textId="0A7C60FC" w:rsidR="004E383D" w:rsidRPr="00001A51" w:rsidRDefault="004E383D" w:rsidP="00F04ECB">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w:t>
      </w:r>
      <w:r w:rsidRPr="00001A51">
        <w:rPr>
          <w:rFonts w:ascii="Arabic Transparent" w:hAnsi="Arabic Transparent" w:cs="Arabic Transparent"/>
          <w:b/>
          <w:bCs/>
          <w:sz w:val="28"/>
          <w:szCs w:val="28"/>
          <w:rtl/>
          <w:lang w:bidi="ar-JO"/>
        </w:rPr>
        <w:t>هو الطريق المنظم الذي يسلكه المجتهد</w:t>
      </w:r>
      <w:r w:rsidRPr="00001A51">
        <w:rPr>
          <w:rFonts w:ascii="Arabic Transparent" w:hAnsi="Arabic Transparent" w:cs="Arabic Transparent"/>
          <w:sz w:val="28"/>
          <w:szCs w:val="28"/>
          <w:rtl/>
          <w:lang w:bidi="ar-JO"/>
        </w:rPr>
        <w:t>": للدلالة على المنهج من تنظيم وترتيب، والذي يقتضي حدوث ذلك للملقب به عند انتسابه له.وقولنا" في مراعاته المعاني التي يعتبرها الشارع، والبواعث التي تصدر من المكلف" أي ألا يغفل عن مقاصد الشارع وحكمه التي هي معتبرة لدى المشرع من وراء تشريع الأحكام للمكلفين ولدى المكلف في باعثه من إجراء الفعل وما يترتب عليه من أحكام.</w:t>
      </w:r>
    </w:p>
    <w:p w14:paraId="4F26C518" w14:textId="60A15958" w:rsidR="004E383D" w:rsidRPr="00001A51" w:rsidRDefault="00151AED" w:rsidP="00F04ECB">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w:t>
      </w:r>
      <w:r w:rsidR="004E383D" w:rsidRPr="00001A51">
        <w:rPr>
          <w:rFonts w:ascii="Arabic Transparent" w:hAnsi="Arabic Transparent" w:cs="Arabic Transparent"/>
          <w:b/>
          <w:bCs/>
          <w:sz w:val="28"/>
          <w:szCs w:val="28"/>
          <w:rtl/>
          <w:lang w:bidi="ar-JO"/>
        </w:rPr>
        <w:t>ممَّا له تأثير في تنزيل الحكم على محله المناسب</w:t>
      </w:r>
      <w:r w:rsidR="004E383D" w:rsidRPr="00001A51">
        <w:rPr>
          <w:rFonts w:ascii="Arabic Transparent" w:hAnsi="Arabic Transparent" w:cs="Arabic Transparent"/>
          <w:sz w:val="28"/>
          <w:szCs w:val="28"/>
          <w:rtl/>
          <w:lang w:bidi="ar-JO"/>
        </w:rPr>
        <w:t>" أي يؤثر في اختيار الحكم المناسب عند تحقيق المناط الخاص، إذن فالتفاوت يحصل مع المنهج المقاصدي خصوصاً في حالة دراسة الحادثة بمعزل عن ظاهر النصوص الشرعية، سوف تؤدي إلى الخروج بآراء شرعية باسم المقاصد وهي بعيدة كل البعد عن التشريع.</w:t>
      </w:r>
    </w:p>
    <w:p w14:paraId="34E90A9D" w14:textId="6B48F144" w:rsidR="000A2709" w:rsidRPr="00001A51" w:rsidRDefault="00F04ECB" w:rsidP="000A2709">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hint="cs"/>
          <w:sz w:val="28"/>
          <w:szCs w:val="28"/>
          <w:rtl/>
          <w:lang w:bidi="ar-JO"/>
        </w:rPr>
        <w:t xml:space="preserve">      </w:t>
      </w:r>
      <w:r w:rsidR="004E383D" w:rsidRPr="00001A51">
        <w:rPr>
          <w:rFonts w:ascii="Arabic Transparent" w:hAnsi="Arabic Transparent" w:cs="Arabic Transparent"/>
          <w:sz w:val="28"/>
          <w:szCs w:val="28"/>
          <w:rtl/>
          <w:lang w:bidi="ar-JO"/>
        </w:rPr>
        <w:t>كما أن العلماء قد سموا المنهج المقاصدي</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461"/>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xml:space="preserve"> بعدة مسميات، حيث سموه بناءً على طبيعة العمل به، مغلّبون لجهة بناء الأحكام عليه، فمنهم من سماه </w:t>
      </w:r>
      <w:r w:rsidR="00E661D0" w:rsidRPr="00001A51">
        <w:rPr>
          <w:rFonts w:ascii="Arabic Transparent" w:hAnsi="Arabic Transparent" w:cs="Arabic Transparent" w:hint="cs"/>
          <w:sz w:val="28"/>
          <w:szCs w:val="28"/>
          <w:rtl/>
          <w:lang w:bidi="ar-JO"/>
        </w:rPr>
        <w:t>"</w:t>
      </w:r>
      <w:r w:rsidR="004E383D" w:rsidRPr="00001A51">
        <w:rPr>
          <w:rFonts w:ascii="Arabic Transparent" w:hAnsi="Arabic Transparent" w:cs="Arabic Transparent"/>
          <w:sz w:val="28"/>
          <w:szCs w:val="28"/>
          <w:rtl/>
          <w:lang w:bidi="ar-JO"/>
        </w:rPr>
        <w:t>بالمنهج الاستصلاحي</w:t>
      </w:r>
      <w:r w:rsidR="00E661D0" w:rsidRPr="00001A51">
        <w:rPr>
          <w:rFonts w:ascii="Arabic Transparent" w:hAnsi="Arabic Transparent" w:cs="Arabic Transparent" w:hint="cs"/>
          <w:sz w:val="28"/>
          <w:szCs w:val="28"/>
          <w:rtl/>
          <w:lang w:bidi="ar-JO"/>
        </w:rPr>
        <w:t>"</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462"/>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xml:space="preserve">ومنهم من سماه بمنهج </w:t>
      </w:r>
      <w:r w:rsidR="000A2709" w:rsidRPr="00001A51">
        <w:rPr>
          <w:rFonts w:ascii="Arabic Transparent" w:hAnsi="Arabic Transparent" w:cs="Arabic Transparent"/>
          <w:sz w:val="28"/>
          <w:szCs w:val="28"/>
          <w:rtl/>
          <w:lang w:bidi="ar-JO"/>
        </w:rPr>
        <w:br w:type="page"/>
      </w:r>
    </w:p>
    <w:p w14:paraId="1D640BBA" w14:textId="173705DF" w:rsidR="004E383D" w:rsidRPr="00001A51" w:rsidRDefault="00E661D0" w:rsidP="004E383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hint="cs"/>
          <w:sz w:val="28"/>
          <w:szCs w:val="28"/>
          <w:rtl/>
          <w:lang w:bidi="ar-JO"/>
        </w:rPr>
        <w:t>"</w:t>
      </w:r>
      <w:r w:rsidR="004E383D" w:rsidRPr="00001A51">
        <w:rPr>
          <w:rFonts w:ascii="Arabic Transparent" w:hAnsi="Arabic Transparent" w:cs="Arabic Transparent"/>
          <w:sz w:val="28"/>
          <w:szCs w:val="28"/>
          <w:rtl/>
          <w:lang w:bidi="ar-JO"/>
        </w:rPr>
        <w:t>التيسير والتساهل أو التفريط</w:t>
      </w:r>
      <w:r w:rsidRPr="00001A51">
        <w:rPr>
          <w:rFonts w:ascii="Arabic Transparent" w:hAnsi="Arabic Transparent" w:cs="Arabic Transparent" w:hint="cs"/>
          <w:sz w:val="28"/>
          <w:szCs w:val="28"/>
          <w:rtl/>
          <w:lang w:bidi="ar-JO"/>
        </w:rPr>
        <w:t>"</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463"/>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xml:space="preserve"> ومنهم من سمى </w:t>
      </w:r>
      <w:r w:rsidRPr="00001A51">
        <w:rPr>
          <w:rFonts w:ascii="Arabic Transparent" w:hAnsi="Arabic Transparent" w:cs="Arabic Transparent" w:hint="cs"/>
          <w:sz w:val="28"/>
          <w:szCs w:val="28"/>
          <w:rtl/>
          <w:lang w:bidi="ar-JO"/>
        </w:rPr>
        <w:t>"</w:t>
      </w:r>
      <w:r w:rsidR="004E383D" w:rsidRPr="00001A51">
        <w:rPr>
          <w:rFonts w:ascii="Arabic Transparent" w:hAnsi="Arabic Transparent" w:cs="Arabic Transparent"/>
          <w:sz w:val="28"/>
          <w:szCs w:val="28"/>
          <w:rtl/>
          <w:lang w:bidi="ar-JO"/>
        </w:rPr>
        <w:t>المدارس المنحرفة منها بمدرسة الغلو في التوسع</w:t>
      </w:r>
      <w:r w:rsidRPr="00001A51">
        <w:rPr>
          <w:rFonts w:ascii="Arabic Transparent" w:hAnsi="Arabic Transparent" w:cs="Arabic Transparent" w:hint="cs"/>
          <w:sz w:val="28"/>
          <w:szCs w:val="28"/>
          <w:rtl/>
          <w:lang w:bidi="ar-JO"/>
        </w:rPr>
        <w:t>"</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464"/>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والعبرة في التطبيق لا للمسمى، فإن كان استعمال المقاصد بضوابطها، فلا خلاف فيه، وإن كان استعماله من غير ضوابط أي: بالتشهي، أو بالمنع نظراً للمآلات أو البواعث ومخالفةً للظواهر، لتبرير ما لا يجوز شرعاً، فلا خلاف بين العلماء الثقات بعدم قبول هذه الاجتهادات؛ لأنها موهومة، أو باطلة من الأساس</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465"/>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وبعد التعرف على حقيقة المقاصد فما هو الباعث وما علاقته بمناط الحكم؟</w:t>
      </w:r>
    </w:p>
    <w:p w14:paraId="2006E335" w14:textId="5F467729" w:rsidR="007B14A0" w:rsidRPr="00001A51" w:rsidRDefault="005D7B91" w:rsidP="00E661D0">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عند النظر في كتب الأصوليين نجد أن هناك اختلافاً بينهم في مدى ظهور الباعث، وكذلك اختلاف في شروط تعيين المناط، وهي من الأسباب التي أدت إلى التَّفاوت في تحقيق المناط الخاص عند الاجتهاد في المنهج المقاصدي، لذا لابد من التعرف على حقيقة الباعث وحكمته، وهي كما يأتي:</w:t>
      </w:r>
    </w:p>
    <w:p w14:paraId="504572AA" w14:textId="77777777" w:rsidR="004E383D" w:rsidRPr="00001A51" w:rsidRDefault="004E383D" w:rsidP="004E383D">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أ- تعريف الباعث لغةً واصطلاحاً:</w:t>
      </w:r>
    </w:p>
    <w:p w14:paraId="134CC132" w14:textId="77777777" w:rsidR="004E383D" w:rsidRPr="00001A51" w:rsidRDefault="004E383D" w:rsidP="004E383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b/>
          <w:bCs/>
          <w:sz w:val="28"/>
          <w:szCs w:val="28"/>
          <w:rtl/>
          <w:lang w:bidi="ar-JO"/>
        </w:rPr>
        <w:t xml:space="preserve">1.لغة: </w:t>
      </w:r>
      <w:r w:rsidRPr="00001A51">
        <w:rPr>
          <w:rFonts w:ascii="Arabic Transparent" w:hAnsi="Arabic Transparent" w:cs="Arabic Transparent"/>
          <w:sz w:val="28"/>
          <w:szCs w:val="28"/>
          <w:rtl/>
          <w:lang w:bidi="ar-JO"/>
        </w:rPr>
        <w:t>أصله ‌بعث بمعنى: "أرسله، وبُعث به: أرسله مع غيره، وابتعثه أيضاً: أي أرسله فانبعث، والباعث هو المُرسل أو الدافع"</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466"/>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xml:space="preserve"> والمعنى الأخير هو الذي عليه العمل.</w:t>
      </w:r>
    </w:p>
    <w:p w14:paraId="66BE5757" w14:textId="77777777" w:rsidR="006C083A" w:rsidRPr="00001A51" w:rsidRDefault="004E383D" w:rsidP="004E383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lastRenderedPageBreak/>
        <w:t>2</w:t>
      </w:r>
      <w:r w:rsidRPr="00001A51">
        <w:rPr>
          <w:rFonts w:ascii="Arabic Transparent" w:hAnsi="Arabic Transparent" w:cs="Arabic Transparent"/>
          <w:b/>
          <w:bCs/>
          <w:sz w:val="28"/>
          <w:szCs w:val="28"/>
          <w:rtl/>
          <w:lang w:bidi="ar-JO"/>
        </w:rPr>
        <w:t>.اصطلاحاً:</w:t>
      </w:r>
      <w:r w:rsidRPr="00001A51">
        <w:rPr>
          <w:rFonts w:ascii="Arabic Transparent" w:hAnsi="Arabic Transparent" w:cs="Arabic Transparent"/>
          <w:sz w:val="28"/>
          <w:szCs w:val="28"/>
          <w:rtl/>
          <w:lang w:bidi="ar-JO"/>
        </w:rPr>
        <w:t xml:space="preserve"> استعمل بعض الأصوليين كلمة الباعث بمعنى العلة</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467"/>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xml:space="preserve">، وقد فسر بعضهم هذا المعنى، فعرَّف الباعث، بأنَّه: "تضمن العلة حكمة مقصودة للشارع من تحقيق مصلحة أو درء مفسدة، مما </w:t>
      </w:r>
    </w:p>
    <w:p w14:paraId="6A375B4B" w14:textId="77777777" w:rsidR="006C083A" w:rsidRPr="00001A51" w:rsidRDefault="006C083A">
      <w:pPr>
        <w:bidi w:val="0"/>
        <w:spacing w:after="0" w:line="240" w:lineRule="auto"/>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br w:type="page"/>
      </w:r>
    </w:p>
    <w:p w14:paraId="029C620D" w14:textId="2F299B4B" w:rsidR="004E383D" w:rsidRPr="00001A51" w:rsidRDefault="004E383D" w:rsidP="004E383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يجعل هذه العلة مناسبة لترتيب الشارع الحكم عليها"</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468"/>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وهذا من جهة باعث الشارع</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469"/>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ومن جهة باعث المكلفين، فقد عرَّفه من المعاصرين الدريني، فقال: هو "الدافع الذي يحرك إرادة المنشئ للتصرف إلى تحقيق غرض غير مباشر"</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470"/>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وعرّفه الكيلاني، بأنَّه: "الغاية المتوخاة بعد التنفيذ من خلال الفعل، أو التصرف وحينئذ يحكم على التصرف، بحكم الشرع في تلك الغاية، إيجاباً أو سلباً حسب الأحوال"</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471"/>
      </w:r>
      <w:r w:rsidRPr="00001A51">
        <w:rPr>
          <w:rFonts w:ascii="Arabic Transparent" w:hAnsi="Arabic Transparent" w:cs="Arabic Transparent"/>
          <w:sz w:val="28"/>
          <w:szCs w:val="28"/>
          <w:vertAlign w:val="superscript"/>
          <w:rtl/>
          <w:lang w:bidi="ar-JO"/>
        </w:rPr>
        <w:t>)</w:t>
      </w:r>
    </w:p>
    <w:p w14:paraId="446A39C1" w14:textId="59ED2FAD" w:rsidR="004E383D" w:rsidRPr="00001A51" w:rsidRDefault="005D7B91" w:rsidP="004E383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وعند مناقشة التعريفات، نجد أنها متقاربة من حيث المعنى، فالدافع هو ذاته الغاية والمقصد الذي أًنشأ الفعل من أجله، وتعريف الكيلاني هو الأرجح في حق المكلف؛ لأنه بيَّن ارتباط حكم الشرع على سبيل الإباحة أو التحريم بحسب ظهور الباعث السلبي أو الإيجابي.</w:t>
      </w:r>
    </w:p>
    <w:p w14:paraId="580C2052" w14:textId="77777777" w:rsidR="004E383D" w:rsidRPr="00001A51" w:rsidRDefault="004E383D" w:rsidP="004E383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b/>
          <w:bCs/>
          <w:sz w:val="28"/>
          <w:szCs w:val="28"/>
          <w:rtl/>
          <w:lang w:bidi="ar-JO"/>
        </w:rPr>
        <w:t>شرح التعريف المختار</w:t>
      </w:r>
      <w:r w:rsidRPr="00001A51">
        <w:rPr>
          <w:rFonts w:ascii="Arabic Transparent" w:hAnsi="Arabic Transparent" w:cs="Arabic Transparent"/>
          <w:sz w:val="28"/>
          <w:szCs w:val="28"/>
          <w:rtl/>
          <w:lang w:bidi="ar-JO"/>
        </w:rPr>
        <w:t xml:space="preserve">: </w:t>
      </w:r>
    </w:p>
    <w:p w14:paraId="63CAB6F4" w14:textId="061870FA" w:rsidR="007B14A0" w:rsidRPr="00001A51" w:rsidRDefault="004E383D" w:rsidP="000A2709">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w:t>
      </w:r>
      <w:r w:rsidRPr="00001A51">
        <w:rPr>
          <w:rFonts w:ascii="Arabic Transparent" w:hAnsi="Arabic Transparent" w:cs="Arabic Transparent"/>
          <w:b/>
          <w:bCs/>
          <w:sz w:val="28"/>
          <w:szCs w:val="28"/>
          <w:rtl/>
          <w:lang w:bidi="ar-JO"/>
        </w:rPr>
        <w:t>الغاية المتوخاة بعد التنفيذ من خلال الفعل أو التصرف</w:t>
      </w:r>
      <w:r w:rsidRPr="00001A51">
        <w:rPr>
          <w:rFonts w:ascii="Arabic Transparent" w:hAnsi="Arabic Transparent" w:cs="Arabic Transparent"/>
          <w:sz w:val="28"/>
          <w:szCs w:val="28"/>
          <w:rtl/>
          <w:lang w:bidi="ar-JO"/>
        </w:rPr>
        <w:t>": وإن كان ظاهر التصرف الإباحة، فإن الهدف المرجو بعد إنشائه وتنفيذه من خلال الفعل المجرد الذي يقوم بها الإنسان أو التصرفات التي ينشأها رد على سلوك أو موقف معين، كلها معتبرة ولها أهمية بالغة في مباحث الأصوليين</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472"/>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w:t>
      </w:r>
    </w:p>
    <w:p w14:paraId="272FE009" w14:textId="3F1060F7" w:rsidR="004E383D" w:rsidRPr="00001A51" w:rsidRDefault="004E383D" w:rsidP="004E383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w:t>
      </w:r>
      <w:r w:rsidRPr="00001A51">
        <w:rPr>
          <w:rFonts w:ascii="Arabic Transparent" w:hAnsi="Arabic Transparent" w:cs="Arabic Transparent"/>
          <w:b/>
          <w:bCs/>
          <w:sz w:val="28"/>
          <w:szCs w:val="28"/>
          <w:rtl/>
          <w:lang w:bidi="ar-JO"/>
        </w:rPr>
        <w:t>وحينئذ يحكم على التصرف بحكم الشرع في تلك الغاية</w:t>
      </w:r>
      <w:r w:rsidRPr="00001A51">
        <w:rPr>
          <w:rFonts w:ascii="Arabic Transparent" w:hAnsi="Arabic Transparent" w:cs="Arabic Transparent"/>
          <w:sz w:val="28"/>
          <w:szCs w:val="28"/>
          <w:rtl/>
          <w:lang w:bidi="ar-JO"/>
        </w:rPr>
        <w:t>": وهو وظيفة المجتهد أن يحكم على التصرفات التي لها علاقة بغاية الفاعل أو المتصرف</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473"/>
      </w:r>
      <w:r w:rsidRPr="00001A51">
        <w:rPr>
          <w:rFonts w:ascii="Arabic Transparent" w:hAnsi="Arabic Transparent" w:cs="Arabic Transparent"/>
          <w:sz w:val="28"/>
          <w:szCs w:val="28"/>
          <w:vertAlign w:val="superscript"/>
          <w:rtl/>
          <w:lang w:bidi="ar-JO"/>
        </w:rPr>
        <w:t>)</w:t>
      </w:r>
      <w:r w:rsidR="000A2709" w:rsidRPr="00001A51">
        <w:rPr>
          <w:rFonts w:ascii="Arabic Transparent" w:hAnsi="Arabic Transparent" w:cs="Arabic Transparent" w:hint="cs"/>
          <w:sz w:val="28"/>
          <w:szCs w:val="28"/>
          <w:rtl/>
          <w:lang w:bidi="ar-JO"/>
        </w:rPr>
        <w:t>.</w:t>
      </w:r>
    </w:p>
    <w:p w14:paraId="72B28C83" w14:textId="2FBD0392" w:rsidR="000A2709" w:rsidRPr="00001A51" w:rsidRDefault="004E383D" w:rsidP="004E383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w:t>
      </w:r>
      <w:r w:rsidRPr="00001A51">
        <w:rPr>
          <w:rFonts w:ascii="Arabic Transparent" w:hAnsi="Arabic Transparent" w:cs="Arabic Transparent"/>
          <w:b/>
          <w:bCs/>
          <w:sz w:val="28"/>
          <w:szCs w:val="28"/>
          <w:rtl/>
          <w:lang w:bidi="ar-JO"/>
        </w:rPr>
        <w:t>إيجاباً أو سلباً حسب الأحوال</w:t>
      </w:r>
      <w:r w:rsidRPr="00001A51">
        <w:rPr>
          <w:rFonts w:ascii="Arabic Transparent" w:hAnsi="Arabic Transparent" w:cs="Arabic Transparent"/>
          <w:sz w:val="28"/>
          <w:szCs w:val="28"/>
          <w:rtl/>
          <w:lang w:bidi="ar-JO"/>
        </w:rPr>
        <w:t>": الحكم يكون على سبيل الإيجاب بالإباحة، أو الوجوب، أو الندب، أو السلب على سبيل التحريم، أو الكراهة وذلك يعود لحال السائل ووقائع المسألة المسؤول عنها</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474"/>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w:t>
      </w:r>
    </w:p>
    <w:p w14:paraId="013EC332" w14:textId="77777777" w:rsidR="000A2709" w:rsidRPr="00001A51" w:rsidRDefault="000A2709">
      <w:pPr>
        <w:bidi w:val="0"/>
        <w:spacing w:after="0" w:line="240" w:lineRule="auto"/>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br w:type="page"/>
      </w:r>
    </w:p>
    <w:p w14:paraId="46C57639" w14:textId="77777777" w:rsidR="004E383D" w:rsidRPr="00001A51" w:rsidRDefault="004E383D" w:rsidP="004E383D">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ثانياً: علاقة الباعث بالمناط</w:t>
      </w:r>
    </w:p>
    <w:p w14:paraId="0476290D" w14:textId="6EF7FAC6" w:rsidR="004E383D" w:rsidRPr="00001A51" w:rsidRDefault="005D7B91" w:rsidP="00F04ECB">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تبين سابقاً مفهوم المناط</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475"/>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ورجحنا تعريف القرافي هو ما نِيط، أو تعلق به الحكم</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476"/>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فالمناط يتعلق بالحكم وجوداً وعدماً، والمناطات "هي المقتضية للحكم، فلا يتخلف مقتضاها عنها، فشرط فيها الاطراد"</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477"/>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والشارع نَصب الأوصاف الظاهرة علامة على الأحكام؛ أما الباعث في حق المكلف، فهو قد يخفى ولا ينضبط ويتعذر الوقوف على حقائقه ومقاديره باختلاف صوره التي لا نهاية لها، بحسب الأحوال، والأشخاص، والأزمان، لذلك ناط الشارع الحكيم الأحكام بالأوصاف الثابتة التي لا تتغير بتغير الزمان</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478"/>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xml:space="preserve"> والباعث يتعلق بغاية تصرفات المكلفين الظاهرة والباطنة، والمثال على الباعث وأثره على الحكم في ادِّخار ما يتضرر النَّاس بحبسه طلباً للربح، فذلك مما يدخل في باب الاحتكار، وإن كان لتأمين حاجات نفسه وعياله فهو الادخار، فالأول محرم والثاني مباح</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479"/>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ويمكن أن نلخص أنَّ العلاقة بين الباعث والعلة عموم وخصوص وجهي، حيث يقرر ذلك ابن القيم، فيقول: عن الوجه الأول: "مطلق التماثل، فإن العلة إمَّا أن تكون سميت علة استعارة من البواعث، فإن الباعث على الفعل يسمى علَّة الفعل، فمن أعطى فقيرًا شيئًا لفقره، وعلل بأنه فقير، ثم منع فقيرًا وقال: لأنه عَدوِّي"</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480"/>
      </w:r>
      <w:r w:rsidR="004E383D" w:rsidRPr="00001A51">
        <w:rPr>
          <w:rFonts w:ascii="Arabic Transparent" w:hAnsi="Arabic Transparent" w:cs="Arabic Transparent"/>
          <w:sz w:val="28"/>
          <w:szCs w:val="28"/>
          <w:vertAlign w:val="superscript"/>
          <w:rtl/>
          <w:lang w:bidi="ar-JO"/>
        </w:rPr>
        <w:t>)</w:t>
      </w:r>
      <w:r w:rsidR="007B14A0" w:rsidRPr="00001A51">
        <w:rPr>
          <w:rFonts w:ascii="Arabic Transparent" w:hAnsi="Arabic Transparent" w:cs="Arabic Transparent" w:hint="cs"/>
          <w:sz w:val="28"/>
          <w:szCs w:val="28"/>
          <w:rtl/>
          <w:lang w:bidi="ar-JO"/>
        </w:rPr>
        <w:t xml:space="preserve">، </w:t>
      </w:r>
      <w:r w:rsidR="004E383D" w:rsidRPr="00001A51">
        <w:rPr>
          <w:rFonts w:ascii="Arabic Transparent" w:hAnsi="Arabic Transparent" w:cs="Arabic Transparent"/>
          <w:sz w:val="28"/>
          <w:szCs w:val="28"/>
          <w:rtl/>
          <w:lang w:bidi="ar-JO"/>
        </w:rPr>
        <w:t>فهنا اجتمع الباعث مع المناط وهو البحث عن الفقير الباقي على الاستقامة التي يقتضيها أصل الفطرة وعدم إعطاء عدو المسلمين، والوجه الآخر: عدم التماثل بين المناط والباعث، وهو جلي في المناط الظاهر وضرب عليه ابن القيم المثل: فالأوصاف الظاهرة كالبرودة والسخونة مثلا، "علة المرض في المريض؛ لأنه يظهر عقيبها"</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481"/>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w:t>
      </w:r>
      <w:r w:rsidR="004E383D" w:rsidRPr="00001A51">
        <w:rPr>
          <w:rFonts w:ascii="Arabic Transparent" w:hAnsi="Arabic Transparent" w:cs="Arabic Transparent"/>
          <w:sz w:val="28"/>
          <w:szCs w:val="28"/>
          <w:vertAlign w:val="superscript"/>
          <w:rtl/>
          <w:lang w:bidi="ar-JO"/>
        </w:rPr>
        <w:t xml:space="preserve"> </w:t>
      </w:r>
      <w:r w:rsidR="004E383D" w:rsidRPr="00001A51">
        <w:rPr>
          <w:rFonts w:ascii="Arabic Transparent" w:hAnsi="Arabic Transparent" w:cs="Arabic Transparent"/>
          <w:sz w:val="28"/>
          <w:szCs w:val="28"/>
          <w:rtl/>
          <w:lang w:bidi="ar-JO"/>
        </w:rPr>
        <w:t>فله أن يفطر في رمضان وليس للباعث أثر عليها؛ لأنَّه غير مماثل للعلة وبدوره غير مؤثر في الحكم.</w:t>
      </w:r>
    </w:p>
    <w:p w14:paraId="4E462727" w14:textId="77777777" w:rsidR="000A2709" w:rsidRPr="00001A51" w:rsidRDefault="000A2709">
      <w:pPr>
        <w:bidi w:val="0"/>
        <w:spacing w:after="0" w:line="240" w:lineRule="auto"/>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br w:type="page"/>
      </w:r>
    </w:p>
    <w:p w14:paraId="441177DE" w14:textId="37F1B1FE" w:rsidR="004E383D" w:rsidRPr="00001A51" w:rsidRDefault="004E383D" w:rsidP="004E383D">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ب- اختلاف الفقهاء في مدى ظهور الباعث:</w:t>
      </w:r>
    </w:p>
    <w:p w14:paraId="2B64F75C" w14:textId="0D97BE0C" w:rsidR="000A2709" w:rsidRPr="00001A51" w:rsidRDefault="005D7B91" w:rsidP="00F04ECB">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 xml:space="preserve">     </w:t>
      </w:r>
      <w:r w:rsidR="004E383D" w:rsidRPr="00001A51">
        <w:rPr>
          <w:rFonts w:ascii="Arabic Transparent" w:hAnsi="Arabic Transparent" w:cs="Arabic Transparent"/>
          <w:sz w:val="28"/>
          <w:szCs w:val="28"/>
          <w:rtl/>
          <w:lang w:bidi="ar-JO"/>
        </w:rPr>
        <w:t>من أسباب التَّفاوت في تحقيق المناط الخاص الاختلاف في بعض الفروع التطبيقية؛ وعادةً ما يكون بسبب اختلاف الفقهاء في مدى ظهور الباعث</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482"/>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ونجده جلياً في تطبيقات المدرسة المقاصدية الممثلة بالمالكية</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483"/>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xml:space="preserve"> والحنابلة</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484"/>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والمدرسة الظاهرية الممثلة بالحنفية</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485"/>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xml:space="preserve"> والشافعية،</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486"/>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xml:space="preserve"> وبالمثال يتضح المقال، حيث يقول الشافعي</w:t>
      </w: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"أصل ما أذهب اليه، أن كل عقد صحيح في الظاهر لم أبطله بتهمة...</w:t>
      </w: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وكما أكره للرجل أن يبيع العنب ممن يراه أنَّه يعصره خمرًا، ولا أفسد البيع إذا باعه، لأنَّه باعه حلالاً وقد يمكن أن لا يجعله خمرًا أبدًا"</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487"/>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xml:space="preserve"> وهنا يتبن أنَّ الشافعي يأخذ بظاهر المعاملة ولا يعتبر قرينة سلوكه كافية على تحقيق المآل الممنوع، وحتى يحكم بالمنع يجب أن يظهر الباعث صراحةً</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488"/>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بالرغم من أن هذه المعاملة عند علماء المدرسة المقاصدية ممنوعة نظراً للمآل وعملاً بالقرائن ولو كانت خفية في المعاملة</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489"/>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xml:space="preserve"> فالمناط متفق عليه، والخلاف متى تحقق المناط في الفرع فهل نكتفي بالقرائن، أم لابد من التصريح بالباعث.</w:t>
      </w:r>
    </w:p>
    <w:p w14:paraId="116293B3" w14:textId="77777777" w:rsidR="000A2709" w:rsidRPr="00001A51" w:rsidRDefault="000A2709">
      <w:pPr>
        <w:bidi w:val="0"/>
        <w:spacing w:after="0" w:line="240" w:lineRule="auto"/>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br w:type="page"/>
      </w:r>
    </w:p>
    <w:p w14:paraId="28606C96" w14:textId="16326FAA" w:rsidR="006B3A6F" w:rsidRPr="00001A51" w:rsidRDefault="004E383D" w:rsidP="006B3A6F">
      <w:pPr>
        <w:spacing w:after="0" w:line="360" w:lineRule="auto"/>
        <w:ind w:firstLine="332"/>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ولفهم</w:t>
      </w:r>
      <w:r w:rsidRPr="00001A51">
        <w:rPr>
          <w:rFonts w:ascii="Aptos" w:hAnsi="Aptos"/>
          <w:rtl/>
        </w:rPr>
        <w:t xml:space="preserve"> </w:t>
      </w:r>
      <w:r w:rsidRPr="00001A51">
        <w:rPr>
          <w:rFonts w:ascii="Arabic Transparent" w:hAnsi="Arabic Transparent" w:cs="Arabic Transparent"/>
          <w:sz w:val="28"/>
          <w:szCs w:val="28"/>
          <w:rtl/>
          <w:lang w:bidi="ar-JO"/>
        </w:rPr>
        <w:t>اختلاف الفقهاء في مدى ظهور الباعث الذي هو سبب من أسباب التَّفاوت عند تحقيق المناط الخاص، يظهر جلياً بالمثال كما في نكاح التحليل، فليس هو النكاح الذي جعله الله سبباً لتحليل المرأة لزوجها، فهذا العقد يقصد به أثر ما بعد الفسخ، ولا يقصد به العقد الصحيح أي عقد النكاح ولا أثراً من آثاره، ولا مقصداً فرعياً من مقاصده، كأن يقصد النكاح الحقيقي، وأمَّا من جهة تحقيق المناط الخاص، فانَّ الضرر المتوقع أو المفسدة المتوقعة التي هي الباعث من وراء التصرف إذا كانت تفوق المصلحة التي شرع الفعل لأجلها ابتداءً فإنه ينتفي حينئذ المناط العام (الإباحة) بعد النظر للمآلات المتوقعة، وتكون هي الدليل الذي يستوجب حكماً خلاف الحكم الأصلي العام لتحقق المناط الخاص للحكم الراجح</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490"/>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وهو الحرمة وفسخ العقد، على رأي مالك</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491"/>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xml:space="preserve"> وأحمد</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492"/>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وأما إذا كانت المصلحة تفوق</w:t>
      </w:r>
      <w:r w:rsidR="00F04ECB" w:rsidRPr="00001A51">
        <w:rPr>
          <w:rFonts w:ascii="Arabic Transparent" w:hAnsi="Arabic Transparent" w:cs="Arabic Transparent" w:hint="cs"/>
          <w:sz w:val="28"/>
          <w:szCs w:val="28"/>
          <w:rtl/>
          <w:lang w:bidi="ar-JO"/>
        </w:rPr>
        <w:t xml:space="preserve"> </w:t>
      </w:r>
      <w:r w:rsidRPr="00001A51">
        <w:rPr>
          <w:rFonts w:ascii="Arabic Transparent" w:hAnsi="Arabic Transparent" w:cs="Arabic Transparent"/>
          <w:sz w:val="28"/>
          <w:szCs w:val="28"/>
          <w:rtl/>
          <w:lang w:bidi="ar-JO"/>
        </w:rPr>
        <w:t>الضرر ورغبت أن تعود للزوج الأول فلها ذلك على رأي أبي حنيفة</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493"/>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xml:space="preserve"> والشافعي</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494"/>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xml:space="preserve">، فالنكاح جائز عملاً بظاهر الحال، ونقل الكمال ابن الهمام: "إن (المحلل) مأجور وإن شرط (الطلاٌق) ‌لقصد ‌الإصلاح، ‌وتأويل ‌اللعن </w:t>
      </w:r>
      <w:r w:rsidR="002A05FD" w:rsidRPr="00001A51">
        <w:rPr>
          <w:rFonts w:ascii="Arabic Transparent" w:hAnsi="Arabic Transparent" w:cs="Arabic Transparent" w:hint="cs"/>
          <w:sz w:val="28"/>
          <w:szCs w:val="28"/>
          <w:rtl/>
          <w:lang w:bidi="ar-JO"/>
        </w:rPr>
        <w:t>(ف</w:t>
      </w:r>
      <w:r w:rsidRPr="00001A51">
        <w:rPr>
          <w:rFonts w:ascii="Arabic Transparent" w:hAnsi="Arabic Transparent" w:cs="Arabic Transparent"/>
          <w:sz w:val="28"/>
          <w:szCs w:val="28"/>
          <w:rtl/>
          <w:lang w:bidi="ar-JO"/>
        </w:rPr>
        <w:t>ي الحديث</w:t>
      </w:r>
      <w:r w:rsidR="002A05FD" w:rsidRPr="00001A51">
        <w:rPr>
          <w:rFonts w:ascii="Arabic Transparent" w:hAnsi="Arabic Transparent" w:cs="Arabic Transparent" w:hint="cs"/>
          <w:sz w:val="28"/>
          <w:szCs w:val="28"/>
          <w:rtl/>
          <w:lang w:bidi="ar-JO"/>
        </w:rPr>
        <w:t>) "</w:t>
      </w:r>
      <w:r w:rsidRPr="00001A51">
        <w:rPr>
          <w:rFonts w:ascii="Arabic Transparent" w:hAnsi="Arabic Transparent" w:cs="Arabic Transparent"/>
          <w:sz w:val="28"/>
          <w:szCs w:val="28"/>
          <w:rtl/>
          <w:lang w:bidi="ar-JO"/>
        </w:rPr>
        <w:t>لعن الله المحلل والمحلل له"</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495"/>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عند هؤلاء إذا شرط الأجر على ذلك</w:t>
      </w:r>
      <w:r w:rsidR="002A05FD" w:rsidRPr="00001A51">
        <w:rPr>
          <w:rFonts w:ascii="Aptos" w:hAnsi="Aptos" w:hint="cs"/>
          <w:rtl/>
        </w:rPr>
        <w:t>"</w:t>
      </w:r>
      <w:r w:rsidR="002A05FD" w:rsidRPr="00001A51">
        <w:rPr>
          <w:rFonts w:ascii="Arabic Transparent" w:hAnsi="Arabic Transparent" w:cs="Arabic Transparent" w:hint="cs"/>
          <w:sz w:val="28"/>
          <w:szCs w:val="28"/>
          <w:vertAlign w:val="superscript"/>
          <w:rtl/>
          <w:lang w:bidi="ar-JO"/>
        </w:rPr>
        <w:t>(</w:t>
      </w:r>
      <w:r w:rsidR="002A05FD" w:rsidRPr="00001A51">
        <w:rPr>
          <w:rStyle w:val="FootnoteReference"/>
          <w:rFonts w:ascii="Arabic Transparent" w:hAnsi="Arabic Transparent" w:cs="Arabic Transparent" w:hint="cs"/>
          <w:sz w:val="28"/>
          <w:szCs w:val="28"/>
          <w:rtl/>
          <w:lang w:bidi="ar-JO"/>
        </w:rPr>
        <w:footnoteReference w:id="496"/>
      </w:r>
      <w:r w:rsidR="002A05FD" w:rsidRPr="00001A51">
        <w:rPr>
          <w:rFonts w:ascii="Arabic Transparent" w:hAnsi="Arabic Transparent" w:cs="Arabic Transparent" w:hint="cs"/>
          <w:sz w:val="28"/>
          <w:szCs w:val="28"/>
          <w:vertAlign w:val="superscript"/>
          <w:rtl/>
          <w:lang w:bidi="ar-JO"/>
        </w:rPr>
        <w:t>)</w:t>
      </w:r>
      <w:r w:rsidR="002A05FD" w:rsidRPr="00001A51">
        <w:rPr>
          <w:rFonts w:ascii="Arabic Transparent" w:hAnsi="Arabic Transparent" w:cs="Arabic Transparent" w:hint="cs"/>
          <w:sz w:val="28"/>
          <w:szCs w:val="28"/>
          <w:rtl/>
          <w:lang w:bidi="ar-JO"/>
        </w:rPr>
        <w:t>،</w:t>
      </w:r>
      <w:r w:rsidRPr="00001A51">
        <w:rPr>
          <w:rFonts w:ascii="Aptos" w:hAnsi="Aptos"/>
          <w:rtl/>
        </w:rPr>
        <w:t xml:space="preserve"> </w:t>
      </w:r>
      <w:r w:rsidRPr="00001A51">
        <w:rPr>
          <w:rFonts w:ascii="Arabic Transparent" w:hAnsi="Arabic Transparent" w:cs="Arabic Transparent"/>
          <w:sz w:val="28"/>
          <w:szCs w:val="28"/>
          <w:rtl/>
          <w:lang w:bidi="ar-JO"/>
        </w:rPr>
        <w:t>‌و</w:t>
      </w:r>
      <w:r w:rsidR="002A05FD" w:rsidRPr="00001A51">
        <w:rPr>
          <w:rFonts w:ascii="Arabic Transparent" w:hAnsi="Arabic Transparent" w:cs="Arabic Transparent" w:hint="cs"/>
          <w:sz w:val="28"/>
          <w:szCs w:val="28"/>
          <w:rtl/>
          <w:lang w:bidi="ar-JO"/>
        </w:rPr>
        <w:t>"</w:t>
      </w:r>
      <w:r w:rsidRPr="00001A51">
        <w:rPr>
          <w:rFonts w:ascii="Arabic Transparent" w:hAnsi="Arabic Transparent" w:cs="Arabic Transparent"/>
          <w:sz w:val="28"/>
          <w:szCs w:val="28"/>
          <w:rtl/>
          <w:lang w:bidi="ar-JO"/>
        </w:rPr>
        <w:t>اللعن ‌على ‌هذا ‌الحمل ‌أظهر لأنه كأخذ الأجرة على عسب التيس (اللقاح الذكري) وهو حرام</w:t>
      </w:r>
      <w:r w:rsidR="005D7B91" w:rsidRPr="00001A51">
        <w:rPr>
          <w:rFonts w:ascii="Arabic Transparent" w:hAnsi="Arabic Transparent" w:cs="Arabic Transparent"/>
          <w:sz w:val="28"/>
          <w:szCs w:val="28"/>
          <w:rtl/>
          <w:lang w:bidi="ar-JO"/>
        </w:rPr>
        <w:t xml:space="preserve">، </w:t>
      </w:r>
      <w:r w:rsidRPr="00001A51">
        <w:rPr>
          <w:rFonts w:ascii="Arabic Transparent" w:hAnsi="Arabic Transparent" w:cs="Arabic Transparent"/>
          <w:sz w:val="28"/>
          <w:szCs w:val="28"/>
          <w:rtl/>
          <w:lang w:bidi="ar-JO"/>
        </w:rPr>
        <w:t xml:space="preserve">ويقربه أنه </w:t>
      </w:r>
      <w:r w:rsidRPr="00001A51">
        <w:rPr>
          <w:rFonts w:ascii="AGA Arabesque" w:hAnsi="AGA Arabesque" w:cs="AGA Arabesque"/>
          <w:sz w:val="28"/>
          <w:szCs w:val="28"/>
          <w:lang w:bidi="ar-JO"/>
        </w:rPr>
        <w:t></w:t>
      </w:r>
      <w:r w:rsidRPr="00001A51">
        <w:rPr>
          <w:rFonts w:ascii="Arabic Transparent" w:hAnsi="Arabic Transparent" w:cs="Arabic Transparent"/>
          <w:sz w:val="28"/>
          <w:szCs w:val="28"/>
          <w:rtl/>
          <w:lang w:bidi="ar-JO"/>
        </w:rPr>
        <w:t xml:space="preserve"> سماه التيس المستعار"</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497"/>
      </w:r>
      <w:r w:rsidRPr="00001A51">
        <w:rPr>
          <w:rFonts w:ascii="Arabic Transparent" w:hAnsi="Arabic Transparent" w:cs="Arabic Transparent"/>
          <w:sz w:val="28"/>
          <w:szCs w:val="28"/>
          <w:vertAlign w:val="superscript"/>
          <w:rtl/>
          <w:lang w:bidi="ar-JO"/>
        </w:rPr>
        <w:t>)</w:t>
      </w:r>
      <w:r w:rsidR="00F04ECB" w:rsidRPr="00001A51">
        <w:rPr>
          <w:rFonts w:ascii="Arabic Transparent" w:hAnsi="Arabic Transparent" w:cs="Arabic Transparent" w:hint="cs"/>
          <w:sz w:val="28"/>
          <w:szCs w:val="28"/>
          <w:rtl/>
          <w:lang w:bidi="ar-JO"/>
        </w:rPr>
        <w:t xml:space="preserve">، </w:t>
      </w:r>
      <w:r w:rsidRPr="00001A51">
        <w:rPr>
          <w:rFonts w:ascii="Arabic Transparent" w:hAnsi="Arabic Transparent" w:cs="Arabic Transparent"/>
          <w:sz w:val="28"/>
          <w:szCs w:val="28"/>
          <w:rtl/>
          <w:lang w:bidi="ar-JO"/>
        </w:rPr>
        <w:t xml:space="preserve">والتَّفاوت السابق أصله اجتهاد يُحتمل فيه الوجه الأول والثاني بناءً على تقدير المجتهد للمفاسد والمصالح، وتقدير مدى ظهور الباعث أو عدم ظهوره، وتحقيقه للمناط الخاص </w:t>
      </w:r>
      <w:r w:rsidRPr="00001A51">
        <w:rPr>
          <w:rFonts w:ascii="Arabic Transparent" w:hAnsi="Arabic Transparent" w:cs="Arabic Transparent"/>
          <w:sz w:val="28"/>
          <w:szCs w:val="28"/>
          <w:rtl/>
          <w:lang w:bidi="ar-JO"/>
        </w:rPr>
        <w:lastRenderedPageBreak/>
        <w:t>الذي يستطيع أن يجزم معه بالحكم الشرعي الذي يتحرى فيه الحلال والبعد عن الحرام.</w:t>
      </w:r>
      <w:r w:rsidR="006B3A6F" w:rsidRPr="00001A51">
        <w:rPr>
          <w:rFonts w:ascii="Arabic Transparent" w:hAnsi="Arabic Transparent" w:cs="Arabic Transparent"/>
          <w:sz w:val="28"/>
          <w:szCs w:val="28"/>
          <w:rtl/>
          <w:lang w:bidi="ar-JO"/>
        </w:rPr>
        <w:br w:type="page"/>
      </w:r>
    </w:p>
    <w:p w14:paraId="01F63701" w14:textId="77777777" w:rsidR="004E383D" w:rsidRPr="00001A51" w:rsidRDefault="004E383D" w:rsidP="004E383D">
      <w:pPr>
        <w:spacing w:after="0" w:line="360" w:lineRule="auto"/>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2. مشروعية المنهج المقاصدي:</w:t>
      </w:r>
    </w:p>
    <w:p w14:paraId="5DA8D9EF" w14:textId="0F96725D" w:rsidR="004E383D" w:rsidRPr="00001A51" w:rsidRDefault="005D7B91" w:rsidP="004E383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 xml:space="preserve">لقد ثبتت حجيَّة المقاصد من خلال استقراء مصادر الشريعة المطهرة، حيث يستطيع المنقب فيها أن يقطع بأن التشريع لم يأتِ عبثاً، وهي كما يأتي: </w:t>
      </w:r>
    </w:p>
    <w:p w14:paraId="31BD84FD" w14:textId="7ADF8A35" w:rsidR="004E383D" w:rsidRPr="00001A51" w:rsidRDefault="004E383D" w:rsidP="00F04ECB">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b/>
          <w:bCs/>
          <w:sz w:val="28"/>
          <w:szCs w:val="28"/>
          <w:rtl/>
          <w:lang w:bidi="ar-JO"/>
        </w:rPr>
        <w:t>أ- القرآن الكريم</w:t>
      </w:r>
      <w:r w:rsidRPr="00001A51">
        <w:rPr>
          <w:rFonts w:ascii="Arabic Transparent" w:hAnsi="Arabic Transparent" w:cs="Arabic Transparent"/>
          <w:sz w:val="28"/>
          <w:szCs w:val="28"/>
          <w:rtl/>
          <w:lang w:bidi="ar-JO"/>
        </w:rPr>
        <w:t xml:space="preserve">: </w:t>
      </w:r>
      <w:r w:rsidR="006B3A6F" w:rsidRPr="00001A51">
        <w:rPr>
          <w:rFonts w:ascii="Arabic Transparent" w:hAnsi="Arabic Transparent" w:cs="Arabic Transparent" w:hint="cs"/>
          <w:sz w:val="28"/>
          <w:szCs w:val="28"/>
          <w:rtl/>
          <w:lang w:bidi="ar-JO"/>
        </w:rPr>
        <w:t>"</w:t>
      </w:r>
      <w:r w:rsidRPr="00001A51">
        <w:rPr>
          <w:rFonts w:ascii="Arabic Transparent" w:hAnsi="Arabic Transparent" w:cs="Arabic Transparent"/>
          <w:sz w:val="28"/>
          <w:szCs w:val="28"/>
          <w:rtl/>
          <w:lang w:bidi="ar-JO"/>
        </w:rPr>
        <w:t>جاءت الشريعة بمقاصد جليلة وأهمها المقصد الذي ينص على جلب المصالح للعباد ودرء المفاسد عنهم</w:t>
      </w:r>
      <w:r w:rsidR="006B3A6F" w:rsidRPr="00001A51">
        <w:rPr>
          <w:rFonts w:ascii="Arabic Transparent" w:hAnsi="Arabic Transparent" w:cs="Arabic Transparent" w:hint="cs"/>
          <w:sz w:val="28"/>
          <w:szCs w:val="28"/>
          <w:rtl/>
          <w:lang w:bidi="ar-JO"/>
        </w:rPr>
        <w:t>"</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498"/>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xml:space="preserve"> والنصوص قاطبة تدل على ذلك، والتي منها؛ ما يوضح المقصد والغاية من إرسال الرسل، وإنزال الكتب السماوية، كما في قوله تعالى: </w:t>
      </w:r>
      <w:r w:rsidRPr="00001A51">
        <w:rPr>
          <w:rFonts w:ascii="KFGQPC HAFS Uthmanic Script" w:hAnsi="Aptos" w:cs="KFGQPC HAFS Uthmanic Script"/>
          <w:color w:val="000000"/>
          <w:sz w:val="28"/>
          <w:szCs w:val="28"/>
          <w:rtl/>
        </w:rPr>
        <w:t>ﵟ وَمَآ أَرۡسَلۡنَٰكَ إِلَّا رَحۡمَةٗ لِّلۡعَٰلَمِينَ ١٠٧ﵞ ﵝالأَنبِيَاء</w:t>
      </w:r>
      <w:r w:rsidR="005D7B91" w:rsidRPr="00001A51">
        <w:rPr>
          <w:rFonts w:ascii="KFGQPC HAFS Uthmanic Script" w:hAnsi="Aptos" w:cs="KFGQPC HAFS Uthmanic Script"/>
          <w:color w:val="000000"/>
          <w:sz w:val="28"/>
          <w:szCs w:val="28"/>
          <w:rtl/>
        </w:rPr>
        <w:t xml:space="preserve">: </w:t>
      </w:r>
      <w:r w:rsidRPr="00001A51">
        <w:rPr>
          <w:rFonts w:ascii="KFGQPC HAFS Uthmanic Script" w:hAnsi="Aptos" w:cs="KFGQPC HAFS Uthmanic Script"/>
          <w:color w:val="000000"/>
          <w:sz w:val="28"/>
          <w:szCs w:val="28"/>
          <w:rtl/>
        </w:rPr>
        <w:t>ﵗﵐﵑﵜ</w:t>
      </w:r>
      <w:r w:rsidRPr="00001A51">
        <w:rPr>
          <w:rFonts w:ascii="Arabic Transparent" w:hAnsi="Arabic Transparent" w:cs="Arabic Transparent"/>
          <w:sz w:val="28"/>
          <w:szCs w:val="28"/>
          <w:rtl/>
          <w:lang w:bidi="ar-JO"/>
        </w:rPr>
        <w:t xml:space="preserve"> وقوله تعالى: </w:t>
      </w:r>
      <w:r w:rsidRPr="00001A51">
        <w:rPr>
          <w:rFonts w:ascii="KFGQPC HAFS Uthmanic Script" w:hAnsi="Aptos" w:cs="KFGQPC HAFS Uthmanic Script"/>
          <w:color w:val="000000"/>
          <w:sz w:val="28"/>
          <w:szCs w:val="28"/>
          <w:rtl/>
        </w:rPr>
        <w:t>ﵟ نَزَّلَ عَلَيۡكَ ٱلۡكِتَٰبَ بِٱلۡحَقِّ مُصَدِّقٗا لِّمَا بَيۡنَ يَدَيۡهِ وَأَنزَلَ ٱلتَّوۡرَىٰةَ وَٱلۡإِنجِيلَ ٣ مِن قَبۡلُ هُدٗى لِّلنَّاسِ وَأَنزَلَ ٱلۡفُرۡقَانَ</w:t>
      </w:r>
      <w:r w:rsidRPr="00001A51">
        <w:rPr>
          <w:rFonts w:ascii="KFGQPC HAFS Uthmanic Script" w:hAnsi="Aptos" w:cs="Cambria"/>
          <w:color w:val="000000"/>
          <w:sz w:val="28"/>
          <w:szCs w:val="28"/>
          <w:rtl/>
        </w:rPr>
        <w:t>...</w:t>
      </w:r>
      <w:r w:rsidRPr="00001A51">
        <w:rPr>
          <w:rFonts w:ascii="KFGQPC HAFS Uthmanic Script" w:hAnsi="Aptos" w:cs="KFGQPC HAFS Uthmanic Script"/>
          <w:color w:val="000000"/>
          <w:sz w:val="28"/>
          <w:szCs w:val="28"/>
          <w:rtl/>
        </w:rPr>
        <w:t> ٤ﵞ ﵝآل عِمۡرَان</w:t>
      </w:r>
      <w:r w:rsidR="005D7B91" w:rsidRPr="00001A51">
        <w:rPr>
          <w:rFonts w:ascii="KFGQPC HAFS Uthmanic Script" w:hAnsi="Aptos" w:cs="KFGQPC HAFS Uthmanic Script"/>
          <w:color w:val="000000"/>
          <w:sz w:val="28"/>
          <w:szCs w:val="28"/>
          <w:rtl/>
        </w:rPr>
        <w:t xml:space="preserve">: </w:t>
      </w:r>
      <w:r w:rsidRPr="00001A51">
        <w:rPr>
          <w:rFonts w:ascii="KFGQPC HAFS Uthmanic Script" w:hAnsi="Aptos" w:cs="KFGQPC HAFS Uthmanic Script"/>
          <w:color w:val="000000"/>
          <w:sz w:val="28"/>
          <w:szCs w:val="28"/>
          <w:rtl/>
        </w:rPr>
        <w:t>3</w:t>
      </w:r>
      <w:r w:rsidRPr="00001A51">
        <w:rPr>
          <w:rFonts w:ascii="KFGQPC HAFS Uthmanic Script" w:hAnsi="Aptos" w:cs="Cambria"/>
          <w:color w:val="000000"/>
          <w:sz w:val="28"/>
          <w:szCs w:val="28"/>
          <w:rtl/>
        </w:rPr>
        <w:t>-4</w:t>
      </w:r>
      <w:r w:rsidRPr="00001A51">
        <w:rPr>
          <w:rFonts w:ascii="KFGQPC HAFS Uthmanic Script" w:hAnsi="Aptos" w:cs="KFGQPC HAFS Uthmanic Script"/>
          <w:color w:val="000000"/>
          <w:sz w:val="28"/>
          <w:szCs w:val="28"/>
          <w:rtl/>
        </w:rPr>
        <w:t>ﵜ</w:t>
      </w:r>
      <w:r w:rsidR="007B14A0" w:rsidRPr="00001A51">
        <w:rPr>
          <w:rFonts w:ascii="KFGQPC HAFS Uthmanic Script" w:hAnsi="Aptos" w:hint="cs"/>
          <w:color w:val="000000"/>
          <w:sz w:val="28"/>
          <w:szCs w:val="28"/>
          <w:rtl/>
        </w:rPr>
        <w:t>،</w:t>
      </w:r>
      <w:r w:rsidRPr="00001A51">
        <w:rPr>
          <w:rFonts w:ascii="Arabic Transparent" w:hAnsi="Arabic Transparent" w:cs="Arabic Transparent"/>
          <w:b/>
          <w:bCs/>
          <w:sz w:val="28"/>
          <w:szCs w:val="28"/>
          <w:rtl/>
          <w:lang w:bidi="ar-JO"/>
        </w:rPr>
        <w:t>وجه الدلالة:</w:t>
      </w:r>
      <w:r w:rsidRPr="00001A51">
        <w:rPr>
          <w:rFonts w:ascii="Arabic Transparent" w:hAnsi="Arabic Transparent" w:cs="Arabic Transparent"/>
          <w:sz w:val="28"/>
          <w:szCs w:val="28"/>
          <w:rtl/>
          <w:lang w:bidi="ar-JO"/>
        </w:rPr>
        <w:t xml:space="preserve"> تدل الآيات الكريمة دلالةً واضحة على غاية نزول التشريع، فنجد أن الآية الأولى قد بينت الغاية من إرسال الرسل وهي رحمة من الله، و</w:t>
      </w:r>
      <w:r w:rsidRPr="00001A51">
        <w:rPr>
          <w:rFonts w:ascii="Arabic Transparent" w:hAnsi="Arabic Transparent" w:cs="Arabic Transparent"/>
          <w:sz w:val="28"/>
          <w:szCs w:val="28"/>
          <w:rtl/>
        </w:rPr>
        <w:t>أمَّا</w:t>
      </w:r>
      <w:r w:rsidRPr="00001A51">
        <w:rPr>
          <w:rFonts w:ascii="Arabic Transparent" w:hAnsi="Arabic Transparent" w:cs="Arabic Transparent"/>
          <w:sz w:val="28"/>
          <w:szCs w:val="28"/>
          <w:rtl/>
          <w:lang w:bidi="ar-JO"/>
        </w:rPr>
        <w:t xml:space="preserve"> الآية الأخرى فتدل على مقصد إنزال الكتب السماوية، وهي هداية النَّاس إلى الدين القويم، والصراط المستقيم، ولا يكتفى بهذا </w:t>
      </w:r>
      <w:r w:rsidR="00B154EE" w:rsidRPr="00001A51">
        <w:rPr>
          <w:rFonts w:ascii="Arabic Transparent" w:hAnsi="Arabic Transparent" w:cs="Arabic Transparent" w:hint="cs"/>
          <w:sz w:val="28"/>
          <w:szCs w:val="28"/>
          <w:rtl/>
          <w:lang w:bidi="ar-JO"/>
        </w:rPr>
        <w:t>الحد</w:t>
      </w:r>
      <w:r w:rsidR="00B154EE" w:rsidRPr="00001A51">
        <w:rPr>
          <w:rFonts w:ascii="Arabic Transparent" w:hAnsi="Arabic Transparent" w:cs="Arabic Transparent" w:hint="eastAsia"/>
          <w:sz w:val="28"/>
          <w:szCs w:val="28"/>
          <w:rtl/>
          <w:lang w:bidi="ar-JO"/>
        </w:rPr>
        <w:t>،</w:t>
      </w:r>
      <w:r w:rsidRPr="00001A51">
        <w:rPr>
          <w:rFonts w:ascii="Arabic Transparent" w:hAnsi="Arabic Transparent" w:cs="Arabic Transparent"/>
          <w:sz w:val="28"/>
          <w:szCs w:val="28"/>
          <w:rtl/>
          <w:lang w:bidi="ar-JO"/>
        </w:rPr>
        <w:t xml:space="preserve"> بل هناك الكثير من الآيات الواضحة التي تبين المقاصد من وراء التشريع سواءً في الكليات وهي أصول الدين من الإيمان بالله ورسوله وكتبه واليوم الآخر وغيرها، أوفي الجزئيات، وهي أحكام الشريعة الفرعية من </w:t>
      </w:r>
      <w:r w:rsidR="00B154EE" w:rsidRPr="00001A51">
        <w:rPr>
          <w:rFonts w:ascii="Arabic Transparent" w:hAnsi="Arabic Transparent" w:cs="Arabic Transparent" w:hint="cs"/>
          <w:sz w:val="28"/>
          <w:szCs w:val="28"/>
          <w:rtl/>
          <w:lang w:bidi="ar-JO"/>
        </w:rPr>
        <w:t>صلاة</w:t>
      </w:r>
      <w:r w:rsidR="00B154EE" w:rsidRPr="00001A51">
        <w:rPr>
          <w:rFonts w:ascii="Arabic Transparent" w:hAnsi="Arabic Transparent" w:cs="Arabic Transparent" w:hint="eastAsia"/>
          <w:sz w:val="28"/>
          <w:szCs w:val="28"/>
          <w:rtl/>
          <w:lang w:bidi="ar-JO"/>
        </w:rPr>
        <w:t>،</w:t>
      </w:r>
      <w:r w:rsidRPr="00001A51">
        <w:rPr>
          <w:rFonts w:ascii="Arabic Transparent" w:hAnsi="Arabic Transparent" w:cs="Arabic Transparent"/>
          <w:sz w:val="28"/>
          <w:szCs w:val="28"/>
          <w:rtl/>
          <w:lang w:bidi="ar-JO"/>
        </w:rPr>
        <w:t xml:space="preserve"> </w:t>
      </w:r>
      <w:r w:rsidR="00DA3039" w:rsidRPr="00001A51">
        <w:rPr>
          <w:rFonts w:ascii="Arabic Transparent" w:hAnsi="Arabic Transparent" w:cs="Arabic Transparent" w:hint="cs"/>
          <w:sz w:val="28"/>
          <w:szCs w:val="28"/>
          <w:rtl/>
          <w:lang w:bidi="ar-JO"/>
        </w:rPr>
        <w:t>وصيام</w:t>
      </w:r>
      <w:r w:rsidR="00DA3039" w:rsidRPr="00001A51">
        <w:rPr>
          <w:rFonts w:ascii="Arabic Transparent" w:hAnsi="Arabic Transparent" w:cs="Arabic Transparent" w:hint="eastAsia"/>
          <w:sz w:val="28"/>
          <w:szCs w:val="28"/>
          <w:rtl/>
          <w:lang w:bidi="ar-JO"/>
        </w:rPr>
        <w:t>،</w:t>
      </w:r>
      <w:r w:rsidRPr="00001A51">
        <w:rPr>
          <w:rFonts w:ascii="Arabic Transparent" w:hAnsi="Arabic Transparent" w:cs="Arabic Transparent"/>
          <w:sz w:val="28"/>
          <w:szCs w:val="28"/>
          <w:rtl/>
          <w:lang w:bidi="ar-JO"/>
        </w:rPr>
        <w:t xml:space="preserve"> </w:t>
      </w:r>
      <w:r w:rsidR="00DA3039" w:rsidRPr="00001A51">
        <w:rPr>
          <w:rFonts w:ascii="Arabic Transparent" w:hAnsi="Arabic Transparent" w:cs="Arabic Transparent" w:hint="cs"/>
          <w:sz w:val="28"/>
          <w:szCs w:val="28"/>
          <w:rtl/>
          <w:lang w:bidi="ar-JO"/>
        </w:rPr>
        <w:t>وزكاة</w:t>
      </w:r>
      <w:r w:rsidR="00DA3039" w:rsidRPr="00001A51">
        <w:rPr>
          <w:rFonts w:ascii="Arabic Transparent" w:hAnsi="Arabic Transparent" w:cs="Arabic Transparent" w:hint="eastAsia"/>
          <w:sz w:val="28"/>
          <w:szCs w:val="28"/>
          <w:rtl/>
          <w:lang w:bidi="ar-JO"/>
        </w:rPr>
        <w:t>،</w:t>
      </w:r>
      <w:r w:rsidRPr="00001A51">
        <w:rPr>
          <w:rFonts w:ascii="Arabic Transparent" w:hAnsi="Arabic Transparent" w:cs="Arabic Transparent"/>
          <w:sz w:val="28"/>
          <w:szCs w:val="28"/>
          <w:rtl/>
          <w:lang w:bidi="ar-JO"/>
        </w:rPr>
        <w:t xml:space="preserve"> وغيرها.</w:t>
      </w:r>
    </w:p>
    <w:p w14:paraId="117FB553" w14:textId="6FA187F6" w:rsidR="00F04ECB" w:rsidRPr="00001A51" w:rsidRDefault="004E383D" w:rsidP="00F04ECB">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b/>
          <w:bCs/>
          <w:sz w:val="28"/>
          <w:szCs w:val="28"/>
          <w:rtl/>
          <w:lang w:bidi="ar-JO"/>
        </w:rPr>
        <w:t>ب- السنة النبوية</w:t>
      </w:r>
      <w:r w:rsidRPr="00001A51">
        <w:rPr>
          <w:rFonts w:ascii="Arabic Transparent" w:hAnsi="Arabic Transparent" w:cs="Arabic Transparent"/>
          <w:sz w:val="28"/>
          <w:szCs w:val="28"/>
          <w:rtl/>
          <w:lang w:bidi="ar-JO"/>
        </w:rPr>
        <w:t xml:space="preserve">: ما تواتر عملياً عن النبي </w:t>
      </w:r>
      <w:r w:rsidR="005E3842" w:rsidRPr="00001A51">
        <w:rPr>
          <w:rFonts w:ascii="AGA Arabesque" w:hAnsi="AGA Arabesque" w:cs="AGA Arabesque"/>
          <w:sz w:val="28"/>
          <w:szCs w:val="28"/>
          <w:lang w:bidi="ar-JO"/>
        </w:rPr>
        <w:t></w:t>
      </w:r>
      <w:r w:rsidRPr="00001A51">
        <w:rPr>
          <w:rFonts w:ascii="Arabic Transparent" w:hAnsi="Arabic Transparent" w:cs="Arabic Transparent"/>
          <w:sz w:val="28"/>
          <w:szCs w:val="28"/>
          <w:rtl/>
          <w:lang w:bidi="ar-JO"/>
        </w:rPr>
        <w:t xml:space="preserve"> وأصحابه رضي الله عنهم، فعن أبي هريرة </w:t>
      </w:r>
      <w:r w:rsidR="005224A0" w:rsidRPr="00001A51">
        <w:rPr>
          <w:rFonts w:ascii="AGA Arabesque" w:hAnsi="AGA Arabesque" w:cs="AGA Arabesque"/>
          <w:sz w:val="28"/>
          <w:szCs w:val="28"/>
          <w:lang w:bidi="ar-JO"/>
        </w:rPr>
        <w:t></w:t>
      </w:r>
      <w:r w:rsidRPr="00001A51">
        <w:rPr>
          <w:rFonts w:ascii="Arabic Transparent" w:hAnsi="Arabic Transparent" w:cs="Arabic Transparent"/>
          <w:sz w:val="28"/>
          <w:szCs w:val="28"/>
          <w:rtl/>
          <w:lang w:bidi="ar-JO"/>
        </w:rPr>
        <w:t xml:space="preserve"> قال: قال رسول </w:t>
      </w:r>
      <w:r w:rsidR="005E3842" w:rsidRPr="00001A51">
        <w:rPr>
          <w:rFonts w:ascii="AGA Arabesque" w:hAnsi="AGA Arabesque" w:cs="AGA Arabesque"/>
          <w:sz w:val="28"/>
          <w:szCs w:val="28"/>
          <w:lang w:bidi="ar-JO"/>
        </w:rPr>
        <w:t></w:t>
      </w:r>
      <w:r w:rsidR="00151AED" w:rsidRPr="00001A51">
        <w:rPr>
          <w:rFonts w:ascii="Arabic Transparent" w:hAnsi="Arabic Transparent" w:cs="Arabic Transparent" w:hint="cs"/>
          <w:sz w:val="28"/>
          <w:szCs w:val="28"/>
          <w:rtl/>
          <w:lang w:bidi="ar-JO"/>
        </w:rPr>
        <w:t>:</w:t>
      </w:r>
      <w:r w:rsidRPr="00001A51">
        <w:rPr>
          <w:rFonts w:ascii="Arabic Transparent" w:hAnsi="Arabic Transparent" w:cs="Arabic Transparent"/>
          <w:sz w:val="28"/>
          <w:szCs w:val="28"/>
          <w:rtl/>
          <w:lang w:bidi="ar-JO"/>
        </w:rPr>
        <w:t xml:space="preserve"> "من لم يدع قول الزور والعمل به فليس لله حاجة في أن يدع طعامه وشرابه</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499"/>
      </w:r>
      <w:r w:rsidRPr="00001A51">
        <w:rPr>
          <w:rFonts w:ascii="Arabic Transparent" w:hAnsi="Arabic Transparent" w:cs="Arabic Transparent"/>
          <w:sz w:val="28"/>
          <w:szCs w:val="28"/>
          <w:vertAlign w:val="superscript"/>
          <w:rtl/>
          <w:lang w:bidi="ar-JO"/>
        </w:rPr>
        <w:t>)</w:t>
      </w:r>
      <w:r w:rsidR="004D108D" w:rsidRPr="00001A51">
        <w:rPr>
          <w:rFonts w:ascii="Arabic Transparent" w:hAnsi="Arabic Transparent" w:cs="Arabic Transparent" w:hint="cs"/>
          <w:sz w:val="28"/>
          <w:szCs w:val="28"/>
          <w:rtl/>
          <w:lang w:bidi="ar-JO"/>
        </w:rPr>
        <w:t xml:space="preserve">، </w:t>
      </w:r>
      <w:r w:rsidRPr="00001A51">
        <w:rPr>
          <w:rFonts w:ascii="Arabic Transparent" w:hAnsi="Arabic Transparent" w:cs="Arabic Transparent"/>
          <w:b/>
          <w:bCs/>
          <w:sz w:val="28"/>
          <w:szCs w:val="28"/>
          <w:rtl/>
          <w:lang w:bidi="ar-JO"/>
        </w:rPr>
        <w:t>وجه الدلالة:</w:t>
      </w:r>
      <w:r w:rsidRPr="00001A51">
        <w:rPr>
          <w:rFonts w:ascii="Arabic Transparent" w:hAnsi="Arabic Transparent" w:cs="Arabic Transparent"/>
          <w:sz w:val="28"/>
          <w:szCs w:val="28"/>
          <w:rtl/>
          <w:lang w:bidi="ar-JO"/>
        </w:rPr>
        <w:t xml:space="preserve"> من حكم الصوم ومقاصده تحقيق التقوى لدى المسلم، وهذه إشارة إلى أن ترك الطعام والشراب ليس مقصوداً من الصيام، بل المقصود أن يمتنع عن كل إثم، ومثَّل الحديث على ذلك بقول الزور والعمل به وهو ما كان داخلاً تحت معنى الكذب، وذكره هنا على سبيل التمثيل لا الحصر</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500"/>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w:t>
      </w:r>
    </w:p>
    <w:p w14:paraId="3DF7524E" w14:textId="77777777" w:rsidR="00F04ECB" w:rsidRPr="00001A51" w:rsidRDefault="00F04ECB">
      <w:pPr>
        <w:bidi w:val="0"/>
        <w:spacing w:after="0" w:line="240" w:lineRule="auto"/>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br w:type="page"/>
      </w:r>
    </w:p>
    <w:p w14:paraId="3456C4C0" w14:textId="673FB13F" w:rsidR="004E383D" w:rsidRPr="00001A51" w:rsidRDefault="004E383D" w:rsidP="00F04ECB">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b/>
          <w:bCs/>
          <w:sz w:val="28"/>
          <w:szCs w:val="28"/>
          <w:rtl/>
          <w:lang w:bidi="ar-JO"/>
        </w:rPr>
        <w:t>ج- المعقول:</w:t>
      </w:r>
      <w:r w:rsidRPr="00001A51">
        <w:rPr>
          <w:rFonts w:ascii="Arabic Transparent" w:hAnsi="Arabic Transparent" w:cs="Arabic Transparent"/>
          <w:sz w:val="28"/>
          <w:szCs w:val="28"/>
          <w:rtl/>
          <w:lang w:bidi="ar-JO"/>
        </w:rPr>
        <w:t xml:space="preserve"> بين</w:t>
      </w:r>
      <w:r w:rsidR="00BF1052" w:rsidRPr="00001A51">
        <w:rPr>
          <w:rFonts w:ascii="Arabic Transparent" w:hAnsi="Arabic Transparent" w:cs="Arabic Transparent" w:hint="cs"/>
          <w:sz w:val="28"/>
          <w:szCs w:val="28"/>
          <w:rtl/>
          <w:lang w:bidi="ar-JO"/>
        </w:rPr>
        <w:t xml:space="preserve"> </w:t>
      </w:r>
      <w:r w:rsidRPr="00001A51">
        <w:rPr>
          <w:rFonts w:ascii="Arabic Transparent" w:hAnsi="Arabic Transparent" w:cs="Arabic Transparent"/>
          <w:sz w:val="28"/>
          <w:szCs w:val="28"/>
          <w:rtl/>
          <w:lang w:bidi="ar-JO"/>
        </w:rPr>
        <w:t>الشاطبي مشروعية المنهج المقاصدي بثلاث كلمات مغزاها أن "المقاصد أرواح الأعمال"</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501"/>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xml:space="preserve"> فكيف بمن يقبل على الأعمال إفتاءً من غير استشعار لأروحها، معطلاً إياها بذريعة الحيطة والحذر، وعدم الدليل مستبدلاً قصد الشارع بقصده، فيعد مفتٍ للشريعة بلا روحها وحكمها مع بالغ الأهمية لذوات الأعمال وحرفيتها ولكنها جملة واحدة مع المقاصد</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502"/>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w:t>
      </w:r>
    </w:p>
    <w:p w14:paraId="7FC6D815" w14:textId="283E8AC5" w:rsidR="004E383D" w:rsidRPr="00001A51" w:rsidRDefault="005D7B91" w:rsidP="00F04ECB">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ومن الأسباب التي تجعل النَّاس يقبلون على الدين ظاهراً دون الباطن إقصاء أسرار التشريع عن الأحكام والنصوص، فتغيب المعاني عن قلوب النَّاس، وقد عبّر عنه ولي الله الشاه الدهلوي بقوله:"‌ومنها ‌أن ‌يكلف ‌الناس ‌بأشباح</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503"/>
      </w:r>
      <w:r w:rsidR="004E383D" w:rsidRPr="00001A51">
        <w:rPr>
          <w:rFonts w:ascii="Arabic Transparent" w:hAnsi="Arabic Transparent" w:cs="Arabic Transparent"/>
          <w:sz w:val="28"/>
          <w:szCs w:val="28"/>
          <w:vertAlign w:val="superscript"/>
          <w:rtl/>
          <w:lang w:bidi="ar-JO"/>
        </w:rPr>
        <w:t xml:space="preserve">) </w:t>
      </w:r>
      <w:r w:rsidR="004E383D" w:rsidRPr="00001A51">
        <w:rPr>
          <w:rFonts w:ascii="Arabic Transparent" w:hAnsi="Arabic Transparent" w:cs="Arabic Transparent"/>
          <w:sz w:val="28"/>
          <w:szCs w:val="28"/>
          <w:rtl/>
          <w:lang w:bidi="ar-JO"/>
        </w:rPr>
        <w:t>البر والاثم، ويلزمهم ذلك إلزاما عظيما، ولا يلوح لهم بأرواحها كثير تلويح، ولا يخيرهم في شيء من الشرائع، ويجعل علم أسرار الشرائع الذي هو مأخذ الأحكام التفصيلية علما مكنونا لا يناله إلا من ارتسخت قدمه في العلم"</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504"/>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xml:space="preserve"> ونتيجة ذلك انحطاط الملة في النفوس عن مقصد الشارع والذي عبر عنه الريسوني بقوله:</w:t>
      </w:r>
      <w:r w:rsidR="00151AED"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إن من أسباب انحطاط الملة ذكر الأحكام مجردة عن أسرارها..."</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505"/>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xml:space="preserve"> </w:t>
      </w:r>
    </w:p>
    <w:p w14:paraId="1C50FB06" w14:textId="77777777" w:rsidR="004E383D" w:rsidRPr="00001A51" w:rsidRDefault="004E383D" w:rsidP="004E383D">
      <w:pPr>
        <w:spacing w:after="0" w:line="360" w:lineRule="auto"/>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 xml:space="preserve">3- المثال على المنهج المقاصدي: </w:t>
      </w:r>
    </w:p>
    <w:p w14:paraId="69BAE174" w14:textId="7471D77E" w:rsidR="004E383D" w:rsidRPr="00001A51" w:rsidRDefault="005D7B91" w:rsidP="004E383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في مسألة: حكم تأجير عقار ليستغل في محرم كأن يستأجره بنك ربوي مثلاً.</w:t>
      </w:r>
    </w:p>
    <w:p w14:paraId="41681BE5" w14:textId="788319B5" w:rsidR="004E383D" w:rsidRPr="00001A51" w:rsidRDefault="005D7B91" w:rsidP="004E383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 xml:space="preserve">وصورة المسألة، </w:t>
      </w:r>
      <w:r w:rsidR="00275E05" w:rsidRPr="00001A51">
        <w:rPr>
          <w:rFonts w:ascii="Arabic Transparent" w:hAnsi="Arabic Transparent" w:cs="Arabic Transparent" w:hint="cs"/>
          <w:sz w:val="28"/>
          <w:szCs w:val="28"/>
          <w:rtl/>
          <w:lang w:bidi="ar-JO"/>
        </w:rPr>
        <w:t>"</w:t>
      </w:r>
      <w:r w:rsidR="004E383D" w:rsidRPr="00001A51">
        <w:rPr>
          <w:rFonts w:ascii="Arabic Transparent" w:hAnsi="Arabic Transparent" w:cs="Arabic Transparent"/>
          <w:sz w:val="28"/>
          <w:szCs w:val="28"/>
          <w:rtl/>
          <w:lang w:bidi="ar-JO"/>
        </w:rPr>
        <w:t>أن يعقد مالك مع شخص أو شخصية اعتبارية عقد إجارة لمجمع ليعقد عليه المستأجر محلاً لبيع الخمور، أو مصرفاً ربوياً أو غيرها، فكان ملخص الإجابة: لا يجوز التأجير للبنوك الربوية، لما في ذلك تعاون على الإثم والعدوان الذي ثبت حرمته بالشرع</w:t>
      </w:r>
      <w:r w:rsidR="00275E05" w:rsidRPr="00001A51">
        <w:rPr>
          <w:rFonts w:ascii="Arabic Transparent" w:hAnsi="Arabic Transparent" w:cs="Arabic Transparent" w:hint="cs"/>
          <w:sz w:val="28"/>
          <w:szCs w:val="28"/>
          <w:rtl/>
          <w:lang w:bidi="ar-JO"/>
        </w:rPr>
        <w:t>"</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506"/>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w:t>
      </w:r>
    </w:p>
    <w:p w14:paraId="7D5AC5D1" w14:textId="77777777" w:rsidR="00275E05" w:rsidRPr="00001A51" w:rsidRDefault="005D7B91" w:rsidP="00F04ECB">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 xml:space="preserve">وما يؤيد ذلك أن الشارع الكريم اعتبر مصلحة التعاون على البر والتقوى وألغى نقيضها بقوله ولا تعاونوا على الإثم والعدوان كما في قوله تعالى: </w:t>
      </w:r>
      <w:r w:rsidR="004E383D" w:rsidRPr="00001A51">
        <w:rPr>
          <w:rFonts w:ascii="KFGQPC HAFS Uthmanic Script" w:hAnsi="Aptos" w:cs="KFGQPC HAFS Uthmanic Script"/>
          <w:color w:val="000000"/>
          <w:sz w:val="28"/>
          <w:szCs w:val="28"/>
          <w:rtl/>
        </w:rPr>
        <w:t>ﵟ</w:t>
      </w:r>
      <w:r w:rsidR="004E383D" w:rsidRPr="00001A51">
        <w:rPr>
          <w:rFonts w:ascii="KFGQPC HAFS Uthmanic Script" w:hAnsi="Aptos" w:cs="Cambria"/>
          <w:color w:val="000000"/>
          <w:sz w:val="28"/>
          <w:szCs w:val="28"/>
          <w:rtl/>
        </w:rPr>
        <w:t>...</w:t>
      </w:r>
      <w:r w:rsidR="004E383D" w:rsidRPr="00001A51">
        <w:rPr>
          <w:rFonts w:ascii="KFGQPC HAFS Uthmanic Script" w:hAnsi="Aptos" w:cs="KFGQPC HAFS Uthmanic Script"/>
          <w:color w:val="000000"/>
          <w:sz w:val="28"/>
          <w:szCs w:val="28"/>
          <w:rtl/>
        </w:rPr>
        <w:t>وَتَعَاوَنُواْ عَلَى ٱلۡبِرِّ وَٱلتَّقۡوَىٰۖ وَلَا تَعَاوَنُواْ عَلَى ٱلۡإِثۡمِ وَٱلۡعُدۡوَٰنِۚ</w:t>
      </w:r>
      <w:r w:rsidR="004E383D" w:rsidRPr="00001A51">
        <w:rPr>
          <w:rFonts w:ascii="KFGQPC HAFS Uthmanic Script" w:hAnsi="Aptos" w:cs="Cambria"/>
          <w:color w:val="000000"/>
          <w:sz w:val="28"/>
          <w:szCs w:val="28"/>
          <w:rtl/>
        </w:rPr>
        <w:t>...</w:t>
      </w:r>
      <w:r w:rsidR="004E383D" w:rsidRPr="00001A51">
        <w:rPr>
          <w:rFonts w:ascii="KFGQPC HAFS Uthmanic Script" w:hAnsi="Aptos" w:cs="KFGQPC HAFS Uthmanic Script"/>
          <w:color w:val="000000"/>
          <w:sz w:val="28"/>
          <w:szCs w:val="28"/>
          <w:rtl/>
        </w:rPr>
        <w:t> ٢ﵞ ﵝالمَائـِدَة</w:t>
      </w:r>
      <w:r w:rsidRPr="00001A51">
        <w:rPr>
          <w:rFonts w:ascii="KFGQPC HAFS Uthmanic Script" w:hAnsi="Aptos" w:cs="KFGQPC HAFS Uthmanic Script"/>
          <w:color w:val="000000"/>
          <w:sz w:val="28"/>
          <w:szCs w:val="28"/>
          <w:rtl/>
        </w:rPr>
        <w:t xml:space="preserve">: </w:t>
      </w:r>
      <w:r w:rsidR="004E383D" w:rsidRPr="00001A51">
        <w:rPr>
          <w:rFonts w:ascii="KFGQPC HAFS Uthmanic Script" w:hAnsi="Aptos" w:cs="KFGQPC HAFS Uthmanic Script"/>
          <w:color w:val="000000"/>
          <w:sz w:val="28"/>
          <w:szCs w:val="28"/>
          <w:rtl/>
        </w:rPr>
        <w:t xml:space="preserve">ﵒﵜ </w:t>
      </w:r>
      <w:r w:rsidR="004E383D" w:rsidRPr="00001A51">
        <w:rPr>
          <w:rFonts w:ascii="Arabic Transparent" w:hAnsi="Arabic Transparent" w:cs="Arabic Transparent"/>
          <w:sz w:val="28"/>
          <w:szCs w:val="28"/>
          <w:rtl/>
          <w:lang w:bidi="ar-JO"/>
        </w:rPr>
        <w:t>فكانت الإجابة عن السؤال السابق</w:t>
      </w:r>
    </w:p>
    <w:p w14:paraId="7ABF4747" w14:textId="77777777" w:rsidR="00275E05" w:rsidRPr="00001A51" w:rsidRDefault="00275E05">
      <w:pPr>
        <w:bidi w:val="0"/>
        <w:spacing w:after="0" w:line="240" w:lineRule="auto"/>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br w:type="page"/>
      </w:r>
    </w:p>
    <w:p w14:paraId="52030A97" w14:textId="1E63EE72" w:rsidR="004E383D" w:rsidRPr="00001A51" w:rsidRDefault="004E383D" w:rsidP="00F04ECB">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مندرجة تحت مقصد حفظ المال، والذي يُعلم بقليل من النظر والاجتهاد في الأدلة، فإن كان السؤال عن حكم تأجير العقار لعمل خيري مثل إقامة مسجد أو مصلى، فإنَّ الحكم هنا ينتقل من التحريم إلى الإباحة لا بل إلى الندب، فهو أرجح في تحقيق مصلحة التعاون على البر والتقوى، ومع ذلك فإنَّ الحكم عند الفقهاء يعود إلى الباعث، فإن كان معلناً فهو محرم وإن لم يعلن عنه فالإجارة تجوز عند الحنفية والشافعية على التفصيل السابق في الحديث عن الباعث</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507"/>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w:t>
      </w:r>
    </w:p>
    <w:p w14:paraId="59BA19FF" w14:textId="77777777" w:rsidR="004E383D" w:rsidRPr="00001A51" w:rsidRDefault="004E383D" w:rsidP="004E383D">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 xml:space="preserve">ثالثاً: المنهج الجمعي: </w:t>
      </w:r>
    </w:p>
    <w:p w14:paraId="53842EFE" w14:textId="02F29E9A" w:rsidR="004E383D" w:rsidRPr="00001A51" w:rsidRDefault="005D7B91" w:rsidP="004E383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 xml:space="preserve">من حكمة الله البالغة أن أوجد تفاوتاً بين العقلاء في فهم دلالة الألفاظ وجعلها على عدة مراتب بالفهم، فمن النَّاس من يفهم من الخطاب ظاهره، ومن النَّاس من يفهم من الخطاب باطنه، ومنهم من يربط ظاهره بباطنه حتى يتمكن من الوصول إلى أدق فهم مقصود للمُخاطب، وبما أنَّ المنهج الجمعي له علاقة بهذه المقدمة، فإنَّ وضوح التفاصيل يظهر في عرض حقيقته اللغوية والاصطلاحية وحجته، وعرض أمثلة معاصرة عليه، كما يأتي: </w:t>
      </w:r>
    </w:p>
    <w:p w14:paraId="053593C8" w14:textId="77777777" w:rsidR="004E383D" w:rsidRPr="00001A51" w:rsidRDefault="004E383D" w:rsidP="004E383D">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 xml:space="preserve">1- حقيقة المنهج الجمعي: </w:t>
      </w:r>
    </w:p>
    <w:p w14:paraId="6EA133F0" w14:textId="4DB0DF4F" w:rsidR="00275E05" w:rsidRPr="00001A51" w:rsidRDefault="005D7B91" w:rsidP="00F04ECB">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المنهج الجمعي يجمع بين ظاهر الاستدلال بالنصوص الجزئية وبين مقاصدها الكلية، أو كما يقال الجمع بين النص المنطوق والمعنى المفهوم، بحيث لا يفقد نص ثابت ولا يلغى مقصدٌ معتبرٌ</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508"/>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xml:space="preserve"> هذه معالم المنهج الجمعي، أو ما يسميه بعض العلماء </w:t>
      </w:r>
      <w:r w:rsidR="00275E05" w:rsidRPr="00001A51">
        <w:rPr>
          <w:rFonts w:ascii="Arabic Transparent" w:hAnsi="Arabic Transparent" w:cs="Arabic Transparent" w:hint="cs"/>
          <w:sz w:val="28"/>
          <w:szCs w:val="28"/>
          <w:rtl/>
          <w:lang w:bidi="ar-JO"/>
        </w:rPr>
        <w:t>"</w:t>
      </w:r>
      <w:r w:rsidR="004E383D" w:rsidRPr="00001A51">
        <w:rPr>
          <w:rFonts w:ascii="Arabic Transparent" w:hAnsi="Arabic Transparent" w:cs="Arabic Transparent"/>
          <w:sz w:val="28"/>
          <w:szCs w:val="28"/>
          <w:rtl/>
          <w:lang w:bidi="ar-JO"/>
        </w:rPr>
        <w:t>بمنهج الجمع بين النصوص والمقاصد</w:t>
      </w:r>
      <w:r w:rsidR="00275E05" w:rsidRPr="00001A51">
        <w:rPr>
          <w:rFonts w:ascii="Arabic Transparent" w:hAnsi="Arabic Transparent" w:cs="Arabic Transparent" w:hint="cs"/>
          <w:sz w:val="28"/>
          <w:szCs w:val="28"/>
          <w:rtl/>
          <w:lang w:bidi="ar-JO"/>
        </w:rPr>
        <w:t>"</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509"/>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xml:space="preserve"> أو </w:t>
      </w:r>
      <w:r w:rsidR="00275E05" w:rsidRPr="00001A51">
        <w:rPr>
          <w:rFonts w:ascii="Arabic Transparent" w:hAnsi="Arabic Transparent" w:cs="Arabic Transparent" w:hint="cs"/>
          <w:sz w:val="28"/>
          <w:szCs w:val="28"/>
          <w:rtl/>
          <w:lang w:bidi="ar-JO"/>
        </w:rPr>
        <w:t>"</w:t>
      </w:r>
      <w:r w:rsidR="004E383D" w:rsidRPr="00001A51">
        <w:rPr>
          <w:rFonts w:ascii="Arabic Transparent" w:hAnsi="Arabic Transparent" w:cs="Arabic Transparent"/>
          <w:sz w:val="28"/>
          <w:szCs w:val="28"/>
          <w:rtl/>
          <w:lang w:bidi="ar-JO"/>
        </w:rPr>
        <w:t>المنهج المعتدل</w:t>
      </w:r>
      <w:r w:rsidR="00275E05" w:rsidRPr="00001A51">
        <w:rPr>
          <w:rFonts w:ascii="Arabic Transparent" w:hAnsi="Arabic Transparent" w:cs="Arabic Transparent" w:hint="cs"/>
          <w:sz w:val="28"/>
          <w:szCs w:val="28"/>
          <w:rtl/>
          <w:lang w:bidi="ar-JO"/>
        </w:rPr>
        <w:t>"</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510"/>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xml:space="preserve"> ولا مشاحّة في الاصطلاح فكلها تدور حول المعنى ذاته.</w:t>
      </w:r>
    </w:p>
    <w:p w14:paraId="1573BB7C" w14:textId="77777777" w:rsidR="00275E05" w:rsidRPr="00001A51" w:rsidRDefault="00275E05">
      <w:pPr>
        <w:bidi w:val="0"/>
        <w:spacing w:after="0" w:line="240" w:lineRule="auto"/>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br w:type="page"/>
      </w:r>
    </w:p>
    <w:p w14:paraId="2055D52A" w14:textId="4D53C83C" w:rsidR="004E383D" w:rsidRPr="00001A51" w:rsidRDefault="005D7B91" w:rsidP="004E383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وقد تعرفنا على مفهوم المنهج سابقاً، وأمَّا الجمعي بياء النسبة المضافة والتي أصلها الجمع تأتي لغة بمعنى</w:t>
      </w:r>
      <w:r w:rsidR="00151AED"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الضم، والقبض والحشد، ويقال الجمع بين الأمرين؛ المزج بينهما</w:t>
      </w:r>
      <w:r w:rsidR="002A05FD" w:rsidRPr="00001A51">
        <w:rPr>
          <w:rFonts w:ascii="Arabic Transparent" w:hAnsi="Arabic Transparent" w:cs="Arabic Transparent" w:hint="cs"/>
          <w:sz w:val="28"/>
          <w:szCs w:val="28"/>
          <w:rtl/>
          <w:lang w:bidi="ar-JO"/>
        </w:rPr>
        <w:t>"</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511"/>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w:t>
      </w:r>
    </w:p>
    <w:p w14:paraId="17DF7038" w14:textId="15E7A60B" w:rsidR="004E383D" w:rsidRPr="00001A51" w:rsidRDefault="005D7B91" w:rsidP="004E383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وعرف اصطلاحاً: "ضَمُّ الشَّيءِ بتَقرِيبِ بعضِه من بَعضٍ"</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512"/>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w:t>
      </w:r>
    </w:p>
    <w:p w14:paraId="71E0E484" w14:textId="3F41CAAC" w:rsidR="004E383D" w:rsidRPr="00001A51" w:rsidRDefault="005D7B91" w:rsidP="004E383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و</w:t>
      </w:r>
      <w:r w:rsidR="004E383D" w:rsidRPr="00001A51">
        <w:rPr>
          <w:rFonts w:ascii="Arabic Transparent" w:hAnsi="Arabic Transparent" w:cs="Arabic Transparent"/>
          <w:sz w:val="28"/>
          <w:szCs w:val="28"/>
          <w:rtl/>
        </w:rPr>
        <w:t>أمَّا</w:t>
      </w:r>
      <w:r w:rsidR="004E383D" w:rsidRPr="00001A51">
        <w:rPr>
          <w:rFonts w:ascii="Arabic Transparent" w:hAnsi="Arabic Transparent" w:cs="Arabic Transparent"/>
          <w:sz w:val="28"/>
          <w:szCs w:val="28"/>
          <w:rtl/>
          <w:lang w:bidi="ar-JO"/>
        </w:rPr>
        <w:t xml:space="preserve"> تعريف المنهج الجمعي باعتباره لقباً، فقد عُرِّف بعدة تعريفات من قبل العلماء المعاصرين منها: ما عرَّفه القرضاوي، بقوله:</w:t>
      </w:r>
      <w:r w:rsidR="00151AED"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هي المدرسة التي تربط بين النصوص الجزئية وبين المصادر الكلية، وتفهم الجزئيات في ضوء الكليات، ولا تغلوا في اتباع ظواهر النصوص، والتمسك بحرفية الألفاظ"</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513"/>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xml:space="preserve"> ولقد عرفها بالمدرسة لأنه يتكلم عن المناهج باعتبار طبيعة المجتهد وهي حاله من شدة أو تيسير أو اعتدال، و</w:t>
      </w:r>
      <w:r w:rsidR="004E383D" w:rsidRPr="00001A51">
        <w:rPr>
          <w:rFonts w:ascii="Arabic Transparent" w:hAnsi="Arabic Transparent" w:cs="Arabic Transparent"/>
          <w:sz w:val="28"/>
          <w:szCs w:val="28"/>
          <w:rtl/>
        </w:rPr>
        <w:t>أمَّا</w:t>
      </w:r>
      <w:r w:rsidR="004E383D" w:rsidRPr="00001A51">
        <w:rPr>
          <w:rFonts w:ascii="Arabic Transparent" w:hAnsi="Arabic Transparent" w:cs="Arabic Transparent"/>
          <w:sz w:val="28"/>
          <w:szCs w:val="28"/>
          <w:rtl/>
          <w:lang w:bidi="ar-JO"/>
        </w:rPr>
        <w:t xml:space="preserve"> تسميتها هنا اقتصرت على المنهج الجمعي باعتبار طريقة الفهم </w:t>
      </w:r>
    </w:p>
    <w:p w14:paraId="5BAB836E" w14:textId="77777777" w:rsidR="004E383D" w:rsidRPr="00001A51" w:rsidRDefault="004E383D" w:rsidP="004E383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للنصوص، هل هو بظاهرها، أم بمقاصدها، أم بالأمرين معاً؟، عموماً النتيجة واحدة، فهي اصطلاحات تدل على المضمون ذاته.</w:t>
      </w:r>
    </w:p>
    <w:p w14:paraId="5DDDE6F4" w14:textId="1E9CADAF" w:rsidR="004E383D" w:rsidRPr="00001A51" w:rsidRDefault="005D7B91" w:rsidP="004E383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وعرَّفَه شبير، بقوله: هو "المنهج الذي يجمع بين النصوص الجزئية ومقاصدها الكلية، أو بين النص الملفوظ والمعنى المقصود، بحيث يشكلان معنى واحداً"</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514"/>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xml:space="preserve"> وهذا التعريف الأقرب إلى مقصد الدراسة.</w:t>
      </w:r>
    </w:p>
    <w:p w14:paraId="24F2103C" w14:textId="261E222A" w:rsidR="004E383D" w:rsidRPr="00001A51" w:rsidRDefault="005D7B91" w:rsidP="004E383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وعرَّفَه الجيزاني، فقال:</w:t>
      </w:r>
      <w:r w:rsidR="00151AED"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هو اعتبار الأمرين جميعاً (النصوص والمقاصد) على وجه لا يخل فيه المعنى بالنص ولا العكس"</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515"/>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xml:space="preserve"> </w:t>
      </w:r>
    </w:p>
    <w:p w14:paraId="019ACF00" w14:textId="6FAD9A62" w:rsidR="007B14A0" w:rsidRPr="00001A51" w:rsidRDefault="005D7B91" w:rsidP="00F04ECB">
      <w:pPr>
        <w:spacing w:after="0" w:line="360" w:lineRule="auto"/>
        <w:jc w:val="both"/>
        <w:rPr>
          <w:rFonts w:ascii="Arabic Transparent" w:hAnsi="Arabic Transparent" w:cs="Arabic Transparent"/>
          <w:sz w:val="28"/>
          <w:szCs w:val="28"/>
          <w:vertAlign w:val="superscript"/>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وعرَّفَه: حكيم فقال: هو "المنهج الذي يجمع بين النصوص الجزئية والمقاصد الكلية، ويمتاز بإعمال الفكر والرأي في فهم النص والبحث عن علته وحكمته وغايته"</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516"/>
      </w:r>
      <w:r w:rsidR="004E383D" w:rsidRPr="00001A51">
        <w:rPr>
          <w:rFonts w:ascii="Arabic Transparent" w:hAnsi="Arabic Transparent" w:cs="Arabic Transparent"/>
          <w:sz w:val="28"/>
          <w:szCs w:val="28"/>
          <w:vertAlign w:val="superscript"/>
          <w:rtl/>
          <w:lang w:bidi="ar-JO"/>
        </w:rPr>
        <w:t>)</w:t>
      </w:r>
    </w:p>
    <w:p w14:paraId="68573EA2" w14:textId="77777777" w:rsidR="00275E05" w:rsidRPr="00001A51" w:rsidRDefault="004E383D" w:rsidP="00F04ECB">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lastRenderedPageBreak/>
        <w:t xml:space="preserve"> </w:t>
      </w:r>
      <w:r w:rsidR="004D108D" w:rsidRPr="00001A51">
        <w:rPr>
          <w:rFonts w:ascii="Arabic Transparent" w:hAnsi="Arabic Transparent" w:cs="Arabic Transparent" w:hint="cs"/>
          <w:sz w:val="28"/>
          <w:szCs w:val="28"/>
          <w:rtl/>
          <w:lang w:bidi="ar-JO"/>
        </w:rPr>
        <w:t xml:space="preserve">   </w:t>
      </w:r>
      <w:r w:rsidRPr="00001A51">
        <w:rPr>
          <w:rFonts w:ascii="Arabic Transparent" w:hAnsi="Arabic Transparent" w:cs="Arabic Transparent"/>
          <w:sz w:val="28"/>
          <w:szCs w:val="28"/>
          <w:rtl/>
          <w:lang w:bidi="ar-JO"/>
        </w:rPr>
        <w:t xml:space="preserve"> الذي يظهر من مجمل التعريفات أنها تدور حول معنى واحد، وهو جمع النصوص الجزئية والمقاصد الكلية لفهم النصوص من خلالها، والذي أطلق عليه اسم الجمعي حيث يمكن التوصل إلى نفس المدلول بقولنا: هو الطريق المُنظم الذي يتبعه المجتهد في الحكم على الوقائع الجديدة وفق </w:t>
      </w:r>
    </w:p>
    <w:p w14:paraId="15DF957A" w14:textId="77777777" w:rsidR="00275E05" w:rsidRPr="00001A51" w:rsidRDefault="00275E05">
      <w:pPr>
        <w:bidi w:val="0"/>
        <w:spacing w:after="0" w:line="240" w:lineRule="auto"/>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br w:type="page"/>
      </w:r>
    </w:p>
    <w:p w14:paraId="3FE77E6E" w14:textId="3FF191F2" w:rsidR="004E383D" w:rsidRPr="00001A51" w:rsidRDefault="004E383D" w:rsidP="00F04ECB">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الجمع بين المنطوق الجزئي والمقصود الكلي</w:t>
      </w:r>
      <w:r w:rsidR="00F04ECB" w:rsidRPr="00001A51">
        <w:rPr>
          <w:rFonts w:ascii="Arabic Transparent" w:hAnsi="Arabic Transparent" w:cs="Arabic Transparent" w:hint="cs"/>
          <w:sz w:val="28"/>
          <w:szCs w:val="28"/>
          <w:rtl/>
          <w:lang w:bidi="ar-JO"/>
        </w:rPr>
        <w:t xml:space="preserve">، </w:t>
      </w:r>
      <w:r w:rsidRPr="00001A51">
        <w:rPr>
          <w:rFonts w:ascii="Arabic Transparent" w:hAnsi="Arabic Transparent" w:cs="Arabic Transparent"/>
          <w:sz w:val="28"/>
          <w:szCs w:val="28"/>
          <w:rtl/>
          <w:lang w:bidi="ar-JO"/>
        </w:rPr>
        <w:t xml:space="preserve">وهذا التعريف يحتوي على وسيلة وهدف ونتيجة كما </w:t>
      </w:r>
      <w:r w:rsidR="00BF1052" w:rsidRPr="00001A51">
        <w:rPr>
          <w:rFonts w:ascii="Arabic Transparent" w:hAnsi="Arabic Transparent" w:cs="Arabic Transparent" w:hint="cs"/>
          <w:sz w:val="28"/>
          <w:szCs w:val="28"/>
          <w:rtl/>
          <w:lang w:bidi="ar-JO"/>
        </w:rPr>
        <w:t>يأتي</w:t>
      </w:r>
      <w:r w:rsidRPr="00001A51">
        <w:rPr>
          <w:rFonts w:ascii="Arabic Transparent" w:hAnsi="Arabic Transparent" w:cs="Arabic Transparent"/>
          <w:sz w:val="28"/>
          <w:szCs w:val="28"/>
          <w:rtl/>
          <w:lang w:bidi="ar-JO"/>
        </w:rPr>
        <w:t xml:space="preserve"> بيانها: أما الوسيلة:</w:t>
      </w:r>
      <w:r w:rsidR="00151AED" w:rsidRPr="00001A51">
        <w:rPr>
          <w:rFonts w:ascii="Arabic Transparent" w:hAnsi="Arabic Transparent" w:cs="Arabic Transparent"/>
          <w:sz w:val="28"/>
          <w:szCs w:val="28"/>
          <w:rtl/>
          <w:lang w:bidi="ar-JO"/>
        </w:rPr>
        <w:t xml:space="preserve"> "</w:t>
      </w:r>
      <w:r w:rsidRPr="00001A51">
        <w:rPr>
          <w:rFonts w:ascii="Arabic Transparent" w:hAnsi="Arabic Transparent" w:cs="Arabic Transparent"/>
          <w:b/>
          <w:bCs/>
          <w:sz w:val="28"/>
          <w:szCs w:val="28"/>
          <w:rtl/>
          <w:lang w:bidi="ar-JO"/>
        </w:rPr>
        <w:t>الطريق المنظم الذي يتبعه المجتهد</w:t>
      </w:r>
      <w:r w:rsidRPr="00001A51">
        <w:rPr>
          <w:rFonts w:ascii="Arabic Transparent" w:hAnsi="Arabic Transparent" w:cs="Arabic Transparent"/>
          <w:sz w:val="28"/>
          <w:szCs w:val="28"/>
          <w:rtl/>
          <w:lang w:bidi="ar-JO"/>
        </w:rPr>
        <w:t>" يقصد به الترتيب الذي يورثه المنهج وهو الذي يعبر عن الوسيلة</w:t>
      </w:r>
      <w:r w:rsidR="00275E05" w:rsidRPr="00001A51">
        <w:rPr>
          <w:rFonts w:ascii="Arabic Transparent" w:hAnsi="Arabic Transparent" w:cs="Arabic Transparent" w:hint="cs"/>
          <w:sz w:val="28"/>
          <w:szCs w:val="28"/>
          <w:rtl/>
          <w:lang w:bidi="ar-JO"/>
        </w:rPr>
        <w:t xml:space="preserve"> التي يسلكها المجتهد.</w:t>
      </w:r>
      <w:r w:rsidR="004C210D" w:rsidRPr="00001A51">
        <w:rPr>
          <w:rFonts w:ascii="Arabic Transparent" w:hAnsi="Arabic Transparent" w:cs="Arabic Transparent" w:hint="cs"/>
          <w:sz w:val="28"/>
          <w:szCs w:val="28"/>
          <w:rtl/>
          <w:lang w:bidi="ar-JO"/>
        </w:rPr>
        <w:t xml:space="preserve"> في الحكم على الواقعة.</w:t>
      </w:r>
    </w:p>
    <w:p w14:paraId="2EEA17D5" w14:textId="2617733D" w:rsidR="004E383D" w:rsidRPr="00001A51" w:rsidRDefault="005D7B91" w:rsidP="004E383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وأما النتيجة:</w:t>
      </w:r>
      <w:r w:rsidR="00151AED"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b/>
          <w:bCs/>
          <w:sz w:val="28"/>
          <w:szCs w:val="28"/>
          <w:rtl/>
          <w:lang w:bidi="ar-JO"/>
        </w:rPr>
        <w:t>في الحكم على الوقائع الجديدة</w:t>
      </w:r>
      <w:r w:rsidR="00151AED" w:rsidRPr="00001A51">
        <w:rPr>
          <w:rFonts w:ascii="Arabic Transparent" w:hAnsi="Arabic Transparent" w:cs="Arabic Transparent"/>
          <w:sz w:val="28"/>
          <w:szCs w:val="28"/>
          <w:rtl/>
          <w:lang w:bidi="ar-JO"/>
        </w:rPr>
        <w:t>"</w:t>
      </w:r>
      <w:r w:rsidR="004E383D" w:rsidRPr="00001A51">
        <w:rPr>
          <w:rFonts w:ascii="Arabic Transparent" w:hAnsi="Arabic Transparent" w:cs="Arabic Transparent"/>
          <w:sz w:val="28"/>
          <w:szCs w:val="28"/>
          <w:rtl/>
          <w:lang w:bidi="ar-JO"/>
        </w:rPr>
        <w:t>بصفته الاعتبار الجامع بين الظواهر والمصالح منفردةً أو مجتمعةً، بصفتها النتيجة الذي يرنو إليها المجتهد، وهي الحكم الشرعي بطريقة يوازن فيها بين ظاهر النص ومقصده.</w:t>
      </w:r>
    </w:p>
    <w:p w14:paraId="6C89CDA0" w14:textId="72B2DB1E" w:rsidR="004E383D" w:rsidRPr="00001A51" w:rsidRDefault="004D108D" w:rsidP="00744A1A">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hint="cs"/>
          <w:sz w:val="28"/>
          <w:szCs w:val="28"/>
          <w:rtl/>
          <w:lang w:bidi="ar-JO"/>
        </w:rPr>
        <w:t xml:space="preserve">   </w:t>
      </w:r>
      <w:r w:rsidR="004E383D" w:rsidRPr="00001A51">
        <w:rPr>
          <w:rFonts w:ascii="Arabic Transparent" w:hAnsi="Arabic Transparent" w:cs="Arabic Transparent"/>
          <w:sz w:val="28"/>
          <w:szCs w:val="28"/>
          <w:rtl/>
          <w:lang w:bidi="ar-JO"/>
        </w:rPr>
        <w:t xml:space="preserve">  وأما الهدف في قولنا:</w:t>
      </w:r>
      <w:r w:rsidR="00151AED"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b/>
          <w:bCs/>
          <w:sz w:val="28"/>
          <w:szCs w:val="28"/>
          <w:rtl/>
          <w:lang w:bidi="ar-JO"/>
        </w:rPr>
        <w:t>وفق الجمع بين المنطوق الجزئي والمقصود الكلي</w:t>
      </w:r>
      <w:r w:rsidR="004E383D"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rPr>
        <w:t>أمَّا</w:t>
      </w:r>
      <w:r w:rsidR="004E383D" w:rsidRPr="00001A51">
        <w:rPr>
          <w:rFonts w:ascii="Arabic Transparent" w:hAnsi="Arabic Transparent" w:cs="Arabic Transparent"/>
          <w:sz w:val="28"/>
          <w:szCs w:val="28"/>
          <w:rtl/>
          <w:lang w:bidi="ar-JO"/>
        </w:rPr>
        <w:t xml:space="preserve"> المنطوق الجزئي (النصوص الجزئية)، فهو يمثل ما دلت عليه نصوص الكتاب والسنة و</w:t>
      </w:r>
      <w:r w:rsidR="004E383D" w:rsidRPr="00001A51">
        <w:rPr>
          <w:rFonts w:ascii="Arabic Transparent" w:hAnsi="Arabic Transparent" w:cs="Arabic Transparent"/>
          <w:sz w:val="28"/>
          <w:szCs w:val="28"/>
          <w:rtl/>
        </w:rPr>
        <w:t>أمَّا</w:t>
      </w:r>
      <w:r w:rsidR="004E383D" w:rsidRPr="00001A51">
        <w:rPr>
          <w:rFonts w:ascii="Arabic Transparent" w:hAnsi="Arabic Transparent" w:cs="Arabic Transparent"/>
          <w:sz w:val="28"/>
          <w:szCs w:val="28"/>
          <w:rtl/>
          <w:lang w:bidi="ar-JO"/>
        </w:rPr>
        <w:t xml:space="preserve"> المقصود الكلي، هو ما دلت عليه طائفة من النصوص والقواعد العامة، ومنها الأصول والقياس، فتؤخذ النصوص من المصالح والمقاصد، وتؤخذ المقاصد والمصالح من أصولها ونصوصها</w:t>
      </w:r>
      <w:r w:rsidR="004E383D" w:rsidRPr="00001A51">
        <w:rPr>
          <w:rFonts w:ascii="Arabic Transparent" w:hAnsi="Arabic Transparent" w:cs="Arabic Transparent"/>
          <w:sz w:val="28"/>
          <w:szCs w:val="28"/>
          <w:vertAlign w:val="superscript"/>
          <w:rtl/>
          <w:lang w:bidi="ar-JO"/>
        </w:rPr>
        <w:t xml:space="preserve"> (</w:t>
      </w:r>
      <w:r w:rsidR="004E383D" w:rsidRPr="00001A51">
        <w:rPr>
          <w:rFonts w:ascii="Arabic Transparent" w:hAnsi="Arabic Transparent" w:cs="Arabic Transparent"/>
          <w:sz w:val="28"/>
          <w:szCs w:val="28"/>
          <w:vertAlign w:val="superscript"/>
          <w:rtl/>
          <w:lang w:bidi="ar-JO"/>
        </w:rPr>
        <w:footnoteReference w:id="517"/>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وهو يشمل المصالح المعتبرة والمرسلة من جهة أن جنسها مقصود للشارع</w:t>
      </w:r>
      <w:r w:rsidR="004E383D" w:rsidRPr="00001A51">
        <w:rPr>
          <w:rFonts w:ascii="Arabic Transparent" w:hAnsi="Arabic Transparent" w:cs="Arabic Transparent"/>
          <w:sz w:val="28"/>
          <w:szCs w:val="28"/>
          <w:vertAlign w:val="superscript"/>
          <w:rtl/>
          <w:lang w:bidi="ar-JO"/>
        </w:rPr>
        <w:t xml:space="preserve"> (</w:t>
      </w:r>
      <w:r w:rsidR="004E383D" w:rsidRPr="00001A51">
        <w:rPr>
          <w:rFonts w:ascii="Arabic Transparent" w:hAnsi="Arabic Transparent" w:cs="Arabic Transparent"/>
          <w:sz w:val="28"/>
          <w:szCs w:val="28"/>
          <w:vertAlign w:val="superscript"/>
          <w:rtl/>
          <w:lang w:bidi="ar-JO"/>
        </w:rPr>
        <w:footnoteReference w:id="518"/>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xml:space="preserve"> حيث يشكل هذا النظم الهدف الذي يجب أن يسعى المجتهد لتحقيقه في المنهج الجمعي.</w:t>
      </w:r>
    </w:p>
    <w:p w14:paraId="7DA253DB" w14:textId="77777777" w:rsidR="004E383D" w:rsidRPr="00001A51" w:rsidRDefault="004E383D" w:rsidP="004E383D">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 xml:space="preserve">ثانياً: حجيَّة المنهج الجمعي: </w:t>
      </w:r>
    </w:p>
    <w:p w14:paraId="342E123D" w14:textId="3652B018" w:rsidR="007B14A0" w:rsidRPr="00001A51" w:rsidRDefault="00744A1A" w:rsidP="00F04ECB">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hint="cs"/>
          <w:sz w:val="28"/>
          <w:szCs w:val="28"/>
          <w:rtl/>
          <w:lang w:bidi="ar-JO"/>
        </w:rPr>
        <w:t xml:space="preserve">     </w:t>
      </w:r>
      <w:r w:rsidR="004E383D" w:rsidRPr="00001A51">
        <w:rPr>
          <w:rFonts w:ascii="Arabic Transparent" w:hAnsi="Arabic Transparent" w:cs="Arabic Transparent"/>
          <w:sz w:val="28"/>
          <w:szCs w:val="28"/>
          <w:rtl/>
          <w:lang w:bidi="ar-JO"/>
        </w:rPr>
        <w:t xml:space="preserve">استطاع العلماء استنباط حجية المنهج الجمعي من فروع الشريعة الإسلامية كما يأتي: </w:t>
      </w:r>
    </w:p>
    <w:p w14:paraId="2DAF43B2" w14:textId="77777777" w:rsidR="004E383D" w:rsidRPr="00001A51" w:rsidRDefault="004E383D" w:rsidP="004E383D">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 xml:space="preserve">1- القرآن الكريم: </w:t>
      </w:r>
    </w:p>
    <w:p w14:paraId="3728EEE2" w14:textId="38612087" w:rsidR="004C210D" w:rsidRPr="00001A51" w:rsidRDefault="005D7B91" w:rsidP="004C210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 xml:space="preserve">كما في قوله تعالى: </w:t>
      </w:r>
      <w:r w:rsidR="004E383D" w:rsidRPr="00001A51">
        <w:rPr>
          <w:rFonts w:ascii="KFGQPC HAFS Uthmanic Script" w:hAnsi="Aptos" w:cs="KFGQPC HAFS Uthmanic Script"/>
          <w:color w:val="000000"/>
          <w:sz w:val="28"/>
          <w:szCs w:val="28"/>
          <w:rtl/>
        </w:rPr>
        <w:t xml:space="preserve">ﵟ لَقَدۡ أَرۡسَلۡنَا رُسُلَنَا بِٱلۡبَيِّنَٰتِ وَأَنزَلۡنَا مَعَهُمُ ٱلۡكِتَٰبَ وَٱلۡمِيزَانَ لِيَقُومَ ٱلنَّاسُ بِٱلۡقِسۡطِۖ </w:t>
      </w:r>
      <w:r w:rsidR="004E383D" w:rsidRPr="00001A51">
        <w:rPr>
          <w:rFonts w:ascii="KFGQPC HAFS Uthmanic Script" w:hAnsi="Aptos" w:cs="Cambria"/>
          <w:color w:val="000000"/>
          <w:sz w:val="28"/>
          <w:szCs w:val="28"/>
          <w:rtl/>
        </w:rPr>
        <w:t>...</w:t>
      </w:r>
      <w:r w:rsidR="004E383D" w:rsidRPr="00001A51">
        <w:rPr>
          <w:rFonts w:ascii="KFGQPC HAFS Uthmanic Script" w:hAnsi="Aptos" w:cs="KFGQPC HAFS Uthmanic Script"/>
          <w:color w:val="000000"/>
          <w:sz w:val="28"/>
          <w:szCs w:val="28"/>
          <w:rtl/>
        </w:rPr>
        <w:t>٢٥ﵞﵝالحَدِيد:ﵕﵒﵜ</w:t>
      </w:r>
      <w:r w:rsidR="004E383D" w:rsidRPr="00001A51">
        <w:rPr>
          <w:rFonts w:ascii="Arabic Transparent" w:hAnsi="Arabic Transparent" w:cs="Arabic Transparent"/>
          <w:sz w:val="28"/>
          <w:szCs w:val="28"/>
          <w:rtl/>
          <w:lang w:bidi="ar-JO"/>
        </w:rPr>
        <w:t xml:space="preserve"> وقوله تعالى:</w:t>
      </w:r>
      <w:r w:rsidR="004E383D" w:rsidRPr="00001A51">
        <w:rPr>
          <w:rFonts w:ascii="KFGQPC HAFS Uthmanic Script" w:hAnsi="Aptos" w:cs="KFGQPC HAFS Uthmanic Script"/>
          <w:color w:val="000000"/>
          <w:sz w:val="28"/>
          <w:szCs w:val="28"/>
          <w:rtl/>
        </w:rPr>
        <w:t>ﵟوَأَقِيمُواْ ٱلۡوَزۡنَ بِٱلۡقِسۡطِ وَلَا تُخۡسِرُواْ ٱلۡمِيزَانَ ٩ﵞ ﵝالرَّحۡمَٰن</w:t>
      </w:r>
      <w:r w:rsidRPr="00001A51">
        <w:rPr>
          <w:rFonts w:ascii="KFGQPC HAFS Uthmanic Script" w:hAnsi="Aptos" w:cs="KFGQPC HAFS Uthmanic Script"/>
          <w:color w:val="000000"/>
          <w:sz w:val="28"/>
          <w:szCs w:val="28"/>
          <w:rtl/>
        </w:rPr>
        <w:t xml:space="preserve">: </w:t>
      </w:r>
      <w:r w:rsidR="004E383D" w:rsidRPr="00001A51">
        <w:rPr>
          <w:rFonts w:ascii="KFGQPC HAFS Uthmanic Script" w:hAnsi="Aptos" w:cs="KFGQPC HAFS Uthmanic Script"/>
          <w:color w:val="000000"/>
          <w:sz w:val="28"/>
          <w:szCs w:val="28"/>
          <w:rtl/>
        </w:rPr>
        <w:t xml:space="preserve">ﵙﵜ </w:t>
      </w:r>
      <w:r w:rsidR="004E383D" w:rsidRPr="00001A51">
        <w:rPr>
          <w:rFonts w:ascii="Arabic Transparent" w:hAnsi="Arabic Transparent" w:cs="Arabic Transparent"/>
          <w:sz w:val="28"/>
          <w:szCs w:val="28"/>
          <w:rtl/>
          <w:lang w:bidi="ar-JO"/>
        </w:rPr>
        <w:t xml:space="preserve">وقوله: </w:t>
      </w:r>
      <w:r w:rsidR="004E383D" w:rsidRPr="00001A51">
        <w:rPr>
          <w:rFonts w:ascii="KFGQPC HAFS Uthmanic Script" w:hAnsi="Aptos" w:cs="KFGQPC HAFS Uthmanic Script"/>
          <w:color w:val="000000"/>
          <w:sz w:val="28"/>
          <w:szCs w:val="28"/>
          <w:rtl/>
        </w:rPr>
        <w:t>ﵟ وَكَذَٰلِكَ جَعَلۡنَٰكُمۡ أُمَّةٗ وَسَطٗا</w:t>
      </w:r>
      <w:r w:rsidR="004E383D" w:rsidRPr="00001A51">
        <w:rPr>
          <w:rFonts w:ascii="KFGQPC HAFS Uthmanic Script" w:hAnsi="Aptos" w:cs="Cambria"/>
          <w:color w:val="000000"/>
          <w:sz w:val="28"/>
          <w:szCs w:val="28"/>
          <w:rtl/>
        </w:rPr>
        <w:t>...</w:t>
      </w:r>
      <w:r w:rsidR="004E383D" w:rsidRPr="00001A51">
        <w:rPr>
          <w:rFonts w:ascii="KFGQPC HAFS Uthmanic Script" w:hAnsi="Aptos" w:cs="KFGQPC HAFS Uthmanic Script"/>
          <w:color w:val="000000"/>
          <w:sz w:val="28"/>
          <w:szCs w:val="28"/>
          <w:rtl/>
        </w:rPr>
        <w:t> ١٤٣ﵞ ﵝالبَقَرَةِ:ﵓﵔﵑﵜ</w:t>
      </w:r>
      <w:r w:rsidR="004E383D" w:rsidRPr="00001A51">
        <w:rPr>
          <w:rFonts w:ascii="Arabic Transparent" w:hAnsi="Arabic Transparent" w:cs="Arabic Transparent"/>
          <w:sz w:val="28"/>
          <w:szCs w:val="28"/>
          <w:rtl/>
        </w:rPr>
        <w:t xml:space="preserve"> وجه الدلالة من الآيات السابقة</w:t>
      </w:r>
      <w:r w:rsidR="004E383D" w:rsidRPr="00001A51">
        <w:rPr>
          <w:rFonts w:ascii="Arabic Transparent" w:hAnsi="Arabic Transparent" w:cs="Arabic Transparent"/>
          <w:sz w:val="28"/>
          <w:szCs w:val="28"/>
          <w:rtl/>
          <w:lang w:bidi="ar-JO"/>
        </w:rPr>
        <w:t>: نقل البغوي عن الكلبي في تفسيره تأويل الآية، فقال: "‌يعني ‌أهل ‌دين ‌وسط ‌بين ‌الغلو ‌والتقصير؛ لأنهما مذمومان في الدين"</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519"/>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xml:space="preserve"> والاجتهاد داخل في جملة الدين فهماً، ضمن المفاهيم التي نتحدث عنها ولا تعدو الوسطية من أن يكون المنهج الجمعي أحد أمثلتها.</w:t>
      </w:r>
      <w:r w:rsidR="004C210D" w:rsidRPr="00001A51">
        <w:rPr>
          <w:rFonts w:ascii="Arabic Transparent" w:hAnsi="Arabic Transparent" w:cs="Arabic Transparent"/>
          <w:sz w:val="28"/>
          <w:szCs w:val="28"/>
          <w:rtl/>
          <w:lang w:bidi="ar-JO"/>
        </w:rPr>
        <w:br w:type="page"/>
      </w:r>
    </w:p>
    <w:p w14:paraId="148CA565" w14:textId="77777777" w:rsidR="004E383D" w:rsidRPr="00001A51" w:rsidRDefault="004E383D" w:rsidP="004E383D">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 xml:space="preserve">2- السنة النبوية: </w:t>
      </w:r>
    </w:p>
    <w:p w14:paraId="2A0464DB" w14:textId="561E95D5" w:rsidR="004E383D" w:rsidRPr="00001A51" w:rsidRDefault="005D7B91" w:rsidP="007B14A0">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 xml:space="preserve">عَن جَابِرٍ، قَالَ </w:t>
      </w:r>
      <w:r w:rsidR="00190996" w:rsidRPr="00001A51">
        <w:rPr>
          <w:rFonts w:ascii="Arabic Transparent" w:hAnsi="Arabic Transparent" w:cs="Arabic Transparent" w:hint="cs"/>
          <w:sz w:val="28"/>
          <w:szCs w:val="28"/>
          <w:rtl/>
          <w:lang w:bidi="ar-JO"/>
        </w:rPr>
        <w:t>"</w:t>
      </w:r>
      <w:r w:rsidR="00240DFA" w:rsidRPr="00001A51">
        <w:rPr>
          <w:rFonts w:ascii="Arabic Transparent" w:hAnsi="Arabic Transparent" w:cs="Arabic Transparent"/>
          <w:sz w:val="28"/>
          <w:szCs w:val="28"/>
          <w:rtl/>
          <w:lang w:bidi="ar-JO"/>
        </w:rPr>
        <w:t xml:space="preserve">خرجنا ‌في ‌سفر ‌فأصاب ‌رجلا ‌منا ‌حجر ‌فشجه ‌في ‌رأسه، ثم احتلم، فسأل أصحابه، فقال: هل تجدون لي رخصة في التيمم؟ قالوا: ما نجد لك رخصة وأنت تقدر على الماء، فاغتسل فمات، فلما قدمنا على النبي </w:t>
      </w:r>
      <w:r w:rsidR="005E3842" w:rsidRPr="00001A51">
        <w:rPr>
          <w:rFonts w:ascii="AGA Arabesque" w:hAnsi="AGA Arabesque" w:cs="AGA Arabesque"/>
          <w:sz w:val="28"/>
          <w:szCs w:val="28"/>
          <w:lang w:bidi="ar-JO"/>
        </w:rPr>
        <w:t></w:t>
      </w:r>
      <w:r w:rsidR="00240DFA" w:rsidRPr="00001A51">
        <w:rPr>
          <w:rFonts w:ascii="Arabic Transparent" w:hAnsi="Arabic Transparent" w:cs="Arabic Transparent"/>
          <w:sz w:val="28"/>
          <w:szCs w:val="28"/>
          <w:rtl/>
          <w:lang w:bidi="ar-JO"/>
        </w:rPr>
        <w:t xml:space="preserve"> أخبر بذلك فقال: قتلوه قتلهم الله، ألا سألوا إذ لم يعلموا، فإنما شفاء العي السؤال، إنما كان يكفيه أن يتيمم</w:t>
      </w:r>
      <w:r w:rsidR="00190996" w:rsidRPr="00001A51">
        <w:rPr>
          <w:rFonts w:ascii="Arabic Transparent" w:hAnsi="Arabic Transparent" w:cs="Arabic Transparent" w:hint="cs"/>
          <w:sz w:val="28"/>
          <w:szCs w:val="28"/>
          <w:rtl/>
          <w:lang w:bidi="ar-JO"/>
        </w:rPr>
        <w:t>"</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520"/>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b/>
          <w:bCs/>
          <w:sz w:val="28"/>
          <w:szCs w:val="28"/>
          <w:rtl/>
          <w:lang w:bidi="ar-JO"/>
        </w:rPr>
        <w:t>وجه الدلالة:</w:t>
      </w:r>
      <w:r w:rsidR="004E383D" w:rsidRPr="00001A51">
        <w:rPr>
          <w:rFonts w:ascii="Arabic Transparent" w:hAnsi="Arabic Transparent" w:cs="Arabic Transparent"/>
          <w:sz w:val="28"/>
          <w:szCs w:val="28"/>
          <w:rtl/>
          <w:lang w:bidi="ar-JO"/>
        </w:rPr>
        <w:t xml:space="preserve"> بين النبي عليه السلام أن أصحابه قتلوه لأنهم عملوا بظاهر النصوص التي تأمر الغسل وأغفلوا المقصد الكلي وهو حفظ النفس وعدم الإضرار وتحقيق التيسير في الدين والرخص التي شرعت في حالات المرض لذا؛ كان يكفي السؤال حيث لم يعلموا الإجابة، وهنا تكمن ضرورة المنهج الجمعي من أجل التوصل إلى الحكم المناسب عند تحقيق المناط الخاص المتعلق بالوقائع أو الأشخاص.</w:t>
      </w:r>
    </w:p>
    <w:p w14:paraId="059DDEBC" w14:textId="77777777" w:rsidR="004E383D" w:rsidRPr="00001A51" w:rsidRDefault="004E383D" w:rsidP="004E383D">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 xml:space="preserve">3- المعقول: </w:t>
      </w:r>
    </w:p>
    <w:p w14:paraId="47341CF6" w14:textId="5B9EA6A4" w:rsidR="007B14A0" w:rsidRPr="00001A51" w:rsidRDefault="005D7B91" w:rsidP="00F04ECB">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عند استقراء كلام العلماء والعقلاء نجدهم يحثّون على الجمع بين المنطوق والمفهوم والجمع بين المنهج الظاهري والمنهج المقاصدي كما يأتي:</w:t>
      </w:r>
    </w:p>
    <w:p w14:paraId="1F9E09A2" w14:textId="3407B9B6" w:rsidR="004E383D" w:rsidRPr="00001A51" w:rsidRDefault="005D7B91" w:rsidP="004E383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يرى الشاطبي حجية المنهج الجمعي، حيث أكد على أنَّ من فهم النصوص من غير كلياتها فقد وقع في الخطأ عند الاجتهاد، حيث قال:" كما أنَّ من أخذ بالجزئي معرضاً عن كليه فقد أخطأ، فكذلك من أخذ بالكلي معرضاً عن جزئيه، فلا بد من اعتبارهما معاً في كل مسألة"</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521"/>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xml:space="preserve"> وهو ذاته المراد بالمنهج الجمعي الذي اصطلح العلماء على تسميته حديثاً، علماً بأن وصفه وتطبيقه قد جرى قديماً في كتب العلماء المتقدمين.</w:t>
      </w:r>
    </w:p>
    <w:p w14:paraId="0CE45031" w14:textId="373E5504" w:rsidR="004C210D" w:rsidRPr="00001A51" w:rsidRDefault="005D7B91" w:rsidP="004E383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ويرى ابن عاشور حجية المنهج الجمعي، ويعيب على من يتمسك باللفظ عارياً عن مقاصد الشريعة، حيث يقول واصفاً لحالهم</w:t>
      </w: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"من هنا يقصر بعض العلماء، ويتوصل في خضخاض من الأغلاط حين يقتصر في استنباط أحكام الشريعة على اعتصار الألفاظ ويوجه رأيه إلى اللفظ مقتنعاً به، فلا يزال يقلبه ويحلله ويأمل أن يستخرج لبه ويهمل ما قدمناه من الاستعانة بما يحف من حافات القرائن والاصطلاحات والسياق"</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522"/>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xml:space="preserve"> وهو المنهج الذي تدل عليه كليات الشريعة وسطي بعيداً عن التطرف والغلو أو الانفلات والتسيب.</w:t>
      </w:r>
    </w:p>
    <w:p w14:paraId="6D503BDD" w14:textId="77777777" w:rsidR="004C210D" w:rsidRPr="00001A51" w:rsidRDefault="004C210D">
      <w:pPr>
        <w:bidi w:val="0"/>
        <w:spacing w:after="0" w:line="240" w:lineRule="auto"/>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br w:type="page"/>
      </w:r>
    </w:p>
    <w:p w14:paraId="706A95DC" w14:textId="76E10AA2" w:rsidR="004E383D" w:rsidRPr="00001A51" w:rsidRDefault="003C1E26" w:rsidP="003C1E26">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hint="cs"/>
          <w:sz w:val="28"/>
          <w:szCs w:val="28"/>
          <w:rtl/>
          <w:lang w:bidi="ar-JO"/>
        </w:rPr>
        <w:t xml:space="preserve">     </w:t>
      </w:r>
      <w:r w:rsidR="004E383D" w:rsidRPr="00001A51">
        <w:rPr>
          <w:rFonts w:ascii="Arabic Transparent" w:hAnsi="Arabic Transparent" w:cs="Arabic Transparent"/>
          <w:sz w:val="28"/>
          <w:szCs w:val="28"/>
          <w:rtl/>
          <w:lang w:bidi="ar-JO"/>
        </w:rPr>
        <w:t>وما يُوهب التطبيق الجيد والنظرة الشمولية بالمنهج الجمعي لكل من تعلم المقاصد وتمرس في النصوص وادعى وصلاً بالاعتدال والتوسط وهذا يكمن وراء سبب بسيط في الغالب وهو عدم إحكام الكليات ووفور الخبرة الكافية في المقاصد، وممن أشار لبعض هذه المعاني الدكتور الريسوني حيث قال: إنَّ "النظرة الشمولية المنسجمة للشريعة وأحكامها لا تتأتى إلا لمن خبروا المقاصد وأحكموا الكليات، ثمَّ نظروا في الأحكام من خلال ذلك ومن فاته هذا المستوى، وأهمل هذا النوع من النظر وقع في التخبط والاضطراب، وأتى بالأقوال الشاذة المجافية لمقاصد الشارع، أو انتهى إلى العجز الانكماش"</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523"/>
      </w:r>
      <w:r w:rsidR="004E383D"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hint="cs"/>
          <w:sz w:val="28"/>
          <w:szCs w:val="28"/>
          <w:rtl/>
          <w:lang w:bidi="ar-JO"/>
        </w:rPr>
        <w:t xml:space="preserve">، </w:t>
      </w:r>
      <w:r w:rsidR="004E383D" w:rsidRPr="00001A51">
        <w:rPr>
          <w:rFonts w:ascii="Arabic Transparent" w:hAnsi="Arabic Transparent" w:cs="Arabic Transparent"/>
          <w:sz w:val="28"/>
          <w:szCs w:val="28"/>
          <w:rtl/>
          <w:lang w:bidi="ar-JO"/>
        </w:rPr>
        <w:t>و</w:t>
      </w:r>
      <w:r w:rsidR="004C210D" w:rsidRPr="00001A51">
        <w:rPr>
          <w:rFonts w:ascii="Arabic Transparent" w:hAnsi="Arabic Transparent" w:cs="Arabic Transparent" w:hint="cs"/>
          <w:sz w:val="28"/>
          <w:szCs w:val="28"/>
          <w:rtl/>
          <w:lang w:bidi="ar-JO"/>
        </w:rPr>
        <w:t>"</w:t>
      </w:r>
      <w:r w:rsidR="004E383D" w:rsidRPr="00001A51">
        <w:rPr>
          <w:rFonts w:ascii="Arabic Transparent" w:hAnsi="Arabic Transparent" w:cs="Arabic Transparent"/>
          <w:sz w:val="28"/>
          <w:szCs w:val="28"/>
          <w:rtl/>
          <w:lang w:bidi="ar-JO"/>
        </w:rPr>
        <w:t>هذا المنهج هو المرضي المتفق عليه عند أهل التحقيق</w:t>
      </w:r>
      <w:r w:rsidR="004C210D" w:rsidRPr="00001A51">
        <w:rPr>
          <w:rFonts w:ascii="Arabic Transparent" w:hAnsi="Arabic Transparent" w:cs="Arabic Transparent" w:hint="cs"/>
          <w:sz w:val="28"/>
          <w:szCs w:val="28"/>
          <w:rtl/>
          <w:lang w:bidi="ar-JO"/>
        </w:rPr>
        <w:t>"</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524"/>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xml:space="preserve"> وهو الأليق بنشر منظومة الإسلام المحققة لمصالح النَّاس في معاشهم وفي معاملاتهم، وقد ثبت صلاحه قديماً وحديثاً لدى العلماء ممَّا أدى بهم إلى القول بحجيته واعتباره، كمنهج فقهي معاصر يعالج القضايا الشرعية المستجدة من الحياة، معملاً العقل في تعليل الأحكام، والنص في الوقوف على محدداته، والمقاصد للإبحار في أعماقه، فيقول الدكتور القرضاوي بهذا الشأن</w:t>
      </w:r>
      <w:r w:rsidR="00395D2E" w:rsidRPr="00001A51">
        <w:rPr>
          <w:rFonts w:ascii="Arabic Transparent" w:hAnsi="Arabic Transparent" w:cs="Arabic Transparent" w:hint="cs"/>
          <w:sz w:val="28"/>
          <w:szCs w:val="28"/>
          <w:rtl/>
          <w:lang w:bidi="ar-JO"/>
        </w:rPr>
        <w:t xml:space="preserve">: </w:t>
      </w:r>
      <w:r w:rsidR="004E383D" w:rsidRPr="00001A51">
        <w:rPr>
          <w:rFonts w:ascii="Arabic Transparent" w:hAnsi="Arabic Transparent" w:cs="Arabic Transparent"/>
          <w:sz w:val="28"/>
          <w:szCs w:val="28"/>
          <w:rtl/>
          <w:lang w:bidi="ar-JO"/>
        </w:rPr>
        <w:t>"أجمع العلماء -ما عدا فئة قليلة- على تعليل أحكام الشريعة وربطها بالحكم والمصالح"</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525"/>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xml:space="preserve"> وعلى هذا لم يعد هناك اعتبار لمن يفعل خلاف ذلك.</w:t>
      </w:r>
    </w:p>
    <w:p w14:paraId="4404184D" w14:textId="77777777" w:rsidR="004E383D" w:rsidRPr="00001A51" w:rsidRDefault="004E383D" w:rsidP="004E383D">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3- المثال على المنهج الجمعي:</w:t>
      </w:r>
    </w:p>
    <w:p w14:paraId="6C2513B8" w14:textId="0968A0AB" w:rsidR="004E383D" w:rsidRPr="00001A51" w:rsidRDefault="005D7B91" w:rsidP="004E383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 xml:space="preserve">إنَّ التفاوت بين الفتاوى المنتشرة راجع إلى عدة الأسباب، منها: عدم الالتزام بمنهج محدد في الفتوى، ومنها عدم التَّقيُّد بضوابط الإفتاء على المنهج الجمعي والتساهل في البعض منها، وبالمثال التالي سوف يتضح المقال من خلال عرض مسألة وبيان صورتها وتحليلها، كما يأتي: </w:t>
      </w:r>
    </w:p>
    <w:p w14:paraId="65725A33" w14:textId="77777777" w:rsidR="004E383D" w:rsidRPr="00001A51" w:rsidRDefault="004E383D" w:rsidP="004E383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السؤال: ما حكم أخذ زيادة على الدين مقابل مماطلة المدين في السداد؟</w:t>
      </w:r>
    </w:p>
    <w:p w14:paraId="6EFB4724" w14:textId="29F4C6C8" w:rsidR="004E383D" w:rsidRPr="00001A51" w:rsidRDefault="005D7B91" w:rsidP="004E383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تصور المسألة: أن يقوم المصرف، أو الشركة الدائنة، بفرض زيادة على العميل في حال تأخره عن سداد ما عليه من ديون ولو من غير شرط في العقد، وذلك نتيجة الإضرار الذي سوف يحصل من مماطلة الدين، وهي ما تعرف بغرامة التأخر، أو الشرط الجزائي، لتأخر السداد.</w:t>
      </w:r>
    </w:p>
    <w:p w14:paraId="38E53082" w14:textId="1794AAE7" w:rsidR="004C210D" w:rsidRPr="00001A51" w:rsidRDefault="005D7B91" w:rsidP="004E383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744A1A" w:rsidRPr="00001A51">
        <w:rPr>
          <w:rFonts w:ascii="Arabic Transparent" w:hAnsi="Arabic Transparent" w:cs="Arabic Transparent" w:hint="cs"/>
          <w:sz w:val="28"/>
          <w:szCs w:val="28"/>
          <w:rtl/>
          <w:lang w:bidi="ar-JO"/>
        </w:rPr>
        <w:t xml:space="preserve">حيث </w:t>
      </w:r>
      <w:r w:rsidR="004E383D" w:rsidRPr="00001A51">
        <w:rPr>
          <w:rFonts w:ascii="Arabic Transparent" w:hAnsi="Arabic Transparent" w:cs="Arabic Transparent"/>
          <w:sz w:val="28"/>
          <w:szCs w:val="28"/>
          <w:rtl/>
          <w:lang w:bidi="ar-JO"/>
        </w:rPr>
        <w:t xml:space="preserve">وردت إجابة السؤال من قبل مجمع الفقه الإسلامي الدولي، ومن قبل الهيئة الشرعية لبنك التمويل الكويتي، ومن قبل دائرة الإفتاء الأردنية كما يأتي: </w:t>
      </w:r>
    </w:p>
    <w:p w14:paraId="51756DA6" w14:textId="77777777" w:rsidR="004C210D" w:rsidRPr="00001A51" w:rsidRDefault="004C210D">
      <w:pPr>
        <w:bidi w:val="0"/>
        <w:spacing w:after="0" w:line="240" w:lineRule="auto"/>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br w:type="page"/>
      </w:r>
    </w:p>
    <w:p w14:paraId="12293166" w14:textId="29EF7D69" w:rsidR="004E383D" w:rsidRPr="00001A51" w:rsidRDefault="004E383D" w:rsidP="003C1E26">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ملخص الإجابة: ذهب مجمع الفقه الإسلامي الدولي</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526"/>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xml:space="preserve"> ودائرة الإفتاء الأردنية</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527"/>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xml:space="preserve"> إلى </w:t>
      </w:r>
      <w:r w:rsidR="004C210D" w:rsidRPr="00001A51">
        <w:rPr>
          <w:rFonts w:ascii="Arabic Transparent" w:hAnsi="Arabic Transparent" w:cs="Arabic Transparent" w:hint="cs"/>
          <w:sz w:val="28"/>
          <w:szCs w:val="28"/>
          <w:rtl/>
          <w:lang w:bidi="ar-JO"/>
        </w:rPr>
        <w:t>"</w:t>
      </w:r>
      <w:r w:rsidRPr="00001A51">
        <w:rPr>
          <w:rFonts w:ascii="Arabic Transparent" w:hAnsi="Arabic Transparent" w:cs="Arabic Transparent"/>
          <w:sz w:val="28"/>
          <w:szCs w:val="28"/>
          <w:rtl/>
          <w:lang w:bidi="ar-JO"/>
        </w:rPr>
        <w:t xml:space="preserve">تحريم الشرط الجزائي في العقود سواء أكان المدين فقيراً أو مماطلاً وسواء أكان الشرط سابقاً للعقد أو دون شرط، وعلة التحريم أنَّ هذه الزيادة على الدين ربا، فهو عين الربا الذي كان معهوداً في الجاهلية حيث كان الواحد إذا تأخر المدين في سداد دينه يقول له، </w:t>
      </w:r>
      <w:r w:rsidRPr="00001A51">
        <w:rPr>
          <w:rFonts w:ascii="Arabic Transparent" w:hAnsi="Arabic Transparent" w:cs="Arabic Transparent"/>
          <w:sz w:val="28"/>
          <w:szCs w:val="28"/>
          <w:rtl/>
        </w:rPr>
        <w:t>إمَّا</w:t>
      </w:r>
      <w:r w:rsidRPr="00001A51">
        <w:rPr>
          <w:rFonts w:ascii="Arabic Transparent" w:hAnsi="Arabic Transparent" w:cs="Arabic Transparent"/>
          <w:sz w:val="28"/>
          <w:szCs w:val="28"/>
          <w:rtl/>
          <w:lang w:bidi="ar-JO"/>
        </w:rPr>
        <w:t xml:space="preserve"> أن تربي وإمَّا أن تقضي، فهي من قبيل الربا المحرم بالنص</w:t>
      </w:r>
      <w:r w:rsidR="004C210D" w:rsidRPr="00001A51">
        <w:rPr>
          <w:rFonts w:ascii="Arabic Transparent" w:hAnsi="Arabic Transparent" w:cs="Arabic Transparent" w:hint="cs"/>
          <w:sz w:val="28"/>
          <w:szCs w:val="28"/>
          <w:rtl/>
          <w:lang w:bidi="ar-JO"/>
        </w:rPr>
        <w:t>"</w:t>
      </w:r>
      <w:r w:rsidR="004C210D" w:rsidRPr="00001A51">
        <w:rPr>
          <w:rFonts w:ascii="Arabic Transparent" w:hAnsi="Arabic Transparent" w:cs="Arabic Transparent" w:hint="cs"/>
          <w:sz w:val="28"/>
          <w:szCs w:val="28"/>
          <w:vertAlign w:val="superscript"/>
          <w:rtl/>
          <w:lang w:bidi="ar-JO"/>
        </w:rPr>
        <w:t>(</w:t>
      </w:r>
      <w:r w:rsidR="004C210D" w:rsidRPr="00001A51">
        <w:rPr>
          <w:rStyle w:val="FootnoteReference"/>
          <w:rFonts w:ascii="Arabic Transparent" w:hAnsi="Arabic Transparent" w:cs="Arabic Transparent" w:hint="cs"/>
          <w:sz w:val="28"/>
          <w:szCs w:val="28"/>
          <w:rtl/>
          <w:lang w:bidi="ar-JO"/>
        </w:rPr>
        <w:footnoteReference w:id="528"/>
      </w:r>
      <w:r w:rsidR="004C210D" w:rsidRPr="00001A51">
        <w:rPr>
          <w:rFonts w:ascii="Arabic Transparent" w:hAnsi="Arabic Transparent" w:cs="Arabic Transparent" w:hint="cs"/>
          <w:sz w:val="28"/>
          <w:szCs w:val="28"/>
          <w:vertAlign w:val="superscript"/>
          <w:rtl/>
          <w:lang w:bidi="ar-JO"/>
        </w:rPr>
        <w:t>)</w:t>
      </w:r>
      <w:r w:rsidRPr="00001A51">
        <w:rPr>
          <w:rFonts w:ascii="Arabic Transparent" w:hAnsi="Arabic Transparent" w:cs="Arabic Transparent"/>
          <w:sz w:val="28"/>
          <w:szCs w:val="28"/>
          <w:rtl/>
          <w:lang w:bidi="ar-JO"/>
        </w:rPr>
        <w:t xml:space="preserve"> كما في قوله تعالى:</w:t>
      </w:r>
      <w:r w:rsidRPr="00001A51">
        <w:rPr>
          <w:rFonts w:ascii="KFGQPC HAFS Uthmanic Script" w:hAnsi="Aptos" w:cs="KFGQPC HAFS Uthmanic Script"/>
          <w:color w:val="000000"/>
          <w:sz w:val="28"/>
          <w:szCs w:val="28"/>
          <w:rtl/>
        </w:rPr>
        <w:t>ﵟذَٰلِكَ بِأَنَّهُمۡ قَالُوٓاْ إِنَّمَا ٱلۡبَيۡعُ مِثۡلُ ٱلرِّبَوٰاْۗ وَأَحَلَّ ٱللَّهُ ٱلۡبَيۡعَ وَحَرَّمَ ٱلرِّبَوٰاْۚ ٢٧٥</w:t>
      </w:r>
      <w:r w:rsidRPr="00001A51">
        <w:rPr>
          <w:rFonts w:ascii="KFGQPC HAFS Uthmanic Script" w:hAnsi="Aptos" w:cs="KFGQPC HAFS Uthmanic Script"/>
          <w:color w:val="000000"/>
          <w:sz w:val="36"/>
          <w:szCs w:val="36"/>
          <w:rtl/>
        </w:rPr>
        <w:t>ﵞ</w:t>
      </w:r>
      <w:r w:rsidRPr="00001A51">
        <w:rPr>
          <w:rFonts w:ascii="KFGQPC HAFS Uthmanic Script" w:hAnsi="Aptos" w:cs="KFGQPC HAFS Uthmanic Script"/>
          <w:color w:val="000000"/>
          <w:sz w:val="28"/>
          <w:szCs w:val="28"/>
          <w:rtl/>
        </w:rPr>
        <w:t xml:space="preserve"> ﵝالبَقَرَةِ:ﵕﵗﵒﵜ</w:t>
      </w:r>
      <w:r w:rsidR="004D108D" w:rsidRPr="00001A51">
        <w:rPr>
          <w:rFonts w:ascii="Arabic Transparent" w:hAnsi="Arabic Transparent" w:cs="Arabic Transparent" w:hint="cs"/>
          <w:sz w:val="28"/>
          <w:szCs w:val="28"/>
          <w:rtl/>
          <w:lang w:bidi="ar-JO"/>
        </w:rPr>
        <w:t xml:space="preserve">، </w:t>
      </w:r>
      <w:r w:rsidRPr="00001A51">
        <w:rPr>
          <w:rFonts w:ascii="Arabic Transparent" w:hAnsi="Arabic Transparent" w:cs="Arabic Transparent"/>
          <w:sz w:val="28"/>
          <w:szCs w:val="28"/>
          <w:rtl/>
          <w:lang w:bidi="ar-JO"/>
        </w:rPr>
        <w:t>وهذا شكل من أشكاله، والأمر الآخر فإنَّ هذا التصرف يتنافى مع مقصد الإسلام في أمر الدائن من إنظار المعسر إلى ميسرة، واستحب له إسقاط الدين عنه كما في قوله تعالى:</w:t>
      </w:r>
      <w:r w:rsidRPr="00001A51">
        <w:rPr>
          <w:rFonts w:ascii="KFGQPC HAFS Uthmanic Script" w:hAnsi="Aptos" w:cs="KFGQPC HAFS Uthmanic Script"/>
          <w:color w:val="000000"/>
          <w:sz w:val="28"/>
          <w:szCs w:val="28"/>
          <w:rtl/>
        </w:rPr>
        <w:t>ﵟ وَإِن كَانَ ذُو عُسۡرَةٖ فَنَظِرَةٌ إِلَىٰ مَيۡسَرَةٖۚ وَأَن تَصَدَّقُواْ خَيۡرٞ لَّكُمۡ إِن كُنتُمۡ تَعۡلَمُونَ ٢٨٠ﵞ ﵝالبَقَرَةِ</w:t>
      </w:r>
      <w:r w:rsidR="005D7B91" w:rsidRPr="00001A51">
        <w:rPr>
          <w:rFonts w:ascii="KFGQPC HAFS Uthmanic Script" w:hAnsi="Aptos" w:cs="KFGQPC HAFS Uthmanic Script"/>
          <w:color w:val="000000"/>
          <w:sz w:val="28"/>
          <w:szCs w:val="28"/>
          <w:rtl/>
        </w:rPr>
        <w:t xml:space="preserve">: </w:t>
      </w:r>
      <w:r w:rsidRPr="00001A51">
        <w:rPr>
          <w:rFonts w:ascii="KFGQPC HAFS Uthmanic Script" w:hAnsi="Aptos" w:cs="KFGQPC HAFS Uthmanic Script"/>
          <w:color w:val="000000"/>
          <w:sz w:val="28"/>
          <w:szCs w:val="28"/>
          <w:rtl/>
        </w:rPr>
        <w:t>ﵐﵘﵒﵜ</w:t>
      </w:r>
      <w:r w:rsidRPr="00001A51">
        <w:rPr>
          <w:rFonts w:ascii="Arabic Transparent" w:hAnsi="Arabic Transparent" w:cs="Arabic Transparent"/>
          <w:sz w:val="28"/>
          <w:szCs w:val="28"/>
          <w:rtl/>
          <w:lang w:bidi="ar-JO"/>
        </w:rPr>
        <w:t xml:space="preserve"> وإن كان المدين موسراً ومماطلاً فهو آثم وللدائن بعد أن يعطيه الفرصة أن ينذره ثمَّ يرفع أمره إلى القضاء ليأخذ الدائن حقه، حيث قرر مجلس المجمع الفقهي بالإجماع ما </w:t>
      </w:r>
      <w:r w:rsidR="00BF1052" w:rsidRPr="00001A51">
        <w:rPr>
          <w:rFonts w:ascii="Arabic Transparent" w:hAnsi="Arabic Transparent" w:cs="Arabic Transparent" w:hint="cs"/>
          <w:sz w:val="28"/>
          <w:szCs w:val="28"/>
          <w:rtl/>
          <w:lang w:bidi="ar-JO"/>
        </w:rPr>
        <w:t>يأتي</w:t>
      </w:r>
      <w:r w:rsidRPr="00001A51">
        <w:rPr>
          <w:rFonts w:ascii="Arabic Transparent" w:hAnsi="Arabic Transparent" w:cs="Arabic Transparent"/>
          <w:sz w:val="28"/>
          <w:szCs w:val="28"/>
          <w:rtl/>
          <w:lang w:bidi="ar-JO"/>
        </w:rPr>
        <w:t xml:space="preserve">: </w:t>
      </w:r>
    </w:p>
    <w:p w14:paraId="5158D811" w14:textId="112B41CB" w:rsidR="004C210D" w:rsidRPr="00001A51" w:rsidRDefault="00744A1A" w:rsidP="004E383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hint="cs"/>
          <w:sz w:val="28"/>
          <w:szCs w:val="28"/>
          <w:rtl/>
          <w:lang w:bidi="ar-JO"/>
        </w:rPr>
        <w:t xml:space="preserve">     </w:t>
      </w:r>
      <w:r w:rsidR="004E383D" w:rsidRPr="00001A51">
        <w:rPr>
          <w:rFonts w:ascii="Arabic Transparent" w:hAnsi="Arabic Transparent" w:cs="Arabic Transparent"/>
          <w:sz w:val="28"/>
          <w:szCs w:val="28"/>
          <w:rtl/>
          <w:lang w:bidi="ar-JO"/>
        </w:rPr>
        <w:t>"إنَّ الدائن إذا شرط على المدين أو فرض عليه أن يدفع له مبلغا من المال غرامة مالية جزائية محددة أو بنسبة معينة إذا تأخر عن السداد في الموعد المحدد بينهما فهو شرط أو فرض باطل، ولا يجب الوفاء به، ولا يحل، سواء أكان الشارط هو المصرف أو غيره؛ لأنَّ هذا بعينه ربا الجاهلية الذي نزل القرآن بتحريمه"</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529"/>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w:t>
      </w:r>
    </w:p>
    <w:p w14:paraId="42AD5CF1" w14:textId="77777777" w:rsidR="004C210D" w:rsidRPr="00001A51" w:rsidRDefault="004C210D">
      <w:pPr>
        <w:bidi w:val="0"/>
        <w:spacing w:after="0" w:line="240" w:lineRule="auto"/>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br w:type="page"/>
      </w:r>
    </w:p>
    <w:p w14:paraId="26C004CB" w14:textId="02612224" w:rsidR="007B14A0" w:rsidRPr="00001A51" w:rsidRDefault="005D7B91" w:rsidP="003C1E26">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 xml:space="preserve">فالحكم هنا قد استنبط وفق المنهج الجمعي وذلك من خلال الربط بين النص الجزئي وهو الآية الكريمة والمقصد الكلي الضروري وهو حفظ المال، وكما أشار إلى بعض المصالح الجزئية التي تعين على تحقيق المقصد الكلي وذلك من خلال توجيه الدائن بالصبر على المدين الفقير وإن كان عاجزاً التصدق عليه بإسقاط الدين وهذا لا يعني أن الشرع قد أجحف في حق الدائن على العكس، بل أنصفه بقول النبي </w:t>
      </w:r>
      <w:r w:rsidR="005E3842" w:rsidRPr="00001A51">
        <w:rPr>
          <w:rFonts w:ascii="AGA Arabesque" w:hAnsi="AGA Arabesque" w:cs="AGA Arabesque"/>
          <w:sz w:val="28"/>
          <w:szCs w:val="28"/>
          <w:lang w:bidi="ar-JO"/>
        </w:rPr>
        <w:t></w:t>
      </w:r>
      <w:r w:rsidR="004E383D" w:rsidRPr="00001A51">
        <w:rPr>
          <w:rFonts w:ascii="Arabic Transparent" w:hAnsi="Arabic Transparent" w:cs="Arabic Transparent"/>
          <w:sz w:val="28"/>
          <w:szCs w:val="28"/>
          <w:rtl/>
          <w:lang w:bidi="ar-JO"/>
        </w:rPr>
        <w:t xml:space="preserve">: </w:t>
      </w:r>
      <w:r w:rsidR="00190996" w:rsidRPr="00001A51">
        <w:rPr>
          <w:rFonts w:ascii="Arabic Transparent" w:hAnsi="Arabic Transparent" w:cs="Arabic Transparent" w:hint="cs"/>
          <w:sz w:val="28"/>
          <w:szCs w:val="28"/>
          <w:rtl/>
          <w:lang w:bidi="ar-JO"/>
        </w:rPr>
        <w:t>"</w:t>
      </w:r>
      <w:r w:rsidR="004E383D" w:rsidRPr="00001A51">
        <w:rPr>
          <w:rFonts w:ascii="Arabic Transparent" w:hAnsi="Arabic Transparent" w:cs="Arabic Transparent"/>
          <w:sz w:val="28"/>
          <w:szCs w:val="28"/>
          <w:rtl/>
          <w:lang w:bidi="ar-JO"/>
        </w:rPr>
        <w:t>مطل الغني ظلم</w:t>
      </w:r>
      <w:r w:rsidR="00190996" w:rsidRPr="00001A51">
        <w:rPr>
          <w:rFonts w:ascii="Arabic Transparent" w:hAnsi="Arabic Transparent" w:cs="Arabic Transparent" w:hint="cs"/>
          <w:sz w:val="28"/>
          <w:szCs w:val="28"/>
          <w:rtl/>
          <w:lang w:bidi="ar-JO"/>
        </w:rPr>
        <w:t>"</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530"/>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xml:space="preserve"> فحرم على المدين التأخر عن سداد الدين مع وفور المال لديه وقدرته على السداد.</w:t>
      </w:r>
    </w:p>
    <w:p w14:paraId="7C02DD74" w14:textId="77777777" w:rsidR="003C1E26" w:rsidRPr="00001A51" w:rsidRDefault="005D7B91" w:rsidP="003C1E26">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 xml:space="preserve">وعلى الصعيد الآخر ذهبت ندوة البركة الثالثة للاقتصاد الإسلامي عند مناقشة المدين المماطل إلى القرارات الآتية: </w:t>
      </w:r>
    </w:p>
    <w:p w14:paraId="7DC9C450" w14:textId="105DDD63" w:rsidR="004E383D" w:rsidRPr="00001A51" w:rsidRDefault="004E383D" w:rsidP="003C1E26">
      <w:pPr>
        <w:spacing w:after="0" w:line="360" w:lineRule="auto"/>
        <w:jc w:val="both"/>
        <w:rPr>
          <w:rFonts w:ascii="Arabic Transparent" w:hAnsi="Arabic Transparent" w:cs="Arabic Transparent"/>
          <w:sz w:val="28"/>
          <w:szCs w:val="28"/>
          <w:vertAlign w:val="superscript"/>
          <w:rtl/>
          <w:lang w:bidi="ar-JO"/>
        </w:rPr>
      </w:pPr>
      <w:r w:rsidRPr="00001A51">
        <w:rPr>
          <w:rFonts w:ascii="Arabic Transparent" w:hAnsi="Arabic Transparent" w:cs="Arabic Transparent"/>
          <w:sz w:val="28"/>
          <w:szCs w:val="28"/>
          <w:rtl/>
          <w:lang w:bidi="ar-JO"/>
        </w:rPr>
        <w:t xml:space="preserve">"أولاً: يجوز شرعا إلزام المدين المماطل في الأداء، وهو قادر على الوفاء بتعويض الدائن عن ضرره الناشئ عن تأخر المدين في الوفاء دون عذر مشروع لأن مثل هذا المدين ظالم، قال فيه الرسول </w:t>
      </w:r>
      <w:r w:rsidR="005E3842" w:rsidRPr="00001A51">
        <w:rPr>
          <w:rFonts w:ascii="AGA Arabesque" w:hAnsi="AGA Arabesque" w:cs="AGA Arabesque"/>
          <w:sz w:val="28"/>
          <w:szCs w:val="28"/>
          <w:lang w:bidi="ar-JO"/>
        </w:rPr>
        <w:t></w:t>
      </w:r>
      <w:r w:rsidRPr="00001A51">
        <w:rPr>
          <w:rFonts w:ascii="Arabic Transparent" w:hAnsi="Arabic Transparent" w:cs="Arabic Transparent"/>
          <w:sz w:val="28"/>
          <w:szCs w:val="28"/>
          <w:rtl/>
          <w:lang w:bidi="ar-JO"/>
        </w:rPr>
        <w:t>:</w:t>
      </w:r>
      <w:r w:rsidR="00151AED" w:rsidRPr="00001A51">
        <w:rPr>
          <w:rFonts w:ascii="Arabic Transparent" w:hAnsi="Arabic Transparent" w:cs="Arabic Transparent"/>
          <w:sz w:val="28"/>
          <w:szCs w:val="28"/>
          <w:rtl/>
          <w:lang w:bidi="ar-JO"/>
        </w:rPr>
        <w:t xml:space="preserve"> "</w:t>
      </w:r>
      <w:r w:rsidRPr="00001A51">
        <w:rPr>
          <w:rFonts w:ascii="Arabic Transparent" w:hAnsi="Arabic Transparent" w:cs="Arabic Transparent"/>
          <w:sz w:val="28"/>
          <w:szCs w:val="28"/>
          <w:rtl/>
          <w:lang w:bidi="ar-JO"/>
        </w:rPr>
        <w:t>مطل الغني ظلم" فيكون حاله كحالة الغصب التي قرر الفقهاء فيها تضمين الغاصب منافع الأعيان المغصوبة علاوة على رد الأصل، هذا رأي الأغلبية وهناك من يرى أن يكون الإلزام بهذا المال على سبيل الغرامة الجزائية استنادا لمبدأ المصالح المرسلة، على أن تصرف الحصيلة في وجوه البر المشروعة"</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531"/>
      </w:r>
      <w:r w:rsidRPr="00001A51">
        <w:rPr>
          <w:rFonts w:ascii="Arabic Transparent" w:hAnsi="Arabic Transparent" w:cs="Arabic Transparent"/>
          <w:sz w:val="28"/>
          <w:szCs w:val="28"/>
          <w:vertAlign w:val="superscript"/>
          <w:rtl/>
          <w:lang w:bidi="ar-JO"/>
        </w:rPr>
        <w:t>).</w:t>
      </w:r>
    </w:p>
    <w:p w14:paraId="3348DB35" w14:textId="77777777" w:rsidR="004C210D" w:rsidRPr="00001A51" w:rsidRDefault="005D7B91" w:rsidP="003C1E26">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 xml:space="preserve">الذي نخلص إليه من هذا العرض لكلا الفتوتين ليس بيان الراجح والصحيح منهما ولكن نهدف إلى التمثيل على المنهج الجمعي، حيث كما بينا أن المجمع الفقهي قد راعى المنهج الجمعي في إصدار قراراته بناءً على الجمع بين النصوص الصريحة والمقاصد الحقيقية في تحريم الزيادة على الدين أو الشرط الجزائي، سواءً للفقير، أو المماطل بينما أصدرت مجموعة البركة قراراً بجواز تقديم التعويض على الخسارة والضرر من تأخر المدين، واستندت في فتواها إلى الحديث الصحيح الذي يرويه الصحابي الجليل أبو هريرة </w:t>
      </w:r>
      <w:r w:rsidR="005224A0" w:rsidRPr="00001A51">
        <w:rPr>
          <w:rFonts w:ascii="AGA Arabesque" w:hAnsi="AGA Arabesque" w:cs="AGA Arabesque"/>
          <w:sz w:val="28"/>
          <w:szCs w:val="28"/>
          <w:lang w:bidi="ar-JO"/>
        </w:rPr>
        <w:t></w:t>
      </w:r>
      <w:r w:rsidR="005224A0" w:rsidRPr="00001A51">
        <w:rPr>
          <w:rFonts w:ascii="Arabic Transparent" w:hAnsi="Arabic Transparent" w:cs="Arabic Transparent" w:hint="cs"/>
          <w:sz w:val="28"/>
          <w:szCs w:val="28"/>
          <w:rtl/>
          <w:lang w:bidi="ar-JO"/>
        </w:rPr>
        <w:t>،</w:t>
      </w:r>
      <w:r w:rsidR="004E383D" w:rsidRPr="00001A51">
        <w:rPr>
          <w:rFonts w:ascii="Arabic Transparent" w:hAnsi="Arabic Transparent" w:cs="Arabic Transparent"/>
          <w:sz w:val="28"/>
          <w:szCs w:val="28"/>
          <w:rtl/>
          <w:lang w:bidi="ar-JO"/>
        </w:rPr>
        <w:t xml:space="preserve"> عن النبي </w:t>
      </w:r>
      <w:r w:rsidR="005E3842" w:rsidRPr="00001A51">
        <w:rPr>
          <w:rFonts w:ascii="AGA Arabesque" w:hAnsi="AGA Arabesque" w:cs="AGA Arabesque"/>
          <w:sz w:val="28"/>
          <w:szCs w:val="28"/>
          <w:lang w:bidi="ar-JO"/>
        </w:rPr>
        <w:t></w:t>
      </w:r>
      <w:r w:rsidR="004E383D" w:rsidRPr="00001A51">
        <w:rPr>
          <w:rFonts w:ascii="Arabic Transparent" w:hAnsi="Arabic Transparent" w:cs="Arabic Transparent"/>
          <w:sz w:val="28"/>
          <w:szCs w:val="28"/>
          <w:rtl/>
          <w:lang w:bidi="ar-JO"/>
        </w:rPr>
        <w:t xml:space="preserve"> قوله:</w:t>
      </w:r>
      <w:r w:rsidR="00151AED"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مطل الغني ظلم"</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532"/>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xml:space="preserve"> حيث خرَّجوه على هذا الحديث وعلى فعل الغاصب بجامع الظلم الذي يوقعه على المغصوب منه، والحقيقة أن كلمة ظلم في الحديث مشترك لفظي، فهي ظنية الدلالة على معناها تحمل معانٍ عديدة </w:t>
      </w:r>
      <w:r w:rsidR="004E383D" w:rsidRPr="00001A51">
        <w:rPr>
          <w:rFonts w:ascii="Arabic Transparent" w:hAnsi="Arabic Transparent" w:cs="Arabic Transparent"/>
          <w:sz w:val="28"/>
          <w:szCs w:val="28"/>
          <w:rtl/>
          <w:lang w:bidi="ar-JO"/>
        </w:rPr>
        <w:lastRenderedPageBreak/>
        <w:t>من مجاوزة الحد والجور والضرر والتي تشترك مع كثير من الأعمال المحرمة مطلقة الأذى غير السرقة،</w:t>
      </w:r>
    </w:p>
    <w:p w14:paraId="76A0EA8F" w14:textId="77777777" w:rsidR="004C210D" w:rsidRPr="00001A51" w:rsidRDefault="004C210D">
      <w:pPr>
        <w:bidi w:val="0"/>
        <w:spacing w:after="0" w:line="240" w:lineRule="auto"/>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br w:type="page"/>
      </w:r>
    </w:p>
    <w:p w14:paraId="30525730" w14:textId="0D0E3F59" w:rsidR="007B14A0" w:rsidRPr="00001A51" w:rsidRDefault="004E383D" w:rsidP="003C1E26">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وخرج المنهج المستعمل هنا عن كونه جمعياً إلى كونه منهجاً مقاصدياً من خلال ترجيح مصلحة الدائن المظلوم في حين أنَّ النصوص قاطبةً تدعو إلى عدم الزيادة على الدين؛ لأنه يفعل بذلك فعل الجاهلية في ربا النساء.</w:t>
      </w:r>
    </w:p>
    <w:p w14:paraId="5A4AB8A5" w14:textId="41508605" w:rsidR="004C210D" w:rsidRPr="00001A51" w:rsidRDefault="005D7B91" w:rsidP="007B14A0">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 xml:space="preserve">ويظهر الحياد عن المنهج الجمعي والاستناد إلى المنهج المقاصدي في تقدير الغرامة الجزائية شرعياً بناءً على كونها من مبادئ المصلحة المرسلة، فالمصلحة المرسلة </w:t>
      </w:r>
      <w:r w:rsidR="004C210D" w:rsidRPr="00001A51">
        <w:rPr>
          <w:rFonts w:ascii="Arabic Transparent" w:hAnsi="Arabic Transparent" w:cs="Arabic Transparent" w:hint="cs"/>
          <w:sz w:val="28"/>
          <w:szCs w:val="28"/>
          <w:rtl/>
          <w:lang w:bidi="ar-JO"/>
        </w:rPr>
        <w:t>"</w:t>
      </w:r>
      <w:r w:rsidR="004E383D" w:rsidRPr="00001A51">
        <w:rPr>
          <w:rFonts w:ascii="Arabic Transparent" w:hAnsi="Arabic Transparent" w:cs="Arabic Transparent"/>
          <w:sz w:val="28"/>
          <w:szCs w:val="28"/>
          <w:rtl/>
          <w:lang w:bidi="ar-JO"/>
        </w:rPr>
        <w:t>هي التي لم ترد نصوص باعتبارها أو إلغائها</w:t>
      </w:r>
      <w:r w:rsidR="004C210D" w:rsidRPr="00001A51">
        <w:rPr>
          <w:rFonts w:ascii="Arabic Transparent" w:hAnsi="Arabic Transparent" w:cs="Arabic Transparent" w:hint="cs"/>
          <w:sz w:val="28"/>
          <w:szCs w:val="28"/>
          <w:rtl/>
          <w:lang w:bidi="ar-JO"/>
        </w:rPr>
        <w:t>"</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533"/>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xml:space="preserve">، والمصلحة التي نص عليها هنا غير منضبطة من عدة أوجه، </w:t>
      </w:r>
      <w:r w:rsidR="004C210D" w:rsidRPr="00001A51">
        <w:rPr>
          <w:rFonts w:ascii="Arabic Transparent" w:hAnsi="Arabic Transparent" w:cs="Arabic Transparent" w:hint="cs"/>
          <w:sz w:val="28"/>
          <w:szCs w:val="28"/>
          <w:rtl/>
          <w:lang w:bidi="ar-JO"/>
        </w:rPr>
        <w:t>"</w:t>
      </w:r>
      <w:r w:rsidR="004E383D" w:rsidRPr="00001A51">
        <w:rPr>
          <w:rFonts w:ascii="Arabic Transparent" w:hAnsi="Arabic Transparent" w:cs="Arabic Transparent"/>
          <w:sz w:val="28"/>
          <w:szCs w:val="28"/>
          <w:rtl/>
          <w:lang w:bidi="ar-JO"/>
        </w:rPr>
        <w:t>حيث إنها تعود على النص القطعي بالإبطال، وهي ظنية وهذا محال؛ لأنَّ القاعدة أن كل مصلحة تعود على أصلها بالإبطال فهي باطلة</w:t>
      </w:r>
      <w:r w:rsidR="004C210D" w:rsidRPr="00001A51">
        <w:rPr>
          <w:rFonts w:ascii="Arabic Transparent" w:hAnsi="Arabic Transparent" w:cs="Arabic Transparent" w:hint="cs"/>
          <w:sz w:val="28"/>
          <w:szCs w:val="28"/>
          <w:rtl/>
          <w:lang w:bidi="ar-JO"/>
        </w:rPr>
        <w:t>"</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534"/>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والأمر الآخر أنها غير ظاهرة ومطردة بالنفع على جميع الأطراف بل تحقق النفع للدائن، وتحقق الضرر للمدين، فهي مصلحة غير خالصة، وهذا لا يصلح مقصداً للشارع، يقول الدكتور بايندر معلقاً على استعمال المصالح المرسلة في هذه المسألة:</w:t>
      </w:r>
      <w:r w:rsidR="00151AED"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إنَّ المصالح المرسلة لا تصلح دليلا في هذه المسألة. ولا شك في أنَّ المقصد الأصلي للشريعة هو تحقيق مصالح العباد وحفظها ودفع الضرر عنهم إلا أنَّ المصالح الدنيوية لا يتخلص كونها مصالح محضة؛ لأنَّها مشوبة بتكاليف ومشاق قلت أو كثرت،</w:t>
      </w:r>
      <w:r w:rsidR="004E383D" w:rsidRPr="00001A51">
        <w:rPr>
          <w:rFonts w:ascii="Arabic Transparent" w:hAnsi="Arabic Transparent" w:cs="Arabic Transparent"/>
          <w:sz w:val="28"/>
          <w:szCs w:val="28"/>
          <w:rtl/>
        </w:rPr>
        <w:t xml:space="preserve"> </w:t>
      </w:r>
      <w:r w:rsidR="004E383D" w:rsidRPr="00001A51">
        <w:rPr>
          <w:rFonts w:ascii="Arabic Transparent" w:hAnsi="Arabic Transparent" w:cs="Arabic Transparent"/>
          <w:sz w:val="28"/>
          <w:szCs w:val="28"/>
          <w:rtl/>
          <w:lang w:bidi="ar-JO"/>
        </w:rPr>
        <w:t>كما أنَّ المفاسد الدنيوية ليست بمفاسد محضة وهي مشوبة ببعض المصالح. والربا فيه شيء من المصلحة، واتخذ بعض النَّاس مطية توصلهم إلى تحليل الربا"</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535"/>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وليس من بغيتنا أن نتوصل إلى الحكم الشرعي في المسألة فالكلام حولها يطول، إنما العرض هنا بهدف الإشارة إلى المنهج الجمعي والذي تمثل جلياً في قرار مجمع الفقه الإسلامي الدولي ودائرة الإفتاء الأردنية وبالمقابل أشرنا إلى اعتماد مجموعة البركة الشرعية في قرارها على المنهج المقاصدي، والمقرر لدى العلماء أن هذه المناهج المصلحية لا تنهض في الفتوى حال كونها غير منضبطة في التوصل إلى الحكم، وخصوصاً عند مقارنتها بالمناهج العلمية الرصينة مثل المنهج الجمعي والله تعالى أعلم.</w:t>
      </w:r>
    </w:p>
    <w:p w14:paraId="5B83AF9F" w14:textId="77777777" w:rsidR="004C210D" w:rsidRPr="00001A51" w:rsidRDefault="004C210D">
      <w:pPr>
        <w:bidi w:val="0"/>
        <w:spacing w:after="0" w:line="240" w:lineRule="auto"/>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br w:type="page"/>
      </w:r>
    </w:p>
    <w:p w14:paraId="7F9A67BB" w14:textId="77777777" w:rsidR="004E383D" w:rsidRPr="00001A51" w:rsidRDefault="004E383D" w:rsidP="004E383D">
      <w:pPr>
        <w:spacing w:after="0" w:line="360" w:lineRule="auto"/>
        <w:rPr>
          <w:rFonts w:ascii="Arabic Transparent" w:hAnsi="Arabic Transparent" w:cs="Arabic Transparent"/>
          <w:b/>
          <w:bCs/>
          <w:sz w:val="32"/>
          <w:szCs w:val="32"/>
          <w:rtl/>
          <w:lang w:bidi="ar-JO"/>
        </w:rPr>
      </w:pPr>
      <w:r w:rsidRPr="00001A51">
        <w:rPr>
          <w:rFonts w:ascii="Arabic Transparent" w:hAnsi="Arabic Transparent" w:cs="Arabic Transparent"/>
          <w:b/>
          <w:bCs/>
          <w:sz w:val="32"/>
          <w:szCs w:val="32"/>
          <w:rtl/>
          <w:lang w:bidi="ar-JO"/>
        </w:rPr>
        <w:t xml:space="preserve">المطلب الثاني: مراتب التفاوت الذي يتعلق بالمعاملات المالية وما ينشأ عنها: </w:t>
      </w:r>
    </w:p>
    <w:p w14:paraId="66B52F28" w14:textId="5C8FA915" w:rsidR="007B14A0" w:rsidRPr="00001A51" w:rsidRDefault="005D7B91" w:rsidP="003C1E26">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 xml:space="preserve">لا يقتصر الحديث في هذه الدراسة على التفاوت في القدر الذي يجري بين الأموال الربوية عند اتحاد الجنس واختلاف القدر، بل يتعدى إلى التفاوت في كل المقاييس والمقادير التي تتعلق في المعاملات المالية، وفيما </w:t>
      </w:r>
      <w:r w:rsidR="00BF1052" w:rsidRPr="00001A51">
        <w:rPr>
          <w:rFonts w:ascii="Arabic Transparent" w:hAnsi="Arabic Transparent" w:cs="Arabic Transparent" w:hint="cs"/>
          <w:sz w:val="28"/>
          <w:szCs w:val="28"/>
          <w:rtl/>
          <w:lang w:bidi="ar-JO"/>
        </w:rPr>
        <w:t>يأتي</w:t>
      </w:r>
      <w:r w:rsidR="004E383D" w:rsidRPr="00001A51">
        <w:rPr>
          <w:rFonts w:ascii="Arabic Transparent" w:hAnsi="Arabic Transparent" w:cs="Arabic Transparent"/>
          <w:sz w:val="28"/>
          <w:szCs w:val="28"/>
          <w:rtl/>
          <w:lang w:bidi="ar-JO"/>
        </w:rPr>
        <w:t xml:space="preserve"> مراتب التفاوت، وما ينشأ عن هذه المراتب، وهي كما يأتي: </w:t>
      </w:r>
    </w:p>
    <w:p w14:paraId="17037ED0" w14:textId="77777777" w:rsidR="004E383D" w:rsidRPr="00001A51" w:rsidRDefault="004E383D" w:rsidP="004E383D">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الفرع الأول: التفاوت الطبيعي</w:t>
      </w:r>
    </w:p>
    <w:p w14:paraId="7C24AB8E" w14:textId="22A54D0D" w:rsidR="004E383D" w:rsidRPr="00001A51" w:rsidRDefault="004E383D" w:rsidP="004E383D">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أولاً: حقيقة التفاوت الطبيعي</w:t>
      </w:r>
      <w:r w:rsidR="005D7B91" w:rsidRPr="00001A51">
        <w:rPr>
          <w:rFonts w:ascii="Arabic Transparent" w:hAnsi="Arabic Transparent" w:cs="Arabic Transparent"/>
          <w:b/>
          <w:bCs/>
          <w:sz w:val="28"/>
          <w:szCs w:val="28"/>
          <w:rtl/>
          <w:lang w:bidi="ar-JO"/>
        </w:rPr>
        <w:t xml:space="preserve">: </w:t>
      </w:r>
    </w:p>
    <w:p w14:paraId="25D6570E" w14:textId="3E12855B" w:rsidR="004E383D" w:rsidRPr="00001A51" w:rsidRDefault="004E383D" w:rsidP="004E383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هو التفاوت الذي أودعه الله في مخلوقاته، فجعلها تتباين في الألوان والصفات والمميزات والأذواق، فكانت من سنة هذا الكون، حيث قال تعالى:</w:t>
      </w:r>
      <w:r w:rsidRPr="00001A51">
        <w:rPr>
          <w:rFonts w:ascii="KFGQPC HAFS Uthmanic Script" w:hAnsi="Aptos" w:cs="KFGQPC HAFS Uthmanic Script"/>
          <w:color w:val="000000"/>
          <w:sz w:val="28"/>
          <w:szCs w:val="28"/>
          <w:rtl/>
        </w:rPr>
        <w:t>ﵟ وَٱللَّهُ فَضَّلَ بَعۡضَكُمۡ عَلَىٰ بَعۡضٖ فِي ٱلرِّزۡقِۚ</w:t>
      </w:r>
      <w:r w:rsidRPr="00001A51">
        <w:rPr>
          <w:rFonts w:ascii="KFGQPC HAFS Uthmanic Script" w:hAnsi="Aptos" w:cs="Cambria"/>
          <w:color w:val="000000"/>
          <w:sz w:val="28"/>
          <w:szCs w:val="28"/>
          <w:rtl/>
        </w:rPr>
        <w:t>..</w:t>
      </w:r>
      <w:r w:rsidRPr="00001A51">
        <w:rPr>
          <w:rFonts w:ascii="KFGQPC HAFS Uthmanic Script" w:hAnsi="Aptos" w:cs="KFGQPC HAFS Uthmanic Script"/>
          <w:color w:val="000000"/>
          <w:sz w:val="28"/>
          <w:szCs w:val="28"/>
          <w:rtl/>
        </w:rPr>
        <w:t xml:space="preserve"> ٧١ﵞﵝالنَّحۡل</w:t>
      </w:r>
      <w:r w:rsidR="005D7B91" w:rsidRPr="00001A51">
        <w:rPr>
          <w:rFonts w:ascii="KFGQPC HAFS Uthmanic Script" w:hAnsi="Aptos" w:cs="KFGQPC HAFS Uthmanic Script"/>
          <w:color w:val="000000"/>
          <w:sz w:val="28"/>
          <w:szCs w:val="28"/>
          <w:rtl/>
        </w:rPr>
        <w:t>:</w:t>
      </w:r>
      <w:r w:rsidRPr="00001A51">
        <w:rPr>
          <w:rFonts w:ascii="KFGQPC HAFS Uthmanic Script" w:hAnsi="Aptos" w:cs="KFGQPC HAFS Uthmanic Script"/>
          <w:color w:val="000000"/>
          <w:sz w:val="28"/>
          <w:szCs w:val="28"/>
          <w:rtl/>
        </w:rPr>
        <w:t xml:space="preserve">ﵑﵗﵜ </w:t>
      </w:r>
      <w:r w:rsidRPr="00001A51">
        <w:rPr>
          <w:rFonts w:ascii="Arabic Transparent" w:hAnsi="Arabic Transparent" w:cs="Arabic Transparent"/>
          <w:b/>
          <w:bCs/>
          <w:color w:val="000000"/>
          <w:sz w:val="28"/>
          <w:szCs w:val="28"/>
          <w:rtl/>
        </w:rPr>
        <w:t>وجه الدلالة:</w:t>
      </w:r>
      <w:r w:rsidRPr="00001A51">
        <w:rPr>
          <w:rFonts w:ascii="KFGQPC HAFS Uthmanic Script" w:hAnsi="Aptos" w:cs="Cambria"/>
          <w:color w:val="000000"/>
          <w:sz w:val="28"/>
          <w:szCs w:val="28"/>
          <w:rtl/>
        </w:rPr>
        <w:t xml:space="preserve"> </w:t>
      </w:r>
      <w:r w:rsidR="004C2621" w:rsidRPr="00001A51">
        <w:rPr>
          <w:rFonts w:ascii="Arabic Transparent" w:hAnsi="Arabic Transparent" w:cs="Arabic Transparent" w:hint="cs"/>
          <w:sz w:val="28"/>
          <w:szCs w:val="28"/>
          <w:rtl/>
          <w:lang w:bidi="ar-JO"/>
        </w:rPr>
        <w:t>"</w:t>
      </w:r>
      <w:r w:rsidRPr="00001A51">
        <w:rPr>
          <w:rFonts w:ascii="Arabic Transparent" w:hAnsi="Arabic Transparent" w:cs="Arabic Transparent"/>
          <w:sz w:val="28"/>
          <w:szCs w:val="28"/>
          <w:rtl/>
          <w:lang w:bidi="ar-JO"/>
        </w:rPr>
        <w:t>ما جَبَلَ اللهُ الناسَ عليه من اختلافٍ في الأرزاق والقدرات والمهارات والحاجات والأذواق، مما لا يُكتسَب ابتداءً باختيار الإنسان، بل هو سنة كونية مقررة في نصوص الكتاب والسنة</w:t>
      </w:r>
      <w:r w:rsidR="004C2621" w:rsidRPr="00001A51">
        <w:rPr>
          <w:rFonts w:ascii="Arabic Transparent" w:hAnsi="Arabic Transparent" w:cs="Arabic Transparent" w:hint="cs"/>
          <w:sz w:val="28"/>
          <w:szCs w:val="28"/>
          <w:rtl/>
          <w:lang w:bidi="ar-JO"/>
        </w:rPr>
        <w:t>"</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536"/>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w:t>
      </w:r>
    </w:p>
    <w:p w14:paraId="2AD6804A" w14:textId="02B3079B" w:rsidR="004E383D" w:rsidRPr="00001A51" w:rsidRDefault="005D7B91" w:rsidP="004E383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 xml:space="preserve">ومن الأمثلة على هذا، التفاوت في الرزق، فيشتري الغني من الفقير ويبيع الفقير ما يملك للغني، والتفاوت بين الغنى والفقر لا يؤثر في المعاملة مطلقاً، وكذلك كون البائع عربياً، أو أعجمياً، أو طويلاً، أو قصيراً، أو الذكورة، أو الأنوثة في المتعاقدين، وهذه الأوصاف التي يسميها علماء الأصول بالأوصاف الطردية، أو الأوصاف الملغاة، أو الأوصاف غير المؤثرة، وهو كل وصف </w:t>
      </w:r>
    </w:p>
    <w:p w14:paraId="02046650" w14:textId="77777777" w:rsidR="004E383D" w:rsidRPr="00001A51" w:rsidRDefault="004E383D" w:rsidP="004E383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لا يشهد له دليل بالاعتبار، ولم يظهر وجه ارتباطه بالحكم فهو ملغى ولا يلتفت إليه عند علماء الأصول</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537"/>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xml:space="preserve">. </w:t>
      </w:r>
    </w:p>
    <w:p w14:paraId="275702BF" w14:textId="47C899D6" w:rsidR="004C2621" w:rsidRPr="00001A51" w:rsidRDefault="005D7B91" w:rsidP="004C2621">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b/>
          <w:bCs/>
          <w:sz w:val="28"/>
          <w:szCs w:val="28"/>
          <w:rtl/>
          <w:lang w:bidi="ar-JO"/>
        </w:rPr>
        <w:t xml:space="preserve">     </w:t>
      </w:r>
      <w:r w:rsidR="004E383D" w:rsidRPr="00001A51">
        <w:rPr>
          <w:rFonts w:ascii="Arabic Transparent" w:hAnsi="Arabic Transparent" w:cs="Arabic Transparent"/>
          <w:sz w:val="28"/>
          <w:szCs w:val="28"/>
          <w:rtl/>
          <w:lang w:bidi="ar-JO"/>
        </w:rPr>
        <w:t>والأصل في المعاملات أن تقبل التفاوت مطلقاً</w:t>
      </w:r>
      <w:r w:rsidR="004E383D" w:rsidRPr="00001A51">
        <w:rPr>
          <w:rFonts w:ascii="Arabic Transparent" w:hAnsi="Arabic Transparent" w:cs="Arabic Transparent"/>
          <w:b/>
          <w:bCs/>
          <w:sz w:val="28"/>
          <w:szCs w:val="28"/>
          <w:rtl/>
          <w:lang w:bidi="ar-JO"/>
        </w:rPr>
        <w:t xml:space="preserve">، </w:t>
      </w:r>
      <w:r w:rsidR="004E383D" w:rsidRPr="00001A51">
        <w:rPr>
          <w:rFonts w:ascii="Arabic Transparent" w:hAnsi="Arabic Transparent" w:cs="Arabic Transparent"/>
          <w:sz w:val="28"/>
          <w:szCs w:val="28"/>
          <w:rtl/>
          <w:lang w:bidi="ar-JO"/>
        </w:rPr>
        <w:t>وعند الاستقراء يتبين أن التفاوت الذي يتعلق بالقدر أو المنافع أو الصفات المرغوبة بين التجار</w:t>
      </w:r>
      <w:r w:rsidR="004C2621" w:rsidRPr="00001A51">
        <w:rPr>
          <w:rFonts w:ascii="Arabic Transparent" w:hAnsi="Arabic Transparent" w:cs="Arabic Transparent" w:hint="cs"/>
          <w:sz w:val="28"/>
          <w:szCs w:val="28"/>
          <w:rtl/>
          <w:lang w:bidi="ar-JO"/>
        </w:rPr>
        <w:t>،</w:t>
      </w:r>
      <w:r w:rsidR="004E383D" w:rsidRPr="00001A51">
        <w:rPr>
          <w:rFonts w:ascii="Arabic Transparent" w:hAnsi="Arabic Transparent" w:cs="Arabic Transparent"/>
          <w:sz w:val="28"/>
          <w:szCs w:val="28"/>
          <w:rtl/>
          <w:lang w:bidi="ar-JO"/>
        </w:rPr>
        <w:t xml:space="preserve"> </w:t>
      </w:r>
      <w:r w:rsidR="004C2621" w:rsidRPr="00001A51">
        <w:rPr>
          <w:rFonts w:ascii="Arabic Transparent" w:hAnsi="Arabic Transparent" w:cs="Arabic Transparent" w:hint="cs"/>
          <w:sz w:val="28"/>
          <w:szCs w:val="28"/>
          <w:rtl/>
          <w:lang w:bidi="ar-JO"/>
        </w:rPr>
        <w:t>و</w:t>
      </w:r>
      <w:r w:rsidR="004E383D" w:rsidRPr="00001A51">
        <w:rPr>
          <w:rFonts w:ascii="Arabic Transparent" w:hAnsi="Arabic Transparent" w:cs="Arabic Transparent"/>
          <w:sz w:val="28"/>
          <w:szCs w:val="28"/>
          <w:rtl/>
          <w:lang w:bidi="ar-JO"/>
        </w:rPr>
        <w:t>الاجتهاد</w:t>
      </w:r>
      <w:r w:rsidR="004C2621" w:rsidRPr="00001A51">
        <w:rPr>
          <w:rFonts w:ascii="Arabic Transparent" w:hAnsi="Arabic Transparent" w:cs="Arabic Transparent" w:hint="cs"/>
          <w:sz w:val="28"/>
          <w:szCs w:val="28"/>
          <w:rtl/>
          <w:lang w:bidi="ar-JO"/>
        </w:rPr>
        <w:t xml:space="preserve"> على أنه</w:t>
      </w:r>
      <w:r w:rsidR="004E383D" w:rsidRPr="00001A51">
        <w:rPr>
          <w:rFonts w:ascii="Arabic Transparent" w:hAnsi="Arabic Transparent" w:cs="Arabic Transparent"/>
          <w:sz w:val="28"/>
          <w:szCs w:val="28"/>
          <w:rtl/>
          <w:lang w:bidi="ar-JO"/>
        </w:rPr>
        <w:t xml:space="preserve"> يباح مطلقاً زيادةً ونقصاناً في غالبية عقود المعاوضات، </w:t>
      </w:r>
      <w:r w:rsidR="004C2621" w:rsidRPr="00001A51">
        <w:rPr>
          <w:rFonts w:ascii="Arabic Transparent" w:hAnsi="Arabic Transparent" w:cs="Arabic Transparent" w:hint="cs"/>
          <w:sz w:val="28"/>
          <w:szCs w:val="28"/>
          <w:rtl/>
          <w:lang w:bidi="ar-JO"/>
        </w:rPr>
        <w:t>"</w:t>
      </w:r>
      <w:r w:rsidR="004E383D" w:rsidRPr="00001A51">
        <w:rPr>
          <w:rFonts w:ascii="Arabic Transparent" w:hAnsi="Arabic Transparent" w:cs="Arabic Transparent"/>
          <w:sz w:val="28"/>
          <w:szCs w:val="28"/>
          <w:rtl/>
          <w:lang w:bidi="ar-JO"/>
        </w:rPr>
        <w:t xml:space="preserve">فالأصل في التجارة هو </w:t>
      </w:r>
      <w:r w:rsidR="004C2621" w:rsidRPr="00001A51">
        <w:rPr>
          <w:rFonts w:ascii="Arabic Transparent" w:hAnsi="Arabic Transparent" w:cs="Arabic Transparent" w:hint="cs"/>
          <w:sz w:val="28"/>
          <w:szCs w:val="28"/>
          <w:rtl/>
          <w:lang w:bidi="ar-JO"/>
        </w:rPr>
        <w:t xml:space="preserve">عدم </w:t>
      </w:r>
      <w:r w:rsidR="004E383D" w:rsidRPr="00001A51">
        <w:rPr>
          <w:rFonts w:ascii="Arabic Transparent" w:hAnsi="Arabic Transparent" w:cs="Arabic Transparent"/>
          <w:sz w:val="28"/>
          <w:szCs w:val="28"/>
          <w:rtl/>
          <w:lang w:bidi="ar-JO"/>
        </w:rPr>
        <w:t>وجود حد مقدر شرعاً للربح أو العوض</w:t>
      </w:r>
      <w:r w:rsidR="004C2621" w:rsidRPr="00001A51">
        <w:rPr>
          <w:rFonts w:ascii="Arabic Transparent" w:hAnsi="Arabic Transparent" w:cs="Arabic Transparent" w:hint="cs"/>
          <w:sz w:val="28"/>
          <w:szCs w:val="28"/>
          <w:rtl/>
          <w:lang w:bidi="ar-JO"/>
        </w:rPr>
        <w:t>"</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538"/>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xml:space="preserve">، </w:t>
      </w:r>
      <w:r w:rsidR="004C2621" w:rsidRPr="00001A51">
        <w:rPr>
          <w:rFonts w:ascii="Arabic Transparent" w:hAnsi="Arabic Transparent" w:cs="Arabic Transparent"/>
          <w:sz w:val="28"/>
          <w:szCs w:val="28"/>
          <w:rtl/>
          <w:lang w:bidi="ar-JO"/>
        </w:rPr>
        <w:br w:type="page"/>
      </w:r>
    </w:p>
    <w:p w14:paraId="225F821C" w14:textId="45D07210" w:rsidR="004E383D" w:rsidRPr="00001A51" w:rsidRDefault="00744A1A" w:rsidP="00744A1A">
      <w:pPr>
        <w:spacing w:after="0" w:line="348"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وذلك تحقيقاً </w:t>
      </w:r>
      <w:r w:rsidR="004E383D" w:rsidRPr="00001A51">
        <w:rPr>
          <w:rFonts w:ascii="Arabic Transparent" w:hAnsi="Arabic Transparent" w:cs="Arabic Transparent"/>
          <w:sz w:val="28"/>
          <w:szCs w:val="28"/>
          <w:rtl/>
          <w:lang w:bidi="ar-JO"/>
        </w:rPr>
        <w:t xml:space="preserve">لمبداً التراضي في العقود؛ لقوله تعالى: </w:t>
      </w:r>
      <w:r w:rsidR="004E383D" w:rsidRPr="00001A51">
        <w:rPr>
          <w:rFonts w:ascii="KFGQPC HAFS Uthmanic Script" w:hAnsi="Aptos" w:cs="KFGQPC HAFS Uthmanic Script"/>
          <w:color w:val="000000"/>
          <w:sz w:val="28"/>
          <w:szCs w:val="28"/>
          <w:rtl/>
        </w:rPr>
        <w:t>ﵟ يَٰٓأَيُّهَا ٱلَّذِينَ ءَامَنُواْ لَا تَأۡكُلُوٓاْ أَمۡوَٰلَكُم بَيۡنَكُم بِٱلۡبَٰطِلِ إِلَّآ أَن تَكُونَ تِجَٰرَةً عَن تَرَاضٖ مِّنكُمۡۚ وَلَا تَقۡتُلُوٓاْ أَنفُسَكُمۡۚ إِنَّ ٱللَّهَ كَانَ بِكُمۡ رَحِيمٗا ٢٩ﵞ ﵝالنِّسَاء</w:t>
      </w:r>
      <w:r w:rsidR="005D7B91" w:rsidRPr="00001A51">
        <w:rPr>
          <w:rFonts w:ascii="KFGQPC HAFS Uthmanic Script" w:hAnsi="Aptos" w:cs="KFGQPC HAFS Uthmanic Script"/>
          <w:color w:val="000000"/>
          <w:sz w:val="28"/>
          <w:szCs w:val="28"/>
          <w:rtl/>
        </w:rPr>
        <w:t xml:space="preserve">: </w:t>
      </w:r>
      <w:r w:rsidR="004E383D" w:rsidRPr="00001A51">
        <w:rPr>
          <w:rFonts w:ascii="KFGQPC HAFS Uthmanic Script" w:hAnsi="Aptos" w:cs="KFGQPC HAFS Uthmanic Script"/>
          <w:color w:val="000000"/>
          <w:sz w:val="28"/>
          <w:szCs w:val="28"/>
          <w:rtl/>
        </w:rPr>
        <w:t>ﵙﵒﵜ</w:t>
      </w:r>
      <w:r w:rsidR="004E383D" w:rsidRPr="00001A51">
        <w:rPr>
          <w:rFonts w:ascii="Arabic Transparent" w:hAnsi="Arabic Transparent" w:cs="Arabic Transparent"/>
          <w:sz w:val="28"/>
          <w:szCs w:val="28"/>
          <w:rtl/>
          <w:lang w:bidi="ar-JO"/>
        </w:rPr>
        <w:t xml:space="preserve"> ولحديث عروة البارقي "أَنّ النَّبِيَّ </w:t>
      </w:r>
      <w:r w:rsidR="007C21DD" w:rsidRPr="00001A51">
        <w:rPr>
          <w:rFonts w:ascii="AGA Arabesque" w:hAnsi="AGA Arabesque" w:cs="AGA Arabesque"/>
          <w:sz w:val="28"/>
          <w:szCs w:val="28"/>
          <w:lang w:bidi="ar-JO"/>
        </w:rPr>
        <w:t></w:t>
      </w:r>
      <w:r w:rsidR="007C21DD" w:rsidRPr="00001A51">
        <w:rPr>
          <w:rFonts w:ascii="Arabic Transparent" w:hAnsi="Arabic Transparent" w:cs="Arabic Transparent" w:hint="cs"/>
          <w:sz w:val="28"/>
          <w:szCs w:val="28"/>
          <w:rtl/>
          <w:lang w:bidi="ar-JO"/>
        </w:rPr>
        <w:t xml:space="preserve"> </w:t>
      </w:r>
      <w:r w:rsidR="007C21DD" w:rsidRPr="00001A51">
        <w:rPr>
          <w:rFonts w:ascii="Arabic Transparent" w:hAnsi="Arabic Transparent" w:cs="Arabic Transparent"/>
          <w:sz w:val="28"/>
          <w:szCs w:val="28"/>
          <w:rtl/>
          <w:lang w:bidi="ar-JO"/>
        </w:rPr>
        <w:t>‌أعطاه ‌دينارا ‌يشتري ‌له ‌به ‌شاة، ‌فاشترى له به شاتين، فباع إحداهما بدينار، وجاءه بدينار وشاة، فدعا له بالبركة في بيعه</w:t>
      </w:r>
      <w:r w:rsidR="004E383D" w:rsidRPr="00001A51">
        <w:rPr>
          <w:rFonts w:ascii="Arabic Transparent" w:hAnsi="Arabic Transparent" w:cs="Arabic Transparent"/>
          <w:sz w:val="28"/>
          <w:szCs w:val="28"/>
          <w:rtl/>
          <w:lang w:bidi="ar-JO"/>
        </w:rPr>
        <w:t>"</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539"/>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xml:space="preserve">. يُظهر هذا الحديث أن عروة حقق ربحاً بنسبة 100% تقريباً، ولم يُنكر عليه النبي </w:t>
      </w:r>
      <w:r w:rsidR="005E3842" w:rsidRPr="00001A51">
        <w:rPr>
          <w:rFonts w:ascii="AGA Arabesque" w:hAnsi="AGA Arabesque" w:cs="AGA Arabesque"/>
          <w:sz w:val="28"/>
          <w:szCs w:val="28"/>
          <w:lang w:bidi="ar-JO"/>
        </w:rPr>
        <w:t></w:t>
      </w:r>
      <w:r w:rsidR="004E383D" w:rsidRPr="00001A51">
        <w:rPr>
          <w:rFonts w:ascii="Arabic Transparent" w:hAnsi="Arabic Transparent" w:cs="Arabic Transparent"/>
          <w:sz w:val="28"/>
          <w:szCs w:val="28"/>
          <w:rtl/>
          <w:lang w:bidi="ar-JO"/>
        </w:rPr>
        <w:t xml:space="preserve"> ذلك، مما يدل على جواز الربح الكثير، وما ثبت "أن الزبير بن العوام اشترى أرضاً بمائة وسبعين ألفاً، ثم باعها ابنه عبد الله بعد وفاته بمليون وستمائة ألف، أي بأكثر من تسعة أضعاف ثمن الشراء"</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540"/>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فعُدَّ هذا الحديث دليلاً على التفاوت الطبيعي للأسعار عند الفريق الذي يرى عدم جواز التسعير</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541"/>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والأصل في الأسعار التفاوت والتقلب الطبيعي.</w:t>
      </w:r>
    </w:p>
    <w:p w14:paraId="450F2C9C" w14:textId="4B2C4815" w:rsidR="004E383D" w:rsidRPr="00001A51" w:rsidRDefault="005D7B91" w:rsidP="00744A1A">
      <w:pPr>
        <w:spacing w:after="0" w:line="348"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ولقد ترك الشارع الحكيم الأسعار تتقلب بحسب عوامل العرض والطلب وحاجة الناس للسلع ووفرة هذه السلع في الأسواق، وجعل الأصل العام عدم التسعير، ولا تتدخل الدولة في التسعير إلا في الحالات الاستثنائية التي تقتضيها المصلحة العامة، والتي تتعلق بالسلع والحاجات الأساسية التي يحتاج لها الناس بشكل مستمر، وفي حالات الاحتكار واستغلال حاجات الناس والغبن الفاحش، فقد أوجدت الشريعة لها حلولاً لرفع الظلم عن الناس.</w:t>
      </w:r>
    </w:p>
    <w:p w14:paraId="722F3E9A" w14:textId="77777777" w:rsidR="004E383D" w:rsidRPr="00001A51" w:rsidRDefault="004E383D" w:rsidP="00744A1A">
      <w:pPr>
        <w:spacing w:after="0" w:line="348"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 xml:space="preserve">ثانياً: ما ينشأ عن التفاوت الطبيعي: </w:t>
      </w:r>
    </w:p>
    <w:p w14:paraId="3BA45B63" w14:textId="77777777" w:rsidR="004C2621" w:rsidRPr="00001A51" w:rsidRDefault="005D7B91" w:rsidP="00744A1A">
      <w:pPr>
        <w:spacing w:after="0" w:line="348"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 xml:space="preserve">يتغير الحكم تبعاً للتغير الطبيعي للجنس، أو للوصف، أو للقدر مما يؤثر على تغير الحكم من الحظر إلى الإباحة، أو من الإباحة إلى الحظر، فهذا التفاوت الطبيعي يدخل المعاملة في باب الربا أو يخرجها منه، ويحول العقد من غرر باطل إلى بيع صحيح وعليه العديد من الشواهد الفقهية في </w:t>
      </w:r>
      <w:r w:rsidR="004E383D" w:rsidRPr="00001A51">
        <w:rPr>
          <w:rFonts w:ascii="Arabic Transparent" w:hAnsi="Arabic Transparent" w:cs="Arabic Transparent"/>
          <w:sz w:val="28"/>
          <w:szCs w:val="28"/>
          <w:rtl/>
          <w:lang w:bidi="ar-JO"/>
        </w:rPr>
        <w:lastRenderedPageBreak/>
        <w:t xml:space="preserve">باب المعاملات، منها ما ورد عن ابن عمر رضي الله عنهما: "أَنّ رَسُولَ اللَّهِ </w:t>
      </w:r>
      <w:r w:rsidR="005E3842" w:rsidRPr="00001A51">
        <w:rPr>
          <w:rFonts w:ascii="AGA Arabesque" w:hAnsi="AGA Arabesque" w:cs="AGA Arabesque"/>
          <w:sz w:val="28"/>
          <w:szCs w:val="28"/>
          <w:lang w:bidi="ar-JO"/>
        </w:rPr>
        <w:t></w:t>
      </w:r>
      <w:r w:rsidR="004E383D" w:rsidRPr="00001A51">
        <w:rPr>
          <w:rFonts w:ascii="Arabic Transparent" w:hAnsi="Arabic Transparent" w:cs="Arabic Transparent"/>
          <w:sz w:val="28"/>
          <w:szCs w:val="28"/>
          <w:rtl/>
          <w:lang w:bidi="ar-JO"/>
        </w:rPr>
        <w:t xml:space="preserve"> نَهَى عَن ‌بَيعِ ‌الثِّمَارِ </w:t>
      </w:r>
    </w:p>
    <w:p w14:paraId="1E666DEB" w14:textId="77777777" w:rsidR="004C2621" w:rsidRPr="00001A51" w:rsidRDefault="004C2621">
      <w:pPr>
        <w:bidi w:val="0"/>
        <w:spacing w:after="0" w:line="240" w:lineRule="auto"/>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br w:type="page"/>
      </w:r>
    </w:p>
    <w:p w14:paraId="1981834C" w14:textId="2B52B13E" w:rsidR="004E383D" w:rsidRPr="00001A51" w:rsidRDefault="004E383D" w:rsidP="003C1E26">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‌حَتَّى ‌يَبدُوَ ‌صَلاحُهَا، نَهَى البَائِعَ وَالمُبتَاعَ"</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542"/>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"وكان إذا سئل عن صلاحها قال: حتى تذهب عاهتها"</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543"/>
      </w:r>
      <w:r w:rsidRPr="00001A51">
        <w:rPr>
          <w:rFonts w:ascii="Arabic Transparent" w:hAnsi="Arabic Transparent" w:cs="Arabic Transparent"/>
          <w:sz w:val="28"/>
          <w:szCs w:val="28"/>
          <w:vertAlign w:val="superscript"/>
          <w:rtl/>
          <w:lang w:bidi="ar-JO"/>
        </w:rPr>
        <w:t xml:space="preserve">) </w:t>
      </w:r>
    </w:p>
    <w:p w14:paraId="69E039CC" w14:textId="7281DBF7" w:rsidR="004E383D" w:rsidRPr="00001A51" w:rsidRDefault="005D7B91" w:rsidP="001B2914">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قد قرّر المجتهدون أن بيع الثمرة قبل بدوّ الصلاح بشرط التَّبقية على الشجر لا يجوز</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544"/>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بل هو باطل عند الجمهور</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545"/>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لأنه من بيع الغرر، لتعرّض الثمرة للعاهة والهلاك، فإذا بدا الصلاح وظهرت إمارات النضج جاز بيعها بشرط القطع، وجاز بشرط التبقية إلى الجذاذ أو الحصاد، لأنَّ سبب المنع قد زال بعامل الطبيعة وهو النضج، فاختلاف الحكم قبل بدو الصلاح عن بعده طبيعي يرتفع بزوال سببه وهو ظهور علامات النضج.</w:t>
      </w:r>
    </w:p>
    <w:p w14:paraId="6AB130EC" w14:textId="77777777" w:rsidR="004C2621" w:rsidRPr="00001A51" w:rsidRDefault="005D7B91" w:rsidP="00754FA9">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b/>
          <w:bCs/>
          <w:sz w:val="28"/>
          <w:szCs w:val="28"/>
          <w:rtl/>
          <w:lang w:bidi="ar-JO"/>
        </w:rPr>
        <w:t xml:space="preserve">     </w:t>
      </w:r>
      <w:r w:rsidR="004E383D" w:rsidRPr="00001A51">
        <w:rPr>
          <w:rFonts w:ascii="Arabic Transparent" w:hAnsi="Arabic Transparent" w:cs="Arabic Transparent"/>
          <w:sz w:val="28"/>
          <w:szCs w:val="28"/>
          <w:rtl/>
          <w:lang w:bidi="ar-JO"/>
        </w:rPr>
        <w:t>ومن ناحية المجتهدين، فمن الطبيعي أن يختلف المجتهدون عند وجود تفاوت بناءً على تقديرهم للواقعة، وبسبب طبيعة المخلوقات وتفاوتها في الصفات والمقادير والأنواع، حيث اختلف الفقهاء في تحديد حدود الربح فذهب جمهور الفقهاء من الحنفية</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546"/>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xml:space="preserve"> والشافعية</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547"/>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xml:space="preserve"> الحنابلة</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548"/>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xml:space="preserve"> إلى أنه لا حد للربح مطلقاً، والغبن المبطل للعقد يرتبط بالواقعة لا بنسبة محددة، وذهب بعض متأخري المالكية إلى استحسان ألا يزيد الربح عن الثلث</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549"/>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xml:space="preserve">، واستندوا في ذلك إلى حديث النبي </w:t>
      </w:r>
      <w:r w:rsidR="005E3842" w:rsidRPr="00001A51">
        <w:rPr>
          <w:rFonts w:ascii="AGA Arabesque" w:hAnsi="AGA Arabesque" w:cs="AGA Arabesque"/>
          <w:sz w:val="28"/>
          <w:szCs w:val="28"/>
          <w:lang w:bidi="ar-JO"/>
        </w:rPr>
        <w:t></w:t>
      </w:r>
      <w:r w:rsidR="004E383D" w:rsidRPr="00001A51">
        <w:rPr>
          <w:rFonts w:ascii="Arabic Transparent" w:hAnsi="Arabic Transparent" w:cs="Arabic Transparent"/>
          <w:sz w:val="28"/>
          <w:szCs w:val="28"/>
          <w:rtl/>
          <w:lang w:bidi="ar-JO"/>
        </w:rPr>
        <w:t xml:space="preserve"> في الوصية: "الثلث والثلث كثير"</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550"/>
      </w:r>
      <w:r w:rsidR="004E383D" w:rsidRPr="00001A51">
        <w:rPr>
          <w:rFonts w:ascii="Arabic Transparent" w:hAnsi="Arabic Transparent" w:cs="Arabic Transparent"/>
          <w:sz w:val="28"/>
          <w:szCs w:val="28"/>
          <w:vertAlign w:val="superscript"/>
          <w:rtl/>
          <w:lang w:bidi="ar-JO"/>
        </w:rPr>
        <w:t>)</w:t>
      </w:r>
      <w:r w:rsidR="001B2914" w:rsidRPr="00001A51">
        <w:rPr>
          <w:rFonts w:ascii="Arabic Transparent" w:hAnsi="Arabic Transparent" w:cs="Arabic Transparent" w:hint="cs"/>
          <w:sz w:val="28"/>
          <w:szCs w:val="28"/>
          <w:rtl/>
          <w:lang w:bidi="ar-JO"/>
        </w:rPr>
        <w:t>،</w:t>
      </w:r>
      <w:r w:rsidR="004E383D" w:rsidRPr="00001A51">
        <w:rPr>
          <w:rFonts w:ascii="Arabic Transparent" w:hAnsi="Arabic Transparent" w:cs="Arabic Transparent"/>
          <w:sz w:val="28"/>
          <w:szCs w:val="28"/>
          <w:rtl/>
          <w:lang w:bidi="ar-JO"/>
        </w:rPr>
        <w:t xml:space="preserve"> ومع ذلك، فإنَّ هذا الرأي يُعتبر من باب الاستحسان والندب (الاستحباب) وليس </w:t>
      </w:r>
    </w:p>
    <w:p w14:paraId="0ACC93A7" w14:textId="77777777" w:rsidR="004C2621" w:rsidRPr="00001A51" w:rsidRDefault="004C2621">
      <w:pPr>
        <w:bidi w:val="0"/>
        <w:spacing w:after="0" w:line="240" w:lineRule="auto"/>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lastRenderedPageBreak/>
        <w:br w:type="page"/>
      </w:r>
    </w:p>
    <w:p w14:paraId="5A163447" w14:textId="318A2F35" w:rsidR="004E383D" w:rsidRPr="00001A51" w:rsidRDefault="004E383D" w:rsidP="00754FA9">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حكماً ملزماً، أو حداً شرعياً للربح في التجارة، </w:t>
      </w:r>
      <w:r w:rsidR="004C2621" w:rsidRPr="00001A51">
        <w:rPr>
          <w:rFonts w:ascii="Arabic Transparent" w:hAnsi="Arabic Transparent" w:cs="Arabic Transparent" w:hint="cs"/>
          <w:sz w:val="28"/>
          <w:szCs w:val="28"/>
          <w:rtl/>
          <w:lang w:bidi="ar-JO"/>
        </w:rPr>
        <w:t>"</w:t>
      </w:r>
      <w:r w:rsidRPr="00001A51">
        <w:rPr>
          <w:rFonts w:ascii="Arabic Transparent" w:hAnsi="Arabic Transparent" w:cs="Arabic Transparent"/>
          <w:sz w:val="28"/>
          <w:szCs w:val="28"/>
          <w:rtl/>
          <w:lang w:bidi="ar-JO"/>
        </w:rPr>
        <w:t>حيث اتفقت كلمة المفتين المعاصرين</w:t>
      </w:r>
      <w:r w:rsidR="004C2621" w:rsidRPr="00001A51">
        <w:rPr>
          <w:rFonts w:ascii="Arabic Transparent" w:hAnsi="Arabic Transparent" w:cs="Arabic Transparent" w:hint="cs"/>
          <w:sz w:val="28"/>
          <w:szCs w:val="28"/>
          <w:rtl/>
          <w:lang w:bidi="ar-JO"/>
        </w:rPr>
        <w:t>"</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551"/>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xml:space="preserve"> أنه لا حد للربح في التجارة وأن الأمر متروك إلى مبدأ التراضي بين البائع والمشتري، ومع ذلك فهي مقيدة بضوابط شرعية وأخلاقية تمنع الاستغلال وأكل أموال الناس بالباطل، وكذلك الصلح الذي يبنى على التراضي، أو التبرع، فكله يجوز فيه التفاوت بين المتعاقدين، وكله يعود إلى مبدأ التراضي في الشريعة الإسلامية.</w:t>
      </w:r>
    </w:p>
    <w:p w14:paraId="20E07A96" w14:textId="77777777" w:rsidR="004E383D" w:rsidRPr="00001A51" w:rsidRDefault="004E383D" w:rsidP="004E383D">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 xml:space="preserve">الفرع الثاني: التفاوت الممنوع </w:t>
      </w:r>
    </w:p>
    <w:p w14:paraId="5ECB8A75" w14:textId="77777777" w:rsidR="004E383D" w:rsidRPr="00001A51" w:rsidRDefault="004E383D" w:rsidP="004E383D">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 xml:space="preserve">أولاً: حقيقة التفاوت الممنوع: </w:t>
      </w:r>
    </w:p>
    <w:p w14:paraId="00EF5B86" w14:textId="535F56B9" w:rsidR="003C1E26" w:rsidRPr="00001A51" w:rsidRDefault="00744A1A" w:rsidP="004C2621">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hint="cs"/>
          <w:sz w:val="28"/>
          <w:szCs w:val="28"/>
          <w:rtl/>
          <w:lang w:bidi="ar-JO"/>
        </w:rPr>
        <w:t xml:space="preserve">     </w:t>
      </w:r>
      <w:r w:rsidR="004E383D" w:rsidRPr="00001A51">
        <w:rPr>
          <w:rFonts w:ascii="Arabic Transparent" w:hAnsi="Arabic Transparent" w:cs="Arabic Transparent"/>
          <w:sz w:val="28"/>
          <w:szCs w:val="28"/>
          <w:rtl/>
          <w:lang w:bidi="ar-JO"/>
        </w:rPr>
        <w:t xml:space="preserve">بعد التعرف على التفاوت الطبيعي تبين بعد الاستقراء أنَّ هناك جملة من المعاملات المالية التي لا يقبل بها التفاوت مطلقاً سواء أكان التفاوت يسيراً أم فاحشاً، وسواء أكانت بالرضى أم بالإكراه، فهي محرمة بنص الشارع الحكيم لورود الدليل الجزئي الخاص، وهي: </w:t>
      </w:r>
    </w:p>
    <w:p w14:paraId="134457D6" w14:textId="61A7E3C6" w:rsidR="004E383D" w:rsidRPr="00001A51" w:rsidRDefault="004E383D" w:rsidP="004E383D">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أ. الربا بنوعيه (ربا الفضل والنسيئة)</w:t>
      </w:r>
      <w:r w:rsidR="00151AED" w:rsidRPr="00001A51">
        <w:rPr>
          <w:rFonts w:ascii="Arabic Transparent" w:hAnsi="Arabic Transparent" w:cs="Arabic Transparent"/>
          <w:b/>
          <w:bCs/>
          <w:sz w:val="28"/>
          <w:szCs w:val="28"/>
          <w:rtl/>
          <w:lang w:bidi="ar-JO"/>
        </w:rPr>
        <w:t xml:space="preserve">: </w:t>
      </w:r>
    </w:p>
    <w:p w14:paraId="3FEA57D4" w14:textId="048E3832" w:rsidR="004E383D" w:rsidRPr="00001A51" w:rsidRDefault="004E383D" w:rsidP="004E383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b/>
          <w:bCs/>
          <w:sz w:val="28"/>
          <w:szCs w:val="28"/>
          <w:rtl/>
          <w:lang w:bidi="ar-JO"/>
        </w:rPr>
        <w:t xml:space="preserve"> </w:t>
      </w:r>
      <w:r w:rsidR="00744A1A" w:rsidRPr="00001A51">
        <w:rPr>
          <w:rFonts w:ascii="Arabic Transparent" w:hAnsi="Arabic Transparent" w:cs="Arabic Transparent" w:hint="cs"/>
          <w:b/>
          <w:bCs/>
          <w:sz w:val="28"/>
          <w:szCs w:val="28"/>
          <w:rtl/>
          <w:lang w:bidi="ar-JO"/>
        </w:rPr>
        <w:t xml:space="preserve">    </w:t>
      </w:r>
      <w:r w:rsidRPr="00001A51">
        <w:rPr>
          <w:rFonts w:ascii="Arabic Transparent" w:hAnsi="Arabic Transparent" w:cs="Arabic Transparent"/>
          <w:sz w:val="28"/>
          <w:szCs w:val="28"/>
          <w:rtl/>
          <w:lang w:bidi="ar-JO"/>
        </w:rPr>
        <w:t xml:space="preserve">يُعرف </w:t>
      </w:r>
      <w:r w:rsidRPr="00001A51">
        <w:rPr>
          <w:rFonts w:ascii="Arabic Transparent" w:hAnsi="Arabic Transparent" w:cs="Arabic Transparent"/>
          <w:b/>
          <w:bCs/>
          <w:sz w:val="28"/>
          <w:szCs w:val="28"/>
          <w:rtl/>
          <w:lang w:bidi="ar-JO"/>
        </w:rPr>
        <w:t>الربا</w:t>
      </w:r>
      <w:r w:rsidRPr="00001A51">
        <w:rPr>
          <w:rFonts w:ascii="Arabic Transparent" w:hAnsi="Arabic Transparent" w:cs="Arabic Transparent"/>
          <w:sz w:val="28"/>
          <w:szCs w:val="28"/>
          <w:rtl/>
          <w:lang w:bidi="ar-JO"/>
        </w:rPr>
        <w:t xml:space="preserve"> لغةً: </w:t>
      </w:r>
      <w:r w:rsidR="004C2621" w:rsidRPr="00001A51">
        <w:rPr>
          <w:rFonts w:ascii="Arabic Transparent" w:hAnsi="Arabic Transparent" w:cs="Arabic Transparent" w:hint="cs"/>
          <w:sz w:val="28"/>
          <w:szCs w:val="28"/>
          <w:rtl/>
          <w:lang w:bidi="ar-JO"/>
        </w:rPr>
        <w:t>"</w:t>
      </w:r>
      <w:r w:rsidRPr="00001A51">
        <w:rPr>
          <w:rFonts w:ascii="Arabic Transparent" w:hAnsi="Arabic Transparent" w:cs="Arabic Transparent"/>
          <w:sz w:val="28"/>
          <w:szCs w:val="28"/>
          <w:rtl/>
          <w:lang w:bidi="ar-JO"/>
        </w:rPr>
        <w:t>الزيادة والنماء</w:t>
      </w:r>
      <w:r w:rsidR="004C2621" w:rsidRPr="00001A51">
        <w:rPr>
          <w:rFonts w:ascii="Arabic Transparent" w:hAnsi="Arabic Transparent" w:cs="Arabic Transparent" w:hint="cs"/>
          <w:sz w:val="28"/>
          <w:szCs w:val="28"/>
          <w:rtl/>
          <w:lang w:bidi="ar-JO"/>
        </w:rPr>
        <w:t>"</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552"/>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xml:space="preserve">واصطلاحاً: </w:t>
      </w:r>
      <w:r w:rsidR="004C2621" w:rsidRPr="00001A51">
        <w:rPr>
          <w:rFonts w:ascii="Arabic Transparent" w:hAnsi="Arabic Transparent" w:cs="Arabic Transparent" w:hint="cs"/>
          <w:sz w:val="28"/>
          <w:szCs w:val="28"/>
          <w:rtl/>
          <w:lang w:bidi="ar-JO"/>
        </w:rPr>
        <w:t>"</w:t>
      </w:r>
      <w:r w:rsidRPr="00001A51">
        <w:rPr>
          <w:rFonts w:ascii="Arabic Transparent" w:hAnsi="Arabic Transparent" w:cs="Arabic Transparent"/>
          <w:sz w:val="28"/>
          <w:szCs w:val="28"/>
          <w:rtl/>
          <w:lang w:bidi="ar-JO"/>
        </w:rPr>
        <w:t>الزيادة في أشياء مخصوصة</w:t>
      </w:r>
      <w:r w:rsidR="004C2621" w:rsidRPr="00001A51">
        <w:rPr>
          <w:rFonts w:ascii="Arabic Transparent" w:hAnsi="Arabic Transparent" w:cs="Arabic Transparent" w:hint="cs"/>
          <w:sz w:val="28"/>
          <w:szCs w:val="28"/>
          <w:rtl/>
          <w:lang w:bidi="ar-JO"/>
        </w:rPr>
        <w:t>"</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553"/>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xml:space="preserve"> والأشياء المخصوصة هي الأجناس الربوية من أثمان، وأقوات، ومكيلات، وموزونات، التي تعارف عليها الناس في الجاهلية ومن أنواعه ما يأتي:</w:t>
      </w:r>
    </w:p>
    <w:p w14:paraId="1C382481" w14:textId="4F7B6BC7" w:rsidR="004E383D" w:rsidRPr="00001A51" w:rsidRDefault="00744A1A" w:rsidP="004E383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hint="cs"/>
          <w:sz w:val="28"/>
          <w:szCs w:val="28"/>
          <w:rtl/>
          <w:lang w:bidi="ar-JO"/>
        </w:rPr>
        <w:t xml:space="preserve">     </w:t>
      </w:r>
      <w:r w:rsidR="004E383D" w:rsidRPr="00001A51">
        <w:rPr>
          <w:rFonts w:ascii="Arabic Transparent" w:hAnsi="Arabic Transparent" w:cs="Arabic Transparent"/>
          <w:sz w:val="28"/>
          <w:szCs w:val="28"/>
          <w:rtl/>
          <w:lang w:bidi="ar-JO"/>
        </w:rPr>
        <w:t>"ربا الفضل"، وهو الزيادة عند وجوب المماثلة، "وربا النساء" ويسمى التأجيل عند وجوب القبض</w:t>
      </w:r>
      <w:r w:rsidR="005D7B91"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 xml:space="preserve">وهذان النوعان خاصان بربا البيوع الذي ذكرته السنة النبوية الشريفة، وربا النسيئة، وهو </w:t>
      </w:r>
      <w:r w:rsidR="00754FA9" w:rsidRPr="00001A51">
        <w:rPr>
          <w:rFonts w:ascii="Arabic Transparent" w:hAnsi="Arabic Transparent" w:cs="Arabic Transparent" w:hint="cs"/>
          <w:sz w:val="28"/>
          <w:szCs w:val="28"/>
          <w:rtl/>
          <w:lang w:bidi="ar-JO"/>
        </w:rPr>
        <w:t>"</w:t>
      </w:r>
      <w:r w:rsidR="004E383D" w:rsidRPr="00001A51">
        <w:rPr>
          <w:rFonts w:ascii="Arabic Transparent" w:hAnsi="Arabic Transparent" w:cs="Arabic Transparent"/>
          <w:sz w:val="28"/>
          <w:szCs w:val="28"/>
          <w:rtl/>
          <w:lang w:bidi="ar-JO"/>
        </w:rPr>
        <w:t>الزيادة في الدين في نظير الأجل كما يسمى ربا الديون، أو ربا الجاهلية الذي ذكر في القرآن الكريم</w:t>
      </w:r>
      <w:r w:rsidR="00754FA9" w:rsidRPr="00001A51">
        <w:rPr>
          <w:rFonts w:ascii="Arabic Transparent" w:hAnsi="Arabic Transparent" w:cs="Arabic Transparent" w:hint="cs"/>
          <w:sz w:val="28"/>
          <w:szCs w:val="28"/>
          <w:rtl/>
          <w:lang w:bidi="ar-JO"/>
        </w:rPr>
        <w:t>"</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554"/>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w:t>
      </w:r>
    </w:p>
    <w:p w14:paraId="642E179E" w14:textId="5C341C50" w:rsidR="001B2914" w:rsidRPr="00001A51" w:rsidRDefault="005D7B91" w:rsidP="003C1E26">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b/>
          <w:bCs/>
          <w:sz w:val="28"/>
          <w:szCs w:val="28"/>
          <w:rtl/>
          <w:lang w:bidi="ar-JO"/>
        </w:rPr>
        <w:t xml:space="preserve">     </w:t>
      </w:r>
      <w:r w:rsidR="004E383D" w:rsidRPr="00001A51">
        <w:rPr>
          <w:rFonts w:ascii="Arabic Transparent" w:hAnsi="Arabic Transparent" w:cs="Arabic Transparent"/>
          <w:b/>
          <w:bCs/>
          <w:sz w:val="28"/>
          <w:szCs w:val="28"/>
          <w:rtl/>
          <w:lang w:bidi="ar-JO"/>
        </w:rPr>
        <w:t>وأما حكم الربا:</w:t>
      </w:r>
      <w:r w:rsidRPr="00001A51">
        <w:rPr>
          <w:rFonts w:ascii="Arabic Transparent" w:hAnsi="Arabic Transparent" w:cs="Arabic Transparent"/>
          <w:b/>
          <w:bCs/>
          <w:sz w:val="28"/>
          <w:szCs w:val="28"/>
          <w:rtl/>
          <w:lang w:bidi="ar-JO"/>
        </w:rPr>
        <w:t xml:space="preserve"> </w:t>
      </w:r>
      <w:r w:rsidR="004E383D" w:rsidRPr="00001A51">
        <w:rPr>
          <w:rFonts w:ascii="Arabic Transparent" w:hAnsi="Arabic Transparent" w:cs="Arabic Transparent"/>
          <w:sz w:val="28"/>
          <w:szCs w:val="28"/>
          <w:rtl/>
          <w:lang w:bidi="ar-JO"/>
        </w:rPr>
        <w:t xml:space="preserve">فهو محرم بأي زيادة مشروطة قليلة أم كثيرة، وقد ثبت تحريمه في القرآن والسنة والإجماع، بما يأتي: </w:t>
      </w:r>
    </w:p>
    <w:p w14:paraId="0214BA5A" w14:textId="4CE29552" w:rsidR="004C2621" w:rsidRPr="00001A51" w:rsidRDefault="004E383D" w:rsidP="004E383D">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1- القرآن الكريم:</w:t>
      </w:r>
      <w:r w:rsidRPr="00001A51">
        <w:rPr>
          <w:rFonts w:ascii="Arabic Transparent" w:hAnsi="Arabic Transparent" w:cs="Arabic Transparent"/>
          <w:sz w:val="28"/>
          <w:szCs w:val="28"/>
          <w:rtl/>
          <w:lang w:bidi="ar-JO"/>
        </w:rPr>
        <w:t xml:space="preserve"> والربا محرم بأي زيادة مشروطة قليلة أو كثيرة، ففي القرآن الكريم، قال تعالى: </w:t>
      </w:r>
      <w:r w:rsidR="00744A1A" w:rsidRPr="00001A51">
        <w:rPr>
          <w:rFonts w:ascii="KFGQPC HAFS Uthmanic Script" w:hAnsi="Aptos" w:hint="cs"/>
          <w:color w:val="000000"/>
          <w:sz w:val="28"/>
          <w:szCs w:val="28"/>
          <w:rtl/>
        </w:rPr>
        <w:t>أ</w:t>
      </w:r>
      <w:r w:rsidRPr="00001A51">
        <w:rPr>
          <w:rFonts w:ascii="KFGQPC HAFS Uthmanic Script" w:hAnsi="Aptos" w:cs="Cambria"/>
          <w:color w:val="000000"/>
          <w:sz w:val="28"/>
          <w:szCs w:val="28"/>
          <w:rtl/>
        </w:rPr>
        <w:t>-</w:t>
      </w:r>
      <w:r w:rsidRPr="00001A51">
        <w:rPr>
          <w:rFonts w:ascii="KFGQPC HAFS Uthmanic Script" w:hAnsi="Aptos" w:cs="KFGQPC HAFS Uthmanic Script"/>
          <w:color w:val="000000"/>
          <w:sz w:val="28"/>
          <w:szCs w:val="28"/>
          <w:rtl/>
        </w:rPr>
        <w:t>ﵟ يَٰٓأَيُّهَا ٱلَّذِينَ ءَامَنُواْ ٱتَّقُواْ ٱللَّهَ وَذَرُواْ مَا بَقِيَ مِنَ ٱلرِّبَوٰٓاْ إِن كُنتُم مُّؤۡمِنِينَ ٢٧٨ فَإِن لَّمۡ تَفۡعَلُواْ فَأۡذَنُواْ بِحَرۡبٖ مِّنَ ٱللَّهِ وَرَسُولِهِۦۖ وَإِن تُبۡتُمۡ فَلَكُمۡ رُءُوسُ أَمۡوَٰلِكُمۡ لَا تَظۡلِمُونَ وَلَا تُظۡلَمُونَ ٢٧٩ﵞ ﵝالبَقَرَةِ</w:t>
      </w:r>
      <w:r w:rsidR="005D7B91" w:rsidRPr="00001A51">
        <w:rPr>
          <w:rFonts w:ascii="KFGQPC HAFS Uthmanic Script" w:hAnsi="Aptos" w:cs="KFGQPC HAFS Uthmanic Script"/>
          <w:color w:val="000000"/>
          <w:sz w:val="28"/>
          <w:szCs w:val="28"/>
          <w:rtl/>
        </w:rPr>
        <w:t xml:space="preserve">: </w:t>
      </w:r>
      <w:r w:rsidRPr="00001A51">
        <w:rPr>
          <w:rFonts w:ascii="KFGQPC HAFS Uthmanic Script" w:hAnsi="Aptos" w:cs="KFGQPC HAFS Uthmanic Script"/>
          <w:color w:val="000000"/>
          <w:sz w:val="28"/>
          <w:szCs w:val="28"/>
          <w:rtl/>
        </w:rPr>
        <w:t>ﵘﵗﵒ-ﵙﵗﵒ ﵜ</w:t>
      </w:r>
      <w:r w:rsidRPr="00001A51">
        <w:rPr>
          <w:rFonts w:ascii="Arabic Transparent" w:hAnsi="Arabic Transparent" w:cs="Arabic Transparent"/>
          <w:b/>
          <w:bCs/>
          <w:sz w:val="28"/>
          <w:szCs w:val="28"/>
          <w:rtl/>
          <w:lang w:bidi="ar-JO"/>
        </w:rPr>
        <w:t xml:space="preserve">، </w:t>
      </w:r>
    </w:p>
    <w:p w14:paraId="0DCD3276" w14:textId="77777777" w:rsidR="004C2621" w:rsidRPr="00001A51" w:rsidRDefault="004C2621">
      <w:pPr>
        <w:bidi w:val="0"/>
        <w:spacing w:after="0" w:line="240" w:lineRule="auto"/>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br w:type="page"/>
      </w:r>
    </w:p>
    <w:p w14:paraId="2DB1C5FC" w14:textId="0F505AF9" w:rsidR="004E383D" w:rsidRPr="00001A51" w:rsidRDefault="004E383D" w:rsidP="004E383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b/>
          <w:bCs/>
          <w:sz w:val="28"/>
          <w:szCs w:val="28"/>
          <w:rtl/>
          <w:lang w:bidi="ar-JO"/>
        </w:rPr>
        <w:t>وجه الدلالة:</w:t>
      </w:r>
      <w:r w:rsidRPr="00001A51">
        <w:rPr>
          <w:rFonts w:ascii="Arabic Transparent" w:hAnsi="Arabic Transparent" w:cs="Arabic Transparent"/>
          <w:sz w:val="28"/>
          <w:szCs w:val="28"/>
          <w:rtl/>
          <w:lang w:bidi="ar-JO"/>
        </w:rPr>
        <w:t xml:space="preserve"> دلت الآية الكريمة صراحةً على ترك ما بقي من الربا والاقتصار على رؤوس الأموال عند التوبة، ويفهم منها </w:t>
      </w:r>
      <w:r w:rsidR="00F20457" w:rsidRPr="00001A51">
        <w:rPr>
          <w:rFonts w:ascii="Arabic Transparent" w:hAnsi="Arabic Transparent" w:cs="Arabic Transparent" w:hint="cs"/>
          <w:sz w:val="28"/>
          <w:szCs w:val="28"/>
          <w:rtl/>
          <w:lang w:bidi="ar-JO"/>
        </w:rPr>
        <w:t>"</w:t>
      </w:r>
      <w:r w:rsidRPr="00001A51">
        <w:rPr>
          <w:rFonts w:ascii="Arabic Transparent" w:hAnsi="Arabic Transparent" w:cs="Arabic Transparent"/>
          <w:sz w:val="28"/>
          <w:szCs w:val="28"/>
          <w:rtl/>
          <w:lang w:bidi="ar-JO"/>
        </w:rPr>
        <w:t>أنَّ الزيادة مهما كانت قليلة يجب تركها وتطهير المال منها، وحذّرت من عاقبة عدم فعل ذلك بالاستعداد لحرب من الله في الدنيا والآخرة، وأكدت على تحريم الربا مطلقاً كثيره وقليله، وكل معاملة مالية تفضي إليه، فهي محرمة شرعاً</w:t>
      </w:r>
      <w:r w:rsidR="00F20457" w:rsidRPr="00001A51">
        <w:rPr>
          <w:rFonts w:ascii="Arabic Transparent" w:hAnsi="Arabic Transparent" w:cs="Arabic Transparent" w:hint="cs"/>
          <w:sz w:val="28"/>
          <w:szCs w:val="28"/>
          <w:vertAlign w:val="superscript"/>
          <w:rtl/>
          <w:lang w:bidi="ar-JO"/>
        </w:rPr>
        <w:t>"</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555"/>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xml:space="preserve"> وللآية التي تسبقها من سورة البقرة: </w:t>
      </w:r>
      <w:r w:rsidRPr="00001A51">
        <w:rPr>
          <w:rFonts w:ascii="KFGQPC HAFS Uthmanic Script" w:hAnsi="Aptos" w:cs="Cambria"/>
          <w:color w:val="000000"/>
          <w:sz w:val="28"/>
          <w:szCs w:val="28"/>
          <w:rtl/>
        </w:rPr>
        <w:t>-</w:t>
      </w:r>
      <w:r w:rsidRPr="00001A51">
        <w:rPr>
          <w:rFonts w:ascii="KFGQPC HAFS Uthmanic Script" w:hAnsi="Aptos" w:cs="KFGQPC HAFS Uthmanic Script"/>
          <w:color w:val="000000"/>
          <w:sz w:val="28"/>
          <w:szCs w:val="28"/>
          <w:rtl/>
        </w:rPr>
        <w:t>ﵟ</w:t>
      </w:r>
      <w:r w:rsidRPr="00001A51">
        <w:rPr>
          <w:rFonts w:ascii="KFGQPC HAFS Uthmanic Script" w:hAnsi="Aptos" w:cs="Cambria"/>
          <w:color w:val="000000"/>
          <w:sz w:val="28"/>
          <w:szCs w:val="28"/>
          <w:rtl/>
        </w:rPr>
        <w:t>..</w:t>
      </w:r>
      <w:r w:rsidRPr="00001A51">
        <w:rPr>
          <w:rFonts w:ascii="KFGQPC HAFS Uthmanic Script" w:hAnsi="Aptos" w:cs="KFGQPC HAFS Uthmanic Script"/>
          <w:color w:val="000000"/>
          <w:sz w:val="28"/>
          <w:szCs w:val="28"/>
          <w:rtl/>
        </w:rPr>
        <w:t>وَأَحَلَّ ٱللَّهُ ٱلۡبَيۡعَ وَحَرَّمَ ٱلرِّبَوٰاْۚ</w:t>
      </w:r>
      <w:r w:rsidRPr="00001A51">
        <w:rPr>
          <w:rFonts w:ascii="KFGQPC HAFS Uthmanic Script" w:hAnsi="Aptos" w:cs="Cambria"/>
          <w:color w:val="000000"/>
          <w:sz w:val="28"/>
          <w:szCs w:val="28"/>
          <w:rtl/>
        </w:rPr>
        <w:t>..</w:t>
      </w:r>
      <w:r w:rsidRPr="00001A51">
        <w:rPr>
          <w:rFonts w:ascii="KFGQPC HAFS Uthmanic Script" w:hAnsi="Aptos" w:cs="KFGQPC HAFS Uthmanic Script"/>
          <w:color w:val="000000"/>
          <w:sz w:val="28"/>
          <w:szCs w:val="28"/>
          <w:rtl/>
        </w:rPr>
        <w:t> ٢٧٥ﵞ ﵝالبَقَرَةِ</w:t>
      </w:r>
      <w:r w:rsidR="005D7B91" w:rsidRPr="00001A51">
        <w:rPr>
          <w:rFonts w:ascii="KFGQPC HAFS Uthmanic Script" w:hAnsi="Aptos" w:cs="KFGQPC HAFS Uthmanic Script"/>
          <w:color w:val="000000"/>
          <w:sz w:val="28"/>
          <w:szCs w:val="28"/>
          <w:rtl/>
        </w:rPr>
        <w:t xml:space="preserve">: </w:t>
      </w:r>
      <w:r w:rsidRPr="00001A51">
        <w:rPr>
          <w:rFonts w:ascii="KFGQPC HAFS Uthmanic Script" w:hAnsi="Aptos" w:cs="KFGQPC HAFS Uthmanic Script"/>
          <w:color w:val="000000"/>
          <w:sz w:val="28"/>
          <w:szCs w:val="28"/>
          <w:rtl/>
        </w:rPr>
        <w:t>ﵕﵗﵒﵜ</w:t>
      </w:r>
      <w:r w:rsidR="005D7B91" w:rsidRPr="00001A51">
        <w:rPr>
          <w:rFonts w:ascii="Arabic Transparent" w:hAnsi="Arabic Transparent" w:cs="Arabic Transparent"/>
          <w:sz w:val="28"/>
          <w:szCs w:val="28"/>
          <w:rtl/>
        </w:rPr>
        <w:t xml:space="preserve">، </w:t>
      </w:r>
      <w:r w:rsidRPr="00001A51">
        <w:rPr>
          <w:rFonts w:ascii="Arabic Transparent" w:hAnsi="Arabic Transparent" w:cs="Arabic Transparent"/>
          <w:sz w:val="28"/>
          <w:szCs w:val="28"/>
          <w:rtl/>
          <w:lang w:bidi="ar-JO"/>
        </w:rPr>
        <w:t xml:space="preserve">حيث </w:t>
      </w:r>
      <w:r w:rsidR="00F20457" w:rsidRPr="00001A51">
        <w:rPr>
          <w:rFonts w:ascii="Arabic Transparent" w:hAnsi="Arabic Transparent" w:cs="Arabic Transparent" w:hint="cs"/>
          <w:sz w:val="28"/>
          <w:szCs w:val="28"/>
          <w:rtl/>
          <w:lang w:bidi="ar-JO"/>
        </w:rPr>
        <w:t>"</w:t>
      </w:r>
      <w:r w:rsidRPr="00001A51">
        <w:rPr>
          <w:rFonts w:ascii="Arabic Transparent" w:hAnsi="Arabic Transparent" w:cs="Arabic Transparent"/>
          <w:sz w:val="28"/>
          <w:szCs w:val="28"/>
          <w:rtl/>
          <w:lang w:bidi="ar-JO"/>
        </w:rPr>
        <w:t>نزلت هذه الآية في المرابين الذين يأخذون المال بلا عوض يقابله، فيأكلوا أموال الناس بالباطل، ولم يتوبوا إلى الله، حيث تبيّن الآيات القرآنية الكريمة ما كان من عقوبة آكل الربا في الدنيا والآخرة</w:t>
      </w:r>
      <w:r w:rsidR="00F20457" w:rsidRPr="00001A51">
        <w:rPr>
          <w:rFonts w:ascii="Arabic Transparent" w:hAnsi="Arabic Transparent" w:cs="Arabic Transparent" w:hint="cs"/>
          <w:sz w:val="28"/>
          <w:szCs w:val="28"/>
          <w:rtl/>
          <w:lang w:bidi="ar-JO"/>
        </w:rPr>
        <w:t>"</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556"/>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w:t>
      </w:r>
    </w:p>
    <w:p w14:paraId="18052B18" w14:textId="2B875770" w:rsidR="004E383D" w:rsidRPr="00001A51" w:rsidRDefault="00744A1A" w:rsidP="003C1E26">
      <w:pPr>
        <w:spacing w:after="0" w:line="360" w:lineRule="auto"/>
        <w:jc w:val="both"/>
        <w:rPr>
          <w:rFonts w:ascii="Arabic Transparent" w:hAnsi="Arabic Transparent" w:cs="Arabic Transparent"/>
          <w:sz w:val="28"/>
          <w:szCs w:val="28"/>
          <w:rtl/>
        </w:rPr>
      </w:pPr>
      <w:r w:rsidRPr="00001A51">
        <w:rPr>
          <w:rFonts w:ascii="KFGQPC HAFS Uthmanic Script" w:hAnsi="Aptos" w:hint="cs"/>
          <w:color w:val="000000"/>
          <w:sz w:val="28"/>
          <w:szCs w:val="28"/>
          <w:rtl/>
        </w:rPr>
        <w:t>ب</w:t>
      </w:r>
      <w:r w:rsidR="004E383D" w:rsidRPr="00001A51">
        <w:rPr>
          <w:rFonts w:ascii="KFGQPC HAFS Uthmanic Script" w:hAnsi="Aptos" w:cs="Cambria"/>
          <w:color w:val="000000"/>
          <w:sz w:val="28"/>
          <w:szCs w:val="28"/>
          <w:rtl/>
        </w:rPr>
        <w:t>-</w:t>
      </w:r>
      <w:r w:rsidR="004E383D" w:rsidRPr="00001A51">
        <w:rPr>
          <w:rFonts w:ascii="KFGQPC HAFS Uthmanic Script" w:hAnsi="Aptos" w:cs="KFGQPC HAFS Uthmanic Script"/>
          <w:color w:val="000000"/>
          <w:sz w:val="28"/>
          <w:szCs w:val="28"/>
          <w:rtl/>
        </w:rPr>
        <w:t>ﵟ يَٰٓأَيُّهَا ٱلَّذِينَ ءَامَنُواْ لَا تَأۡكُلُواْ ٱلرِّبَوٰٓاْ أَضۡعَٰفٗا مُّضَٰعَفَةٗۖ وَٱتَّقُواْ ٱللَّهَ لَعَلَّكُمۡ تُفۡلِحُونَ ١٣٠ﵞ ﵝآل عِمۡرَان:ﵐﵓﵑﵜ</w:t>
      </w:r>
      <w:r w:rsidR="004E383D" w:rsidRPr="00001A51">
        <w:rPr>
          <w:rFonts w:ascii="Arabic Transparent" w:hAnsi="Arabic Transparent" w:cs="Arabic Transparent"/>
          <w:sz w:val="28"/>
          <w:szCs w:val="28"/>
          <w:rtl/>
        </w:rPr>
        <w:t xml:space="preserve"> وفي هذه الآية الكريمة أورد صاحب تفسير المنار وجه التحريم، وهو:</w:t>
      </w:r>
      <w:r w:rsidR="00151AED" w:rsidRPr="00001A51">
        <w:rPr>
          <w:rFonts w:ascii="Arabic Transparent" w:hAnsi="Arabic Transparent" w:cs="Arabic Transparent"/>
          <w:sz w:val="28"/>
          <w:szCs w:val="28"/>
          <w:rtl/>
        </w:rPr>
        <w:t xml:space="preserve"> "</w:t>
      </w:r>
      <w:r w:rsidR="004E383D" w:rsidRPr="00001A51">
        <w:rPr>
          <w:rFonts w:ascii="Aptos" w:hAnsi="Aptos"/>
          <w:rtl/>
        </w:rPr>
        <w:t>أ</w:t>
      </w:r>
      <w:r w:rsidR="004E383D" w:rsidRPr="00001A51">
        <w:rPr>
          <w:rFonts w:ascii="Arabic Transparent" w:hAnsi="Arabic Transparent" w:cs="Arabic Transparent"/>
          <w:sz w:val="28"/>
          <w:szCs w:val="28"/>
          <w:rtl/>
        </w:rPr>
        <w:t>ن الرجل من أهل الجاهلية كان يكون له على الرجل مال إلى أجل، فإذا حلَّ الأجل طلبه من صاحبه، فيقول له الذي عليه المال: أخر عني دينك وأزيدك على مالك، فيفعلان ذلك، فذلك هو الربا أضعافا مضاعفة، فنهاهم الله عز وجل في إسلامهم عنه"</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557"/>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rPr>
        <w:t xml:space="preserve"> فهو يرى أن الربا المحرم هو ربا النّسا، وإنما حرم العلماء ربا الفضل سداً للذريعة، ولا يحرم بالنصوص أصالةً حيث عاب على بعض من قال بتحريم ربا الديون والبيوع جميعاً، حيث قال: "فقول ابن حجر إن ما ورد من الوعيد على الربا شامل لجميع أنواعه خطأ"</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558"/>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rPr>
        <w:t>، فهو يرى التفاوت بين يسير الربا الذي لا يتضاعف وبين الفاحش الذي يتضاعف، والذي يشابه الفائدة المركبة التي تتعامل بها بعض البنوك التجارية.</w:t>
      </w:r>
    </w:p>
    <w:p w14:paraId="1B7089BA" w14:textId="77777777" w:rsidR="004C2621" w:rsidRPr="00001A51" w:rsidRDefault="004E383D" w:rsidP="004E383D">
      <w:pPr>
        <w:spacing w:after="0" w:line="360" w:lineRule="auto"/>
        <w:jc w:val="both"/>
        <w:rPr>
          <w:rFonts w:ascii="Arabic Transparent" w:hAnsi="Arabic Transparent" w:cs="Arabic Transparent"/>
          <w:sz w:val="28"/>
          <w:szCs w:val="28"/>
          <w:rtl/>
        </w:rPr>
      </w:pPr>
      <w:r w:rsidRPr="00001A51">
        <w:rPr>
          <w:rFonts w:ascii="Arabic Transparent" w:hAnsi="Arabic Transparent" w:cs="Arabic Transparent"/>
          <w:sz w:val="28"/>
          <w:szCs w:val="28"/>
          <w:rtl/>
        </w:rPr>
        <w:t xml:space="preserve"> </w:t>
      </w:r>
      <w:r w:rsidR="004D108D" w:rsidRPr="00001A51">
        <w:rPr>
          <w:rFonts w:ascii="Arabic Transparent" w:hAnsi="Arabic Transparent" w:cs="Arabic Transparent" w:hint="cs"/>
          <w:sz w:val="28"/>
          <w:szCs w:val="28"/>
          <w:rtl/>
        </w:rPr>
        <w:t xml:space="preserve">   </w:t>
      </w:r>
      <w:r w:rsidRPr="00001A51">
        <w:rPr>
          <w:rFonts w:ascii="Arabic Transparent" w:hAnsi="Arabic Transparent" w:cs="Arabic Transparent"/>
          <w:sz w:val="28"/>
          <w:szCs w:val="28"/>
          <w:rtl/>
        </w:rPr>
        <w:t xml:space="preserve"> </w:t>
      </w:r>
      <w:r w:rsidRPr="00001A51">
        <w:rPr>
          <w:rFonts w:ascii="Arabic Transparent" w:hAnsi="Arabic Transparent" w:cs="Arabic Transparent"/>
          <w:b/>
          <w:bCs/>
          <w:sz w:val="28"/>
          <w:szCs w:val="28"/>
          <w:rtl/>
        </w:rPr>
        <w:t>ويمكن الرد:</w:t>
      </w:r>
      <w:r w:rsidRPr="00001A51">
        <w:rPr>
          <w:rFonts w:ascii="Arabic Transparent" w:hAnsi="Arabic Transparent" w:cs="Arabic Transparent"/>
          <w:sz w:val="28"/>
          <w:szCs w:val="28"/>
          <w:rtl/>
        </w:rPr>
        <w:t xml:space="preserve"> أنَّ الآيات التي وردت في تحريم الربا صريحة في تحريم الربا بنوعيه، فوردت مطلقة في مواضع لتشمل جميع أنواع الربا ووردت مقيدة في مواضع أخرى لتدل على ربا النسيئة، علاوة على ذلك الآثار الثابتة في تحريم الربا بنوعيه، غير أنَّ تحريم الربا لا يوجد له مقياس كمي كما يقول البوطي: "إنَّ تحريم الربا لم يكن له - يوماً ما - مقياس ناظر إلى الكمية التي تصل إليها </w:t>
      </w:r>
    </w:p>
    <w:p w14:paraId="58ADF88B" w14:textId="77777777" w:rsidR="004C2621" w:rsidRPr="00001A51" w:rsidRDefault="004C2621">
      <w:pPr>
        <w:bidi w:val="0"/>
        <w:spacing w:after="0" w:line="240" w:lineRule="auto"/>
        <w:rPr>
          <w:rFonts w:ascii="Arabic Transparent" w:hAnsi="Arabic Transparent" w:cs="Arabic Transparent"/>
          <w:sz w:val="28"/>
          <w:szCs w:val="28"/>
          <w:rtl/>
        </w:rPr>
      </w:pPr>
      <w:r w:rsidRPr="00001A51">
        <w:rPr>
          <w:rFonts w:ascii="Arabic Transparent" w:hAnsi="Arabic Transparent" w:cs="Arabic Transparent"/>
          <w:sz w:val="28"/>
          <w:szCs w:val="28"/>
          <w:rtl/>
        </w:rPr>
        <w:lastRenderedPageBreak/>
        <w:br w:type="page"/>
      </w:r>
    </w:p>
    <w:p w14:paraId="1952E354" w14:textId="47606921" w:rsidR="004E383D" w:rsidRPr="00001A51" w:rsidRDefault="004E383D" w:rsidP="004E383D">
      <w:pPr>
        <w:spacing w:after="0" w:line="360" w:lineRule="auto"/>
        <w:jc w:val="both"/>
        <w:rPr>
          <w:rFonts w:ascii="Arabic Transparent" w:hAnsi="Arabic Transparent" w:cs="Arabic Transparent"/>
          <w:sz w:val="28"/>
          <w:szCs w:val="28"/>
          <w:rtl/>
        </w:rPr>
      </w:pPr>
      <w:r w:rsidRPr="00001A51">
        <w:rPr>
          <w:rFonts w:ascii="Arabic Transparent" w:hAnsi="Arabic Transparent" w:cs="Arabic Transparent"/>
          <w:sz w:val="28"/>
          <w:szCs w:val="28"/>
          <w:rtl/>
        </w:rPr>
        <w:t>الفائدة الربوية، ولا يقول هذا بصير بمعنى التشريع أو القانون قط، فحرمة الربا منوطة بحكمة تشريعية تعود إلى جوهر الربا من حيث ذاته، بقطع النظر عن الكمية، وما قد تتصف به من زيادة او نقص، فالأمر يتعلق بمبدأ علمي وحقيقة ذاتية دون النظر إلى الكم، مهما تفاوت صعوداً أو هبوطاً"</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559"/>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rPr>
        <w:t>.</w:t>
      </w:r>
    </w:p>
    <w:p w14:paraId="28FFB29D" w14:textId="77777777" w:rsidR="004E383D" w:rsidRPr="00001A51" w:rsidRDefault="004E383D" w:rsidP="004E383D">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 xml:space="preserve">2-السنة النبوية: </w:t>
      </w:r>
    </w:p>
    <w:p w14:paraId="7473FE49" w14:textId="12B35DC3" w:rsidR="004E383D" w:rsidRPr="00001A51" w:rsidRDefault="00744A1A" w:rsidP="004E383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hint="cs"/>
          <w:sz w:val="28"/>
          <w:szCs w:val="28"/>
          <w:rtl/>
          <w:lang w:bidi="ar-JO"/>
        </w:rPr>
        <w:t xml:space="preserve">أ- </w:t>
      </w:r>
      <w:r w:rsidR="004E383D" w:rsidRPr="00001A51">
        <w:rPr>
          <w:rFonts w:ascii="Arabic Transparent" w:hAnsi="Arabic Transparent" w:cs="Arabic Transparent"/>
          <w:sz w:val="28"/>
          <w:szCs w:val="28"/>
          <w:rtl/>
          <w:lang w:bidi="ar-JO"/>
        </w:rPr>
        <w:t xml:space="preserve">في الحديث عَن أَبِي هُرَيرَةَ. قَالَ: قال رسول الله </w:t>
      </w:r>
      <w:r w:rsidR="005E3842" w:rsidRPr="00001A51">
        <w:rPr>
          <w:rFonts w:ascii="AGA Arabesque" w:hAnsi="AGA Arabesque" w:cs="AGA Arabesque"/>
          <w:sz w:val="28"/>
          <w:szCs w:val="28"/>
          <w:lang w:bidi="ar-JO"/>
        </w:rPr>
        <w:t></w:t>
      </w:r>
      <w:r w:rsidR="004E383D" w:rsidRPr="00001A51">
        <w:rPr>
          <w:rFonts w:ascii="Arabic Transparent" w:hAnsi="Arabic Transparent" w:cs="Arabic Transparent"/>
          <w:sz w:val="28"/>
          <w:szCs w:val="28"/>
          <w:rtl/>
          <w:lang w:bidi="ar-JO"/>
        </w:rPr>
        <w:t xml:space="preserve"> "الذهب بالذهب، وزناً بوزن، مثلا بمثل، والفضة بالفضة، وزناً بوزن، مثلاً بمثل، ‌فمن ‌زاد ‌أو ‌استزاد ‌فهو ‌ربا"</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560"/>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b/>
          <w:bCs/>
          <w:sz w:val="28"/>
          <w:szCs w:val="28"/>
          <w:rtl/>
          <w:lang w:bidi="ar-JO"/>
        </w:rPr>
        <w:t>وجه الدلالة:</w:t>
      </w:r>
      <w:r w:rsidR="004E383D" w:rsidRPr="00001A51">
        <w:rPr>
          <w:rFonts w:ascii="Arabic Transparent" w:hAnsi="Arabic Transparent" w:cs="Arabic Transparent"/>
          <w:sz w:val="28"/>
          <w:szCs w:val="28"/>
          <w:rtl/>
          <w:lang w:bidi="ar-JO"/>
        </w:rPr>
        <w:t xml:space="preserve"> يدل الحديث الشريف بمنطوقه على تحريم ربا الفضل والتفاوت في الأجناس الربوية المتشابهة ويجب أن تتساوى بالوزن والصفة، فالزيادة عليها ربا ولا سبيل للتفاوت مطلقاً بين الأجناس الربوية</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561"/>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xml:space="preserve"> </w:t>
      </w:r>
    </w:p>
    <w:p w14:paraId="7B44C593" w14:textId="20F55B38" w:rsidR="001B2914" w:rsidRPr="00001A51" w:rsidRDefault="00744A1A" w:rsidP="003C1E26">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hint="cs"/>
          <w:sz w:val="28"/>
          <w:szCs w:val="28"/>
          <w:rtl/>
          <w:lang w:bidi="ar-JO"/>
        </w:rPr>
        <w:t xml:space="preserve">ب- </w:t>
      </w:r>
      <w:r w:rsidR="004E383D" w:rsidRPr="00001A51">
        <w:rPr>
          <w:rFonts w:ascii="Arabic Transparent" w:hAnsi="Arabic Transparent" w:cs="Arabic Transparent"/>
          <w:sz w:val="28"/>
          <w:szCs w:val="28"/>
          <w:rtl/>
          <w:lang w:bidi="ar-JO"/>
        </w:rPr>
        <w:t xml:space="preserve">والحديث الآخر الذي نص على الأصناف الربوية الستة: عن عبادة بن الصامت أن النبي </w:t>
      </w:r>
      <w:r w:rsidR="005E3842" w:rsidRPr="00001A51">
        <w:rPr>
          <w:rFonts w:ascii="AGA Arabesque" w:hAnsi="AGA Arabesque" w:cs="AGA Arabesque"/>
          <w:sz w:val="28"/>
          <w:szCs w:val="28"/>
          <w:lang w:bidi="ar-JO"/>
        </w:rPr>
        <w:t></w:t>
      </w:r>
      <w:r w:rsidR="004E383D" w:rsidRPr="00001A51">
        <w:rPr>
          <w:rFonts w:ascii="Arabic Transparent" w:hAnsi="Arabic Transparent" w:cs="Arabic Transparent"/>
          <w:sz w:val="28"/>
          <w:szCs w:val="28"/>
          <w:rtl/>
          <w:lang w:bidi="ar-JO"/>
        </w:rPr>
        <w:t xml:space="preserve"> قال: "الذهب بالذهب، والفضة بالفضة، والبر بالبر، والشعير بالشعير، والتمر بالتمر، والملح بالملح مثلا بمثل، سواء بسواء، يدا بيد، فإذا اختلفت هذه الأصناف فبيعوا كيف شئتم، إذا کان </w:t>
      </w:r>
    </w:p>
    <w:p w14:paraId="20EF1AC7" w14:textId="2B8DD583" w:rsidR="004E383D" w:rsidRPr="00001A51" w:rsidRDefault="004E383D" w:rsidP="004E383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يدا بيد"</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562"/>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xml:space="preserve">. </w:t>
      </w:r>
      <w:r w:rsidRPr="00001A51">
        <w:rPr>
          <w:rFonts w:ascii="Arabic Transparent" w:hAnsi="Arabic Transparent" w:cs="Arabic Transparent"/>
          <w:b/>
          <w:bCs/>
          <w:sz w:val="28"/>
          <w:szCs w:val="28"/>
          <w:rtl/>
          <w:lang w:bidi="ar-JO"/>
        </w:rPr>
        <w:t>وجه الدلالة:</w:t>
      </w:r>
      <w:r w:rsidRPr="00001A51">
        <w:rPr>
          <w:rFonts w:ascii="Arabic Transparent" w:hAnsi="Arabic Transparent" w:cs="Arabic Transparent"/>
          <w:sz w:val="28"/>
          <w:szCs w:val="28"/>
          <w:rtl/>
          <w:lang w:bidi="ar-JO"/>
        </w:rPr>
        <w:t xml:space="preserve"> أوجب الحديث الشريف المماثلة في المقدار عند اتحاد الجنس بين هذه الأصناف الستة، فبيع الفضة بالفضة يجب فيها المماثلة في القدر ويجب القبض في الحال وعند اختلاف الجنس بين هذه الأوصاف لا تجب المماثلة في القدر، ولكن يجب القبض في الحال فبيع القمح بالشعير لا تجب فيه المماثلة في القدر، ولكن يجب فيه القبض في الحال، وعند اختلاف الجنس من غير الأصناف الربوية يجوز بينها التفاوت في القدر، أو الصفة، أو الأجل</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563"/>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w:t>
      </w:r>
    </w:p>
    <w:p w14:paraId="0FE2F945" w14:textId="77777777" w:rsidR="004E383D" w:rsidRPr="00001A51" w:rsidRDefault="004E383D" w:rsidP="004E383D">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 xml:space="preserve">3- الإجماع: </w:t>
      </w:r>
    </w:p>
    <w:p w14:paraId="11818FA8" w14:textId="01EB71E1" w:rsidR="00F20457" w:rsidRPr="00001A51" w:rsidRDefault="005D7B91" w:rsidP="004E383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 xml:space="preserve">أجمع العلماء على تحريم قليل وكثير الربا للآيات والأحاديث قطعية الثبوت والدلالة في تحريم الربا بنوعيه الفضل والنسيئة، وبطلان العقد الذي يحتوي على الربا بنوعيه، وقد نقل الإجماع غير واحد منهم ابن عبد البر، حيث قال:"أجمع المسلمون نقلا عن نبيهم </w:t>
      </w:r>
      <w:r w:rsidR="005E3842" w:rsidRPr="00001A51">
        <w:rPr>
          <w:rFonts w:ascii="AGA Arabesque" w:hAnsi="AGA Arabesque" w:cs="AGA Arabesque"/>
          <w:sz w:val="28"/>
          <w:szCs w:val="28"/>
          <w:lang w:bidi="ar-JO"/>
        </w:rPr>
        <w:t></w:t>
      </w:r>
      <w:r w:rsidR="004E383D" w:rsidRPr="00001A51">
        <w:rPr>
          <w:rFonts w:ascii="Arabic Transparent" w:hAnsi="Arabic Transparent" w:cs="Arabic Transparent"/>
          <w:sz w:val="28"/>
          <w:szCs w:val="28"/>
          <w:rtl/>
          <w:lang w:bidi="ar-JO"/>
        </w:rPr>
        <w:t xml:space="preserve"> إن اشتراط </w:t>
      </w:r>
    </w:p>
    <w:p w14:paraId="407C85ED" w14:textId="77777777" w:rsidR="00F20457" w:rsidRPr="00001A51" w:rsidRDefault="00F20457">
      <w:pPr>
        <w:bidi w:val="0"/>
        <w:spacing w:after="0" w:line="240" w:lineRule="auto"/>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br w:type="page"/>
      </w:r>
    </w:p>
    <w:p w14:paraId="2C833E81" w14:textId="77777777" w:rsidR="004E383D" w:rsidRPr="00001A51" w:rsidRDefault="004E383D" w:rsidP="004E383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الزيادة في السلف ربا ولو كان قبضة من علف أو حبة"</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564"/>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فهو يشير إلى تحريم اشتراط الزيادة في النسيئة ولو كانت قليلة ويسيرة.</w:t>
      </w:r>
    </w:p>
    <w:p w14:paraId="3DB1DD2E" w14:textId="1D391F23" w:rsidR="001B2914" w:rsidRPr="00001A51" w:rsidRDefault="004E383D" w:rsidP="003C1E26">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D108D" w:rsidRPr="00001A51">
        <w:rPr>
          <w:rFonts w:ascii="Arabic Transparent" w:hAnsi="Arabic Transparent" w:cs="Arabic Transparent" w:hint="cs"/>
          <w:sz w:val="28"/>
          <w:szCs w:val="28"/>
          <w:rtl/>
          <w:lang w:bidi="ar-JO"/>
        </w:rPr>
        <w:t xml:space="preserve">   </w:t>
      </w:r>
      <w:r w:rsidRPr="00001A51">
        <w:rPr>
          <w:rFonts w:ascii="Arabic Transparent" w:hAnsi="Arabic Transparent" w:cs="Arabic Transparent"/>
          <w:sz w:val="28"/>
          <w:szCs w:val="28"/>
          <w:rtl/>
          <w:lang w:bidi="ar-JO"/>
        </w:rPr>
        <w:t xml:space="preserve"> ونقل ابن قدامة الإجماع، فقال:</w:t>
      </w:r>
      <w:r w:rsidR="00151AED" w:rsidRPr="00001A51">
        <w:rPr>
          <w:rFonts w:ascii="Arabic Transparent" w:hAnsi="Arabic Transparent" w:cs="Arabic Transparent"/>
          <w:sz w:val="28"/>
          <w:szCs w:val="28"/>
          <w:rtl/>
          <w:lang w:bidi="ar-JO"/>
        </w:rPr>
        <w:t xml:space="preserve"> "</w:t>
      </w:r>
      <w:r w:rsidRPr="00001A51">
        <w:rPr>
          <w:rFonts w:ascii="Arabic Transparent" w:hAnsi="Arabic Transparent" w:cs="Arabic Transparent"/>
          <w:sz w:val="28"/>
          <w:szCs w:val="28"/>
          <w:rtl/>
          <w:lang w:bidi="ar-JO"/>
        </w:rPr>
        <w:t>كل قرض شُرِطَ فيه أن يزيده فهذا حرام بغير خلاف"</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565"/>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xml:space="preserve"> ونقل ابن المنذر الإجماع أيضاً، فقال:</w:t>
      </w:r>
      <w:r w:rsidR="00151AED" w:rsidRPr="00001A51">
        <w:rPr>
          <w:rFonts w:ascii="Arabic Transparent" w:hAnsi="Arabic Transparent" w:cs="Arabic Transparent"/>
          <w:sz w:val="28"/>
          <w:szCs w:val="28"/>
          <w:rtl/>
          <w:lang w:bidi="ar-JO"/>
        </w:rPr>
        <w:t xml:space="preserve"> "</w:t>
      </w:r>
      <w:r w:rsidRPr="00001A51">
        <w:rPr>
          <w:rFonts w:ascii="Arabic Transparent" w:hAnsi="Arabic Transparent" w:cs="Arabic Transparent"/>
          <w:sz w:val="28"/>
          <w:szCs w:val="28"/>
          <w:rtl/>
          <w:lang w:bidi="ar-JO"/>
        </w:rPr>
        <w:t>أجمعوا على أن ‌المسلف إذا شرط عشر السلف هدية أو زيادة، فأسلفه على ذلك، أن أخذه الزيادة ربا"</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566"/>
      </w:r>
      <w:r w:rsidRPr="00001A51">
        <w:rPr>
          <w:rFonts w:ascii="Arabic Transparent" w:hAnsi="Arabic Transparent" w:cs="Arabic Transparent"/>
          <w:sz w:val="28"/>
          <w:szCs w:val="28"/>
          <w:vertAlign w:val="superscript"/>
          <w:rtl/>
          <w:lang w:bidi="ar-JO"/>
        </w:rPr>
        <w:t>)</w:t>
      </w:r>
    </w:p>
    <w:p w14:paraId="55533C83" w14:textId="104527D2" w:rsidR="004E383D" w:rsidRPr="00001A51" w:rsidRDefault="005D7B91" w:rsidP="004E383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ونقل النووي الإجماع على تحريم ربا الفضل حالاً والنسيئة مؤجلاً، فقال: "أجمع العلماء على ‌أنه ‌لا ‌يجوز ‌بيع ‌الربوي ‌بجنسه وأحدهما مؤجل، وعلى أنه لا يجوز التفاضل إذا بيع بجنسه حالاً كالذهب بالذهب، وعلى أنه لا يجوز التفرق قبل التقابض إذا باعه بجنسه أو بغير جنسه مما يشاركه في العلة كالذهب بالفضة والحنطة بالشعير وعلى أنه يجوز التفاضل عند اختلاف الجنس إذا كان يداً بيد، كصاع حنطة بصاعي شعير ولا خلاف بين العلماء في شيء من هذا"</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567"/>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xml:space="preserve"> </w:t>
      </w:r>
    </w:p>
    <w:p w14:paraId="75454D92" w14:textId="77777777" w:rsidR="004E383D" w:rsidRPr="00001A51" w:rsidRDefault="004E383D" w:rsidP="004E383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b/>
          <w:bCs/>
          <w:sz w:val="28"/>
          <w:szCs w:val="28"/>
          <w:rtl/>
          <w:lang w:bidi="ar-JO"/>
        </w:rPr>
        <w:t>ب- الميسر والقمار وكل مغالبة مالية بين الغُنم والغُرم</w:t>
      </w:r>
      <w:r w:rsidRPr="00001A51">
        <w:rPr>
          <w:rFonts w:ascii="Arabic Transparent" w:hAnsi="Arabic Transparent" w:cs="Arabic Transparent"/>
          <w:sz w:val="28"/>
          <w:szCs w:val="28"/>
          <w:rtl/>
          <w:lang w:bidi="ar-JO"/>
        </w:rPr>
        <w:t xml:space="preserve">: </w:t>
      </w:r>
    </w:p>
    <w:p w14:paraId="7EBDCE06" w14:textId="4D459F46" w:rsidR="00F20457" w:rsidRPr="00001A51" w:rsidRDefault="00744A1A" w:rsidP="004E383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hint="cs"/>
          <w:sz w:val="28"/>
          <w:szCs w:val="28"/>
          <w:rtl/>
          <w:lang w:bidi="ar-JO"/>
        </w:rPr>
        <w:t xml:space="preserve">     </w:t>
      </w:r>
      <w:r w:rsidR="004E383D" w:rsidRPr="00001A51">
        <w:rPr>
          <w:rFonts w:ascii="Arabic Transparent" w:hAnsi="Arabic Transparent" w:cs="Arabic Transparent"/>
          <w:sz w:val="28"/>
          <w:szCs w:val="28"/>
          <w:rtl/>
          <w:lang w:bidi="ar-JO"/>
        </w:rPr>
        <w:t xml:space="preserve">والميسر، هو: </w:t>
      </w:r>
      <w:r w:rsidR="00F20457" w:rsidRPr="00001A51">
        <w:rPr>
          <w:rFonts w:ascii="Arabic Transparent" w:hAnsi="Arabic Transparent" w:cs="Arabic Transparent" w:hint="cs"/>
          <w:sz w:val="28"/>
          <w:szCs w:val="28"/>
          <w:rtl/>
          <w:lang w:bidi="ar-JO"/>
        </w:rPr>
        <w:t>"</w:t>
      </w:r>
      <w:r w:rsidR="004E383D" w:rsidRPr="00001A51">
        <w:rPr>
          <w:rFonts w:ascii="Arabic Transparent" w:hAnsi="Arabic Transparent" w:cs="Arabic Transparent"/>
          <w:sz w:val="28"/>
          <w:szCs w:val="28"/>
          <w:rtl/>
          <w:lang w:bidi="ar-JO"/>
        </w:rPr>
        <w:t>كل معاملة دائرة بين الغرم والغنم، فالداخل فيها لا يدري أغارم هو أم غانم</w:t>
      </w:r>
      <w:r w:rsidR="00F20457" w:rsidRPr="00001A51">
        <w:rPr>
          <w:rFonts w:ascii="Arabic Transparent" w:hAnsi="Arabic Transparent" w:cs="Arabic Transparent" w:hint="cs"/>
          <w:sz w:val="28"/>
          <w:szCs w:val="28"/>
          <w:rtl/>
          <w:lang w:bidi="ar-JO"/>
        </w:rPr>
        <w:t>"</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568"/>
      </w:r>
      <w:r w:rsidR="004E383D" w:rsidRPr="00001A51">
        <w:rPr>
          <w:rFonts w:ascii="Arabic Transparent" w:hAnsi="Arabic Transparent" w:cs="Arabic Transparent"/>
          <w:sz w:val="28"/>
          <w:szCs w:val="28"/>
          <w:vertAlign w:val="superscript"/>
          <w:rtl/>
          <w:lang w:bidi="ar-JO"/>
        </w:rPr>
        <w:t>)</w:t>
      </w:r>
      <w:r w:rsidR="00F20457" w:rsidRPr="00001A51">
        <w:rPr>
          <w:rFonts w:ascii="Arabic Transparent" w:hAnsi="Arabic Transparent" w:cs="Arabic Transparent" w:hint="cs"/>
          <w:sz w:val="28"/>
          <w:szCs w:val="28"/>
          <w:rtl/>
          <w:lang w:bidi="ar-JO"/>
        </w:rPr>
        <w:t>، "</w:t>
      </w:r>
      <w:r w:rsidR="004E383D" w:rsidRPr="00001A51">
        <w:rPr>
          <w:rFonts w:ascii="Arabic Transparent" w:hAnsi="Arabic Transparent" w:cs="Arabic Transparent"/>
          <w:sz w:val="28"/>
          <w:szCs w:val="28"/>
          <w:rtl/>
          <w:lang w:bidi="ar-JO"/>
        </w:rPr>
        <w:t>ففي المسابقات أو المعاوضات التي يقصد منها الغنم، سواء أكان التفاوت قليلاً أو كثيراً فهو محرم</w:t>
      </w:r>
      <w:r w:rsidR="00F20457" w:rsidRPr="00001A51">
        <w:rPr>
          <w:rFonts w:ascii="Arabic Transparent" w:hAnsi="Arabic Transparent" w:cs="Arabic Transparent" w:hint="cs"/>
          <w:sz w:val="28"/>
          <w:szCs w:val="28"/>
          <w:rtl/>
          <w:lang w:bidi="ar-JO"/>
        </w:rPr>
        <w:t>"</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569"/>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b/>
          <w:bCs/>
          <w:sz w:val="28"/>
          <w:szCs w:val="28"/>
          <w:rtl/>
          <w:lang w:bidi="ar-JO"/>
        </w:rPr>
        <w:t xml:space="preserve">، </w:t>
      </w:r>
      <w:r w:rsidR="004E383D" w:rsidRPr="00001A51">
        <w:rPr>
          <w:rFonts w:ascii="Arabic Transparent" w:hAnsi="Arabic Transparent" w:cs="Arabic Transparent"/>
          <w:sz w:val="28"/>
          <w:szCs w:val="28"/>
          <w:rtl/>
          <w:lang w:bidi="ar-JO"/>
        </w:rPr>
        <w:t>والأصل في تحريمها قوله تعالى</w:t>
      </w:r>
      <w:r w:rsidR="005D7B91" w:rsidRPr="00001A51">
        <w:rPr>
          <w:rFonts w:ascii="Arabic Transparent" w:hAnsi="Arabic Transparent" w:cs="Arabic Transparent"/>
          <w:sz w:val="28"/>
          <w:szCs w:val="28"/>
          <w:rtl/>
          <w:lang w:bidi="ar-JO"/>
        </w:rPr>
        <w:t xml:space="preserve">: </w:t>
      </w:r>
      <w:r w:rsidR="004E383D" w:rsidRPr="00001A51">
        <w:rPr>
          <w:rFonts w:ascii="KFGQPC HAFS Uthmanic Script" w:hAnsi="Aptos" w:cs="KFGQPC HAFS Uthmanic Script"/>
          <w:color w:val="000000"/>
          <w:sz w:val="28"/>
          <w:szCs w:val="28"/>
          <w:rtl/>
        </w:rPr>
        <w:t>ﵟ يَٰٓأَيُّهَا ٱلَّذِينَ ءَامَنُوٓاْ إِنَّمَا ٱلۡخَمۡرُ وَٱلۡمَيۡسِرُ وَٱلۡأَنصَابُ وَٱلۡأَزۡلَٰمُ رِجۡسٞ مِّنۡ عَمَلِ ٱلشَّيۡطَٰنِ فَٱجۡتَنِبُوهُ لَعَلَّكُمۡ تُفۡلِحُونَ ٩٠ﵞ ﵝالمَائـِدَة</w:t>
      </w:r>
      <w:r w:rsidR="005D7B91" w:rsidRPr="00001A51">
        <w:rPr>
          <w:rFonts w:ascii="KFGQPC HAFS Uthmanic Script" w:hAnsi="Aptos" w:cs="KFGQPC HAFS Uthmanic Script"/>
          <w:color w:val="000000"/>
          <w:sz w:val="28"/>
          <w:szCs w:val="28"/>
          <w:rtl/>
        </w:rPr>
        <w:t xml:space="preserve">: </w:t>
      </w:r>
      <w:r w:rsidR="004E383D" w:rsidRPr="00001A51">
        <w:rPr>
          <w:rFonts w:ascii="KFGQPC HAFS Uthmanic Script" w:hAnsi="Aptos" w:cs="KFGQPC HAFS Uthmanic Script"/>
          <w:color w:val="000000"/>
          <w:sz w:val="28"/>
          <w:szCs w:val="28"/>
          <w:rtl/>
        </w:rPr>
        <w:t>ﵐﵙﵜ</w:t>
      </w:r>
      <w:r w:rsidR="004E383D"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b/>
          <w:bCs/>
          <w:sz w:val="28"/>
          <w:szCs w:val="28"/>
          <w:rtl/>
          <w:lang w:bidi="ar-JO"/>
        </w:rPr>
        <w:t>وجه الدلالة:</w:t>
      </w:r>
      <w:r w:rsidR="004E383D" w:rsidRPr="00001A51">
        <w:rPr>
          <w:rFonts w:ascii="Arabic Transparent" w:hAnsi="Arabic Transparent" w:cs="Arabic Transparent"/>
          <w:sz w:val="28"/>
          <w:szCs w:val="28"/>
          <w:rtl/>
          <w:lang w:bidi="ar-JO"/>
        </w:rPr>
        <w:t xml:space="preserve"> حيث قرن الله تعالى تحريم الميسر ومنه القمار بالخمر والأصنام وأمر باجتنابها وعدها من كبائر المعاصي التي يرتكبها المسلم، والميسر يعني القمار، قال ابن عباس</w:t>
      </w:r>
      <w:r w:rsidR="005D7B91" w:rsidRPr="00001A51">
        <w:rPr>
          <w:rFonts w:ascii="Arabic Transparent" w:hAnsi="Arabic Transparent" w:cs="Arabic Transparent"/>
          <w:sz w:val="28"/>
          <w:szCs w:val="28"/>
          <w:rtl/>
          <w:lang w:bidi="ar-JO"/>
        </w:rPr>
        <w:t xml:space="preserve">: </w:t>
      </w:r>
      <w:r w:rsidR="00F20457" w:rsidRPr="00001A51">
        <w:rPr>
          <w:rFonts w:ascii="Arabic Transparent" w:hAnsi="Arabic Transparent" w:cs="Arabic Transparent" w:hint="cs"/>
          <w:sz w:val="28"/>
          <w:szCs w:val="28"/>
          <w:rtl/>
          <w:lang w:bidi="ar-JO"/>
        </w:rPr>
        <w:t>"</w:t>
      </w:r>
      <w:r w:rsidR="004E383D" w:rsidRPr="00001A51">
        <w:rPr>
          <w:rFonts w:ascii="Arabic Transparent" w:hAnsi="Arabic Transparent" w:cs="Arabic Transparent"/>
          <w:sz w:val="28"/>
          <w:szCs w:val="28"/>
          <w:rtl/>
          <w:lang w:bidi="ar-JO"/>
        </w:rPr>
        <w:t xml:space="preserve">كان الرجل في الجاهلية يخاطر الرجل </w:t>
      </w:r>
    </w:p>
    <w:p w14:paraId="201B85B6" w14:textId="77777777" w:rsidR="00F20457" w:rsidRPr="00001A51" w:rsidRDefault="00F20457">
      <w:pPr>
        <w:bidi w:val="0"/>
        <w:spacing w:after="0" w:line="240" w:lineRule="auto"/>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br w:type="page"/>
      </w:r>
    </w:p>
    <w:p w14:paraId="7429D50B" w14:textId="6F69A519" w:rsidR="001B2914" w:rsidRPr="00001A51" w:rsidRDefault="004E383D" w:rsidP="003C1E26">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على أهله وماله فأيهما قمر صاحبه ذهب بأهله وماله فأنزل الله تعالى هذه الآية في تحريم ذلك الفعل المشين، ومنفعة الميسر إصابة المال من غير كد ولا تعب وارتفاق الفقراء به والإثم فيه أنه إذا ذهب ماله من غير عوض ساءه ذلك فعادى صاحبه فقصده بالسوء، ويورث العداوة والبغضاء بين المقامرين</w:t>
      </w:r>
      <w:r w:rsidR="00F20457" w:rsidRPr="00001A51">
        <w:rPr>
          <w:rFonts w:ascii="Arabic Transparent" w:hAnsi="Arabic Transparent" w:cs="Arabic Transparent" w:hint="cs"/>
          <w:sz w:val="28"/>
          <w:szCs w:val="28"/>
          <w:rtl/>
          <w:lang w:bidi="ar-JO"/>
        </w:rPr>
        <w:t>"</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570"/>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w:t>
      </w:r>
    </w:p>
    <w:p w14:paraId="56714173" w14:textId="77777777" w:rsidR="004E383D" w:rsidRPr="00001A51" w:rsidRDefault="004E383D" w:rsidP="004E383D">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ج- التطفيف في الكيل والميزان وكل بخسٍ مقصود في الحقوق المالية:</w:t>
      </w:r>
    </w:p>
    <w:p w14:paraId="51E8BDA1" w14:textId="5BE86449" w:rsidR="004E383D" w:rsidRPr="00001A51" w:rsidRDefault="005D7B91" w:rsidP="004E383D">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 xml:space="preserve">التطفيف أصله في اللغة </w:t>
      </w:r>
      <w:r w:rsidR="00F20457" w:rsidRPr="00001A51">
        <w:rPr>
          <w:rFonts w:ascii="Arabic Transparent" w:hAnsi="Arabic Transparent" w:cs="Arabic Transparent" w:hint="cs"/>
          <w:sz w:val="28"/>
          <w:szCs w:val="28"/>
          <w:rtl/>
          <w:lang w:bidi="ar-JO"/>
        </w:rPr>
        <w:t>"</w:t>
      </w:r>
      <w:r w:rsidR="004E383D" w:rsidRPr="00001A51">
        <w:rPr>
          <w:rFonts w:ascii="Arabic Transparent" w:hAnsi="Arabic Transparent" w:cs="Arabic Transparent"/>
          <w:sz w:val="28"/>
          <w:szCs w:val="28"/>
          <w:rtl/>
          <w:lang w:bidi="ar-JO"/>
        </w:rPr>
        <w:t>الشيء الطفيف، وعرفه العلماء بأنه: النقص اليسير أو الزيادة اليسيرة</w:t>
      </w:r>
      <w:r w:rsidR="00F20457" w:rsidRPr="00001A51">
        <w:rPr>
          <w:rFonts w:ascii="Arabic Transparent" w:hAnsi="Arabic Transparent" w:cs="Arabic Transparent" w:hint="cs"/>
          <w:sz w:val="28"/>
          <w:szCs w:val="28"/>
          <w:rtl/>
          <w:lang w:bidi="ar-JO"/>
        </w:rPr>
        <w:t>"</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571"/>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xml:space="preserve">، فكان التاجر في المدينة قبل الإسلام يقوم بالزيادة اليسيرة إن اقتضى من الناس (اشترى منهم)، أو النقصان اليسير إن قضاهم عند البيع لهم، وهو محرم بقوله تعالى </w:t>
      </w:r>
      <w:r w:rsidR="004E383D" w:rsidRPr="00001A51">
        <w:rPr>
          <w:rFonts w:ascii="KFGQPC HAFS Uthmanic Script" w:hAnsi="Aptos" w:cs="KFGQPC HAFS Uthmanic Script"/>
          <w:color w:val="000000"/>
          <w:sz w:val="28"/>
          <w:szCs w:val="28"/>
          <w:rtl/>
        </w:rPr>
        <w:t>ﵟ وَيۡلٞ لِّلۡمُطَفِّفِينَ ١ﵞ ﵝالمُطَفِّفِين</w:t>
      </w:r>
      <w:r w:rsidRPr="00001A51">
        <w:rPr>
          <w:rFonts w:ascii="KFGQPC HAFS Uthmanic Script" w:hAnsi="Aptos" w:cs="KFGQPC HAFS Uthmanic Script"/>
          <w:color w:val="000000"/>
          <w:sz w:val="28"/>
          <w:szCs w:val="28"/>
          <w:rtl/>
        </w:rPr>
        <w:t>:</w:t>
      </w:r>
      <w:r w:rsidR="004E383D" w:rsidRPr="00001A51">
        <w:rPr>
          <w:rFonts w:ascii="KFGQPC HAFS Uthmanic Script" w:hAnsi="Aptos" w:cs="KFGQPC HAFS Uthmanic Script"/>
          <w:color w:val="000000"/>
          <w:sz w:val="28"/>
          <w:szCs w:val="28"/>
          <w:rtl/>
        </w:rPr>
        <w:t>ﵑﵜ</w:t>
      </w:r>
      <w:r w:rsidR="004E383D" w:rsidRPr="00001A51">
        <w:rPr>
          <w:rFonts w:ascii="Arabic Transparent" w:hAnsi="Arabic Transparent" w:cs="Arabic Transparent"/>
          <w:sz w:val="28"/>
          <w:szCs w:val="28"/>
          <w:rtl/>
          <w:lang w:bidi="ar-JO"/>
        </w:rPr>
        <w:t xml:space="preserve"> وهو </w:t>
      </w:r>
      <w:r w:rsidR="00F20457" w:rsidRPr="00001A51">
        <w:rPr>
          <w:rFonts w:ascii="Arabic Transparent" w:hAnsi="Arabic Transparent" w:cs="Arabic Transparent" w:hint="cs"/>
          <w:sz w:val="28"/>
          <w:szCs w:val="28"/>
          <w:rtl/>
          <w:lang w:bidi="ar-JO"/>
        </w:rPr>
        <w:t>"</w:t>
      </w:r>
      <w:r w:rsidR="004E383D" w:rsidRPr="00001A51">
        <w:rPr>
          <w:rFonts w:ascii="Arabic Transparent" w:hAnsi="Arabic Transparent" w:cs="Arabic Transparent"/>
          <w:sz w:val="28"/>
          <w:szCs w:val="28"/>
          <w:rtl/>
          <w:lang w:bidi="ar-JO"/>
        </w:rPr>
        <w:t>الوعيد الشديد للتجار الذين يطففون في الموازين، فلا يعفى عن قصد وتعمد إنقاص الناس حقوقهم ولو بشيء يسير في الكيل أو الوزن</w:t>
      </w:r>
      <w:r w:rsidR="00F20457" w:rsidRPr="00001A51">
        <w:rPr>
          <w:rFonts w:ascii="Arabic Transparent" w:hAnsi="Arabic Transparent" w:cs="Arabic Transparent" w:hint="cs"/>
          <w:sz w:val="28"/>
          <w:szCs w:val="28"/>
          <w:rtl/>
          <w:lang w:bidi="ar-JO"/>
        </w:rPr>
        <w:t>"</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572"/>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xml:space="preserve"> ويدخل في معنى التطفيف </w:t>
      </w:r>
      <w:r w:rsidR="00F20457" w:rsidRPr="00001A51">
        <w:rPr>
          <w:rFonts w:ascii="Arabic Transparent" w:hAnsi="Arabic Transparent" w:cs="Arabic Transparent" w:hint="cs"/>
          <w:sz w:val="28"/>
          <w:szCs w:val="28"/>
          <w:rtl/>
          <w:lang w:bidi="ar-JO"/>
        </w:rPr>
        <w:t>"</w:t>
      </w:r>
      <w:r w:rsidR="004E383D" w:rsidRPr="00001A51">
        <w:rPr>
          <w:rFonts w:ascii="Arabic Transparent" w:hAnsi="Arabic Transparent" w:cs="Arabic Transparent"/>
          <w:sz w:val="28"/>
          <w:szCs w:val="28"/>
          <w:rtl/>
          <w:lang w:bidi="ar-JO"/>
        </w:rPr>
        <w:t>بخس الناس حقوقهم ولو بشيء يسير سواء أكانوا أجراء، أو عمالاً، أو شركاءً وغيرهم، سواء أكان الحق مالاً، أم منفعة، قليلاً أو كثيراً</w:t>
      </w:r>
      <w:r w:rsidR="00F20457" w:rsidRPr="00001A51">
        <w:rPr>
          <w:rFonts w:ascii="Arabic Transparent" w:hAnsi="Arabic Transparent" w:cs="Arabic Transparent" w:hint="cs"/>
          <w:sz w:val="28"/>
          <w:szCs w:val="28"/>
          <w:rtl/>
          <w:lang w:bidi="ar-JO"/>
        </w:rPr>
        <w:t>"</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573"/>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w:t>
      </w:r>
    </w:p>
    <w:p w14:paraId="68BFB60F" w14:textId="77777777" w:rsidR="004E383D" w:rsidRPr="00001A51" w:rsidRDefault="004E383D" w:rsidP="004E383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b/>
          <w:bCs/>
          <w:sz w:val="28"/>
          <w:szCs w:val="28"/>
          <w:rtl/>
          <w:lang w:bidi="ar-JO"/>
        </w:rPr>
        <w:t xml:space="preserve">د- أكل أموال الناس بالباطل بكل صوره: </w:t>
      </w:r>
    </w:p>
    <w:p w14:paraId="1DB83EDC" w14:textId="55BFD628" w:rsidR="00F20457" w:rsidRPr="00001A51" w:rsidRDefault="005D7B91" w:rsidP="004E383D">
      <w:pPr>
        <w:spacing w:after="0" w:line="360" w:lineRule="auto"/>
        <w:jc w:val="both"/>
        <w:rPr>
          <w:rFonts w:ascii="Arabic Transparent" w:hAnsi="Arabic Transparent" w:cs="Arabic Transparent"/>
          <w:sz w:val="24"/>
          <w:szCs w:val="24"/>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حرم الإسلام أكل أموال الناس بالباطل، كثيرها وقليلها سواء</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574"/>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xml:space="preserve"> قال تعالى: </w:t>
      </w:r>
      <w:r w:rsidR="004E383D" w:rsidRPr="00001A51">
        <w:rPr>
          <w:rFonts w:ascii="KFGQPC HAFS Uthmanic Script" w:hAnsi="Aptos" w:cs="KFGQPC HAFS Uthmanic Script"/>
          <w:color w:val="000000"/>
          <w:sz w:val="24"/>
          <w:szCs w:val="24"/>
          <w:rtl/>
        </w:rPr>
        <w:t>ﵟ وَلَا تَأۡكُلُوٓاْ أَمۡوَٰلَكُم بَيۡنَكُم بِٱلۡبَٰطِلِ</w:t>
      </w:r>
      <w:r w:rsidR="004E383D" w:rsidRPr="00001A51">
        <w:rPr>
          <w:rFonts w:ascii="KFGQPC HAFS Uthmanic Script" w:hAnsi="Aptos" w:cs="Cambria"/>
          <w:color w:val="000000"/>
          <w:sz w:val="24"/>
          <w:szCs w:val="24"/>
          <w:rtl/>
        </w:rPr>
        <w:t>...</w:t>
      </w:r>
      <w:r w:rsidR="004E383D" w:rsidRPr="00001A51">
        <w:rPr>
          <w:rFonts w:ascii="KFGQPC HAFS Uthmanic Script" w:hAnsi="Aptos" w:cs="KFGQPC HAFS Uthmanic Script"/>
          <w:color w:val="000000"/>
          <w:sz w:val="24"/>
          <w:szCs w:val="24"/>
          <w:rtl/>
        </w:rPr>
        <w:t xml:space="preserve"> ١٨٨ﵞ ﵝالبَقَرَةِ</w:t>
      </w:r>
      <w:r w:rsidRPr="00001A51">
        <w:rPr>
          <w:rFonts w:ascii="KFGQPC HAFS Uthmanic Script" w:hAnsi="Aptos" w:cs="KFGQPC HAFS Uthmanic Script"/>
          <w:color w:val="000000"/>
          <w:sz w:val="24"/>
          <w:szCs w:val="24"/>
          <w:rtl/>
        </w:rPr>
        <w:t xml:space="preserve">: </w:t>
      </w:r>
      <w:r w:rsidR="004E383D" w:rsidRPr="00001A51">
        <w:rPr>
          <w:rFonts w:ascii="KFGQPC HAFS Uthmanic Script" w:hAnsi="Aptos" w:cs="KFGQPC HAFS Uthmanic Script"/>
          <w:color w:val="000000"/>
          <w:sz w:val="24"/>
          <w:szCs w:val="24"/>
          <w:rtl/>
        </w:rPr>
        <w:t>ﵘﵘﵑﵜ</w:t>
      </w:r>
      <w:r w:rsidR="004E383D" w:rsidRPr="00001A51">
        <w:rPr>
          <w:rFonts w:ascii="Arabic Transparent" w:hAnsi="Arabic Transparent" w:cs="Arabic Transparent"/>
          <w:sz w:val="24"/>
          <w:szCs w:val="24"/>
          <w:rtl/>
          <w:lang w:bidi="ar-JO"/>
        </w:rPr>
        <w:t xml:space="preserve"> </w:t>
      </w:r>
      <w:r w:rsidR="004E383D" w:rsidRPr="00001A51">
        <w:rPr>
          <w:rFonts w:ascii="Arabic Transparent" w:hAnsi="Arabic Transparent" w:cs="Arabic Transparent"/>
          <w:sz w:val="28"/>
          <w:szCs w:val="28"/>
          <w:rtl/>
          <w:lang w:bidi="ar-JO"/>
        </w:rPr>
        <w:t xml:space="preserve">وصوره كثيرة، مثل: </w:t>
      </w:r>
      <w:r w:rsidR="00F20457" w:rsidRPr="00001A51">
        <w:rPr>
          <w:rFonts w:ascii="Arabic Transparent" w:hAnsi="Arabic Transparent" w:cs="Arabic Transparent" w:hint="cs"/>
          <w:sz w:val="28"/>
          <w:szCs w:val="28"/>
          <w:rtl/>
          <w:lang w:bidi="ar-JO"/>
        </w:rPr>
        <w:t>"</w:t>
      </w:r>
      <w:r w:rsidR="004E383D" w:rsidRPr="00001A51">
        <w:rPr>
          <w:rFonts w:ascii="Arabic Transparent" w:hAnsi="Arabic Transparent" w:cs="Arabic Transparent"/>
          <w:sz w:val="28"/>
          <w:szCs w:val="28"/>
          <w:rtl/>
          <w:lang w:bidi="ar-JO"/>
        </w:rPr>
        <w:t>الغصب، والسرقة، والاختلاس، والغلول، والرشوة، والغش في المعاملات، وغيرها، ولا يعفى عن اليسير فيها عند العلماء الذي يتكرر ويرجع إلى الجشع والطمع ويُقصد من ورائه أكل أموال الناس بالباطل مع استغلال حاجتهم وعوزهم إلى التعامل بها</w:t>
      </w:r>
      <w:r w:rsidR="00F20457" w:rsidRPr="00001A51">
        <w:rPr>
          <w:rFonts w:ascii="Arabic Transparent" w:hAnsi="Arabic Transparent" w:cs="Arabic Transparent" w:hint="cs"/>
          <w:sz w:val="28"/>
          <w:szCs w:val="28"/>
          <w:rtl/>
          <w:lang w:bidi="ar-JO"/>
        </w:rPr>
        <w:t>"</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575"/>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4"/>
          <w:szCs w:val="24"/>
          <w:rtl/>
          <w:lang w:bidi="ar-JO"/>
        </w:rPr>
        <w:t>.</w:t>
      </w:r>
    </w:p>
    <w:p w14:paraId="46B6D72D" w14:textId="77777777" w:rsidR="00F20457" w:rsidRPr="00001A51" w:rsidRDefault="00F20457">
      <w:pPr>
        <w:bidi w:val="0"/>
        <w:spacing w:after="0" w:line="240" w:lineRule="auto"/>
        <w:rPr>
          <w:rFonts w:ascii="Arabic Transparent" w:hAnsi="Arabic Transparent" w:cs="Arabic Transparent"/>
          <w:sz w:val="24"/>
          <w:szCs w:val="24"/>
          <w:rtl/>
          <w:lang w:bidi="ar-JO"/>
        </w:rPr>
      </w:pPr>
      <w:r w:rsidRPr="00001A51">
        <w:rPr>
          <w:rFonts w:ascii="Arabic Transparent" w:hAnsi="Arabic Transparent" w:cs="Arabic Transparent"/>
          <w:sz w:val="24"/>
          <w:szCs w:val="24"/>
          <w:rtl/>
          <w:lang w:bidi="ar-JO"/>
        </w:rPr>
        <w:br w:type="page"/>
      </w:r>
    </w:p>
    <w:p w14:paraId="60475EEE" w14:textId="77777777" w:rsidR="004E383D" w:rsidRPr="00001A51" w:rsidRDefault="004E383D" w:rsidP="004E383D">
      <w:pPr>
        <w:spacing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هـ - الرد بالمثل في القصاص والضمان والمقاصة:</w:t>
      </w:r>
    </w:p>
    <w:p w14:paraId="2D11C487" w14:textId="7257FABD" w:rsidR="004E383D" w:rsidRPr="00001A51" w:rsidRDefault="005D7B91" w:rsidP="003C1E26">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 xml:space="preserve">حيث شرع الإسلام الحكيم المقابلة عند رد الحقوق وتوفيتها قال تعالى: </w:t>
      </w:r>
      <w:r w:rsidR="004E383D" w:rsidRPr="00001A51">
        <w:rPr>
          <w:rFonts w:ascii="KFGQPC HAFS Uthmanic Script" w:hAnsi="Aptos" w:cs="KFGQPC HAFS Uthmanic Script"/>
          <w:color w:val="000000"/>
          <w:sz w:val="28"/>
          <w:szCs w:val="28"/>
          <w:rtl/>
        </w:rPr>
        <w:t>ﵟ ٱلشَّهۡرُ ٱلۡحَرَامُ بِٱلشَّهۡرِ ٱلۡحَرَامِ وَٱلۡحُرُمَٰتُ قِصَاصٞۚ فَمَنِ ٱعۡتَدَىٰ عَلَيۡكُمۡ فَٱعۡتَدُواْ عَلَيۡهِ بِمِثۡلِ مَا ٱعۡتَدَىٰ عَلَيۡكُمۡۚ وَٱتَّقُواْ ٱللَّهَ وَٱعۡلَمُوٓاْ أَنَّ ٱللَّهَ مَعَ ٱلۡمُتَّقِينَ ١٩٤ﵞ ﵝالبَقَرَةِ</w:t>
      </w:r>
      <w:r w:rsidRPr="00001A51">
        <w:rPr>
          <w:rFonts w:ascii="KFGQPC HAFS Uthmanic Script" w:hAnsi="Aptos" w:cs="KFGQPC HAFS Uthmanic Script"/>
          <w:color w:val="000000"/>
          <w:sz w:val="28"/>
          <w:szCs w:val="28"/>
          <w:rtl/>
        </w:rPr>
        <w:t xml:space="preserve">: </w:t>
      </w:r>
      <w:r w:rsidR="004E383D" w:rsidRPr="00001A51">
        <w:rPr>
          <w:rFonts w:ascii="KFGQPC HAFS Uthmanic Script" w:hAnsi="Aptos" w:cs="KFGQPC HAFS Uthmanic Script"/>
          <w:color w:val="000000"/>
          <w:sz w:val="28"/>
          <w:szCs w:val="28"/>
          <w:rtl/>
        </w:rPr>
        <w:t>ﵔﵙﵑﵜ</w:t>
      </w:r>
      <w:r w:rsidR="004E383D" w:rsidRPr="00001A51">
        <w:rPr>
          <w:rFonts w:ascii="Arabic Transparent" w:hAnsi="Arabic Transparent" w:cs="Arabic Transparent"/>
          <w:sz w:val="28"/>
          <w:szCs w:val="28"/>
          <w:rtl/>
        </w:rPr>
        <w:t>،</w:t>
      </w:r>
      <w:r w:rsidR="004E383D" w:rsidRPr="00001A51">
        <w:rPr>
          <w:rFonts w:ascii="Arabic Transparent" w:hAnsi="Arabic Transparent" w:cs="Arabic Transparent"/>
          <w:sz w:val="28"/>
          <w:szCs w:val="28"/>
          <w:rtl/>
          <w:lang w:bidi="ar-JO"/>
        </w:rPr>
        <w:t xml:space="preserve"> وجه الدلالة: </w:t>
      </w:r>
      <w:r w:rsidR="00283210" w:rsidRPr="00001A51">
        <w:rPr>
          <w:rFonts w:ascii="Arabic Transparent" w:hAnsi="Arabic Transparent" w:cs="Arabic Transparent" w:hint="cs"/>
          <w:sz w:val="28"/>
          <w:szCs w:val="28"/>
          <w:rtl/>
          <w:lang w:bidi="ar-JO"/>
        </w:rPr>
        <w:t>"</w:t>
      </w:r>
      <w:r w:rsidR="004E383D" w:rsidRPr="00001A51">
        <w:rPr>
          <w:rFonts w:ascii="Arabic Transparent" w:hAnsi="Arabic Transparent" w:cs="Arabic Transparent"/>
          <w:sz w:val="28"/>
          <w:szCs w:val="28"/>
          <w:rtl/>
          <w:lang w:bidi="ar-JO"/>
        </w:rPr>
        <w:t>لا يجوز للمظلوم أن يتجاوز حقّه، ولا أن يزيد على مقدار الاعتداء – بحجة أن الزيادة يسيرة – وإلا كان متعدّيًا هو أيضًا</w:t>
      </w:r>
      <w:r w:rsidR="00283210" w:rsidRPr="00001A51">
        <w:rPr>
          <w:rFonts w:ascii="Arabic Transparent" w:hAnsi="Arabic Transparent" w:cs="Arabic Transparent" w:hint="cs"/>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576"/>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w:t>
      </w:r>
    </w:p>
    <w:p w14:paraId="1DAD3062" w14:textId="77777777" w:rsidR="004E383D" w:rsidRPr="00001A51" w:rsidRDefault="004E383D" w:rsidP="004E383D">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 xml:space="preserve">ثانياً: ما ينشأ عن التفاوت الممنوع: </w:t>
      </w:r>
    </w:p>
    <w:p w14:paraId="1825E211" w14:textId="5E79DBC3" w:rsidR="004E383D" w:rsidRPr="00001A51" w:rsidRDefault="005D7B91" w:rsidP="004E383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عرفنا سابقاًُ أن التفاوت الممنوع هو الذي ورد دليل جزئي خاص في تحريمه، فما الذي ينشأ عن التفاوت الممنوع عند تحقيق المناط الخاص:</w:t>
      </w:r>
    </w:p>
    <w:p w14:paraId="005E5E14" w14:textId="24220A8F" w:rsidR="004E383D" w:rsidRPr="00001A51" w:rsidRDefault="005D7B91" w:rsidP="004E383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 xml:space="preserve">من جهة الواقعة، تنقسم الوقائع إلى قسمين: </w:t>
      </w:r>
      <w:r w:rsidR="00283210" w:rsidRPr="00001A51">
        <w:rPr>
          <w:rFonts w:ascii="Arabic Transparent" w:hAnsi="Arabic Transparent" w:cs="Arabic Transparent" w:hint="cs"/>
          <w:sz w:val="28"/>
          <w:szCs w:val="28"/>
          <w:rtl/>
          <w:lang w:bidi="ar-JO"/>
        </w:rPr>
        <w:t>"</w:t>
      </w:r>
      <w:r w:rsidR="004E383D" w:rsidRPr="00001A51">
        <w:rPr>
          <w:rFonts w:ascii="Arabic Transparent" w:hAnsi="Arabic Transparent" w:cs="Arabic Transparent"/>
          <w:sz w:val="28"/>
          <w:szCs w:val="28"/>
          <w:rtl/>
          <w:lang w:bidi="ar-JO"/>
        </w:rPr>
        <w:t>صورٌ ظاهرة جلية يتحقق فيها المناط بلا بذل المزيد من الوسع ولا يسوغ فيها الخلاف بين المجتهدين، حتى إن تغيرت المسميات فالقليل والكثير منها حرام، ولا يقبل تغيّر حكمها بتغير المسمى، "فالحكم على الشيء فرع عن تصوره"</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577"/>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w:t>
      </w:r>
    </w:p>
    <w:p w14:paraId="3F4BC5B6" w14:textId="48FBDA21" w:rsidR="004E383D" w:rsidRPr="00001A51" w:rsidRDefault="005D7B91" w:rsidP="004E383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والقسم الآخر: صورٌ خفية لمعاملات مستجدة ومركبة يحتاج ثبوت المناط فيها إلى نظر وتحليل واستعانة بأهل الخبرة</w:t>
      </w:r>
      <w:r w:rsidR="00283210" w:rsidRPr="00001A51">
        <w:rPr>
          <w:rFonts w:ascii="Arabic Transparent" w:hAnsi="Arabic Transparent" w:cs="Arabic Transparent" w:hint="cs"/>
          <w:sz w:val="28"/>
          <w:szCs w:val="28"/>
          <w:rtl/>
          <w:lang w:bidi="ar-JO"/>
        </w:rPr>
        <w:t>"</w:t>
      </w:r>
      <w:r w:rsidR="00283210" w:rsidRPr="00001A51">
        <w:rPr>
          <w:rFonts w:ascii="Arabic Transparent" w:hAnsi="Arabic Transparent" w:cs="Arabic Transparent"/>
          <w:sz w:val="28"/>
          <w:szCs w:val="28"/>
          <w:vertAlign w:val="superscript"/>
          <w:rtl/>
          <w:lang w:bidi="ar-JO"/>
        </w:rPr>
        <w:t>(</w:t>
      </w:r>
      <w:r w:rsidR="00283210" w:rsidRPr="00001A51">
        <w:rPr>
          <w:rFonts w:ascii="Arabic Transparent" w:hAnsi="Arabic Transparent" w:cs="Arabic Transparent"/>
          <w:sz w:val="28"/>
          <w:szCs w:val="28"/>
          <w:vertAlign w:val="superscript"/>
          <w:rtl/>
          <w:lang w:bidi="ar-JO"/>
        </w:rPr>
        <w:footnoteReference w:id="578"/>
      </w:r>
      <w:r w:rsidR="00283210"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فهنا لا يجوز التسرع والحكم عليها لظن الشبه بالربا أو التحايل؛ لأنه كما بينا سابقاً بعض الوقائع تتردد بين أكثر من أصل شرعي، وبعضها يختلف الفقهاء في توصيفها، فبعضهم يراها بيعاً، والبعض يراها عينة وتحايلاً على الربا، فالتفاوت يتولد عن تردد الواقعة بين أوصاف متعددة، لا من معارضة النص الخاص حصراً</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579"/>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w:t>
      </w:r>
    </w:p>
    <w:p w14:paraId="05D0A986" w14:textId="310439BF" w:rsidR="00283210" w:rsidRPr="00001A51" w:rsidRDefault="005D7B91" w:rsidP="00283210">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b/>
          <w:bCs/>
          <w:sz w:val="28"/>
          <w:szCs w:val="28"/>
          <w:rtl/>
          <w:lang w:bidi="ar-JO"/>
        </w:rPr>
        <w:t xml:space="preserve">     </w:t>
      </w:r>
      <w:r w:rsidR="004E383D" w:rsidRPr="00001A51">
        <w:rPr>
          <w:rFonts w:ascii="Arabic Transparent" w:hAnsi="Arabic Transparent" w:cs="Arabic Transparent"/>
          <w:sz w:val="28"/>
          <w:szCs w:val="28"/>
          <w:rtl/>
          <w:lang w:bidi="ar-JO"/>
        </w:rPr>
        <w:t>ومن جهة المجتهد فيلتزم بالدليل الجزئي الخاص في تحريم التفاوت في أصناف معينة وردت بها الأدلة الشرعية، ويلتزم بعدم استعمال التسويغ الشرعي، أو المنهج التسويغي</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580"/>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xml:space="preserve">، من خلال البحث والاجتهاد من أجل تسويغ إباحة العقود والمعاملات المستجدة التي تدل النصوص على تحريم التفاوت فيها من خلال تقديم الأقوال الفقهية الضعيفة غير المعتبرة على ظاهر النصوص </w:t>
      </w:r>
      <w:r w:rsidR="004E383D" w:rsidRPr="00001A51">
        <w:rPr>
          <w:rFonts w:ascii="Arabic Transparent" w:hAnsi="Arabic Transparent" w:cs="Arabic Transparent"/>
          <w:sz w:val="28"/>
          <w:szCs w:val="28"/>
          <w:rtl/>
          <w:lang w:bidi="ar-JO"/>
        </w:rPr>
        <w:lastRenderedPageBreak/>
        <w:t xml:space="preserve">الشرعية التي تنص </w:t>
      </w:r>
      <w:r w:rsidR="00283210" w:rsidRPr="00001A51">
        <w:rPr>
          <w:rFonts w:ascii="Arabic Transparent" w:hAnsi="Arabic Transparent" w:cs="Arabic Transparent"/>
          <w:sz w:val="28"/>
          <w:szCs w:val="28"/>
          <w:rtl/>
          <w:lang w:bidi="ar-JO"/>
        </w:rPr>
        <w:br w:type="page"/>
      </w:r>
    </w:p>
    <w:p w14:paraId="094AFE37" w14:textId="35FEAA1B" w:rsidR="004E383D" w:rsidRPr="00001A51" w:rsidRDefault="004E383D" w:rsidP="003C1E26">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على تحريم المعاملة، والتي يذهب إلى تحريمها المجامع الفقهية، ودور الإفتاء، والمؤتمرات العلمية</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581"/>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w:t>
      </w:r>
    </w:p>
    <w:p w14:paraId="1D073AFB" w14:textId="77777777" w:rsidR="004E383D" w:rsidRPr="00001A51" w:rsidRDefault="004E383D" w:rsidP="004E383D">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الفرع الثالث: التفاوت اليسير:</w:t>
      </w:r>
    </w:p>
    <w:p w14:paraId="396E6F19" w14:textId="497B382B" w:rsidR="004E383D" w:rsidRPr="00001A51" w:rsidRDefault="004E383D" w:rsidP="004E383D">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أولاً:</w:t>
      </w:r>
      <w:r w:rsidR="0067036C" w:rsidRPr="00001A51">
        <w:rPr>
          <w:rFonts w:ascii="Arabic Transparent" w:hAnsi="Arabic Transparent" w:cs="Arabic Transparent" w:hint="cs"/>
          <w:b/>
          <w:bCs/>
          <w:sz w:val="28"/>
          <w:szCs w:val="28"/>
          <w:rtl/>
          <w:lang w:bidi="ar-JO"/>
        </w:rPr>
        <w:t xml:space="preserve"> </w:t>
      </w:r>
      <w:r w:rsidRPr="00001A51">
        <w:rPr>
          <w:rFonts w:ascii="Arabic Transparent" w:hAnsi="Arabic Transparent" w:cs="Arabic Transparent"/>
          <w:b/>
          <w:bCs/>
          <w:sz w:val="28"/>
          <w:szCs w:val="28"/>
          <w:rtl/>
          <w:lang w:bidi="ar-JO"/>
        </w:rPr>
        <w:t>حقيقة التفاوت اليسير:</w:t>
      </w:r>
    </w:p>
    <w:p w14:paraId="0B6E2E33" w14:textId="77777777" w:rsidR="003C1E26" w:rsidRPr="00001A51" w:rsidRDefault="005D7B91" w:rsidP="003C1E26">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b/>
          <w:bCs/>
          <w:sz w:val="28"/>
          <w:szCs w:val="28"/>
          <w:rtl/>
          <w:lang w:bidi="ar-JO"/>
        </w:rPr>
        <w:t xml:space="preserve">     </w:t>
      </w:r>
      <w:r w:rsidR="004E383D" w:rsidRPr="00001A51">
        <w:rPr>
          <w:rFonts w:ascii="Arabic Transparent" w:hAnsi="Arabic Transparent" w:cs="Arabic Transparent"/>
          <w:sz w:val="28"/>
          <w:szCs w:val="28"/>
          <w:rtl/>
          <w:lang w:bidi="ar-JO"/>
        </w:rPr>
        <w:t>يتكون هذا التفاوت من اتحاد الدليل الكلي مع تباين قليل بين أحد العوضين بالقدر أو الوصف</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582"/>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xml:space="preserve"> وفي أبواب المعاملات، وصفه الفقهاء بالتفاوت اليسير الذي لا يؤثر على صحة المعاملة فما مشروعيته؟</w:t>
      </w:r>
    </w:p>
    <w:p w14:paraId="5716726A" w14:textId="6D5FB34B" w:rsidR="004E383D" w:rsidRPr="00001A51" w:rsidRDefault="005D7B91" w:rsidP="003C1E26">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اتفق الفقهاء الأربعة من الحنفية</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583"/>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والمالكية</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584"/>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والشافعية</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585"/>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والحنابلة،</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586"/>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xml:space="preserve"> على مشروعية التفاوت اليسير الذي لا يمكن التخلص منه والذي يرد على المعاملة من غير تعمد وقصد والذي يتسامح به الناس في معاملاتهم لصعوبة التحرز منه، وتقويم اليسير في المعاملات عند الفقهاء كما يأتي: </w:t>
      </w:r>
    </w:p>
    <w:p w14:paraId="2B95B7C7" w14:textId="66C36E08" w:rsidR="001B2914" w:rsidRPr="00001A51" w:rsidRDefault="006D4091" w:rsidP="003C1E26">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hint="cs"/>
          <w:sz w:val="28"/>
          <w:szCs w:val="28"/>
          <w:rtl/>
          <w:lang w:bidi="ar-JO"/>
        </w:rPr>
        <w:t xml:space="preserve"> </w:t>
      </w:r>
      <w:r w:rsidR="003C1E26" w:rsidRPr="00001A51">
        <w:rPr>
          <w:rFonts w:ascii="Arabic Transparent" w:hAnsi="Arabic Transparent" w:cs="Arabic Transparent" w:hint="cs"/>
          <w:sz w:val="28"/>
          <w:szCs w:val="28"/>
          <w:rtl/>
          <w:lang w:bidi="ar-JO"/>
        </w:rPr>
        <w:t xml:space="preserve">    </w:t>
      </w:r>
      <w:r w:rsidR="004E383D" w:rsidRPr="00001A51">
        <w:rPr>
          <w:rFonts w:ascii="Arabic Transparent" w:hAnsi="Arabic Transparent" w:cs="Arabic Transparent"/>
          <w:sz w:val="28"/>
          <w:szCs w:val="28"/>
          <w:rtl/>
          <w:lang w:bidi="ar-JO"/>
        </w:rPr>
        <w:t>فالحنفية يعرّفون التفاوت اليسير المعفو عنه، سواء بغبن، أو غرر، أو جهالة، أو عيب، وهو "ما ‌يدخل ‌تحت ‌تقويم ‌المقومين، وما يتغابن الناس فيه عادةً"</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587"/>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xml:space="preserve"> مثل وزن قشور اللوز وأمثالها، ومن التعريف السابق يتبين: </w:t>
      </w:r>
      <w:r w:rsidR="00956EF1" w:rsidRPr="00001A51">
        <w:rPr>
          <w:rFonts w:ascii="Arabic Transparent" w:hAnsi="Arabic Transparent" w:cs="Arabic Transparent" w:hint="cs"/>
          <w:sz w:val="28"/>
          <w:szCs w:val="28"/>
          <w:rtl/>
          <w:lang w:bidi="ar-JO"/>
        </w:rPr>
        <w:t>"</w:t>
      </w:r>
      <w:r w:rsidR="004E383D" w:rsidRPr="00001A51">
        <w:rPr>
          <w:rFonts w:ascii="Arabic Transparent" w:hAnsi="Arabic Transparent" w:cs="Arabic Transparent"/>
          <w:sz w:val="28"/>
          <w:szCs w:val="28"/>
          <w:rtl/>
          <w:lang w:bidi="ar-JO"/>
        </w:rPr>
        <w:t xml:space="preserve">أن ما ‌يدخل ‌تحت ‌تقويم ‌المقومين، لا يتحقق كونه زيادة، وكأنه في عرف </w:t>
      </w:r>
    </w:p>
    <w:p w14:paraId="13303290" w14:textId="7DB4AE4E" w:rsidR="00956EF1" w:rsidRPr="00001A51" w:rsidRDefault="004E383D" w:rsidP="004E383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lastRenderedPageBreak/>
        <w:t>المقيمين يسير</w:t>
      </w:r>
      <w:r w:rsidR="00956EF1" w:rsidRPr="00001A51">
        <w:rPr>
          <w:rFonts w:ascii="Arabic Transparent" w:hAnsi="Arabic Transparent" w:cs="Arabic Transparent" w:hint="cs"/>
          <w:sz w:val="28"/>
          <w:szCs w:val="28"/>
          <w:rtl/>
          <w:lang w:bidi="ar-JO"/>
        </w:rPr>
        <w:t>"</w:t>
      </w:r>
      <w:r w:rsidRPr="00001A51">
        <w:rPr>
          <w:rFonts w:ascii="Arabic Transparent" w:hAnsi="Arabic Transparent" w:cs="Arabic Transparent"/>
          <w:sz w:val="28"/>
          <w:szCs w:val="28"/>
          <w:rtl/>
          <w:lang w:bidi="ar-JO"/>
        </w:rPr>
        <w:t>، فهو أن يقوّمه مقوِّم وهو صحيح بألف، ويقومه مقوِّم آخر بهذا العيب اليسير بألف</w:t>
      </w:r>
      <w:r w:rsidR="00956EF1" w:rsidRPr="00001A51">
        <w:rPr>
          <w:rFonts w:ascii="Arabic Transparent" w:hAnsi="Arabic Transparent" w:cs="Arabic Transparent" w:hint="cs"/>
          <w:sz w:val="28"/>
          <w:szCs w:val="28"/>
          <w:rtl/>
          <w:lang w:bidi="ar-JO"/>
        </w:rPr>
        <w:t>"</w:t>
      </w:r>
      <w:r w:rsidR="00956EF1" w:rsidRPr="00001A51">
        <w:rPr>
          <w:rFonts w:ascii="Arabic Transparent" w:hAnsi="Arabic Transparent" w:cs="Arabic Transparent"/>
          <w:sz w:val="28"/>
          <w:szCs w:val="28"/>
          <w:vertAlign w:val="superscript"/>
          <w:rtl/>
          <w:lang w:bidi="ar-JO"/>
        </w:rPr>
        <w:t>(</w:t>
      </w:r>
      <w:r w:rsidR="00956EF1" w:rsidRPr="00001A51">
        <w:rPr>
          <w:rFonts w:ascii="Arabic Transparent" w:hAnsi="Arabic Transparent" w:cs="Arabic Transparent"/>
          <w:sz w:val="28"/>
          <w:szCs w:val="28"/>
          <w:vertAlign w:val="superscript"/>
          <w:rtl/>
          <w:lang w:bidi="ar-JO"/>
        </w:rPr>
        <w:footnoteReference w:id="588"/>
      </w:r>
      <w:r w:rsidR="00956EF1" w:rsidRPr="00001A51">
        <w:rPr>
          <w:rFonts w:ascii="Arabic Transparent" w:hAnsi="Arabic Transparent" w:cs="Arabic Transparent"/>
          <w:sz w:val="28"/>
          <w:szCs w:val="28"/>
          <w:vertAlign w:val="superscript"/>
          <w:rtl/>
          <w:lang w:bidi="ar-JO"/>
        </w:rPr>
        <w:t>)</w:t>
      </w:r>
      <w:r w:rsidR="00956EF1" w:rsidRPr="00001A51">
        <w:rPr>
          <w:rFonts w:ascii="Arabic Transparent" w:hAnsi="Arabic Transparent" w:cs="Arabic Transparent" w:hint="cs"/>
          <w:sz w:val="28"/>
          <w:szCs w:val="28"/>
          <w:rtl/>
          <w:lang w:bidi="ar-JO"/>
        </w:rPr>
        <w:t xml:space="preserve">، </w:t>
      </w:r>
      <w:r w:rsidRPr="00001A51">
        <w:rPr>
          <w:rFonts w:ascii="Arabic Transparent" w:hAnsi="Arabic Transparent" w:cs="Arabic Transparent"/>
          <w:sz w:val="28"/>
          <w:szCs w:val="28"/>
          <w:rtl/>
          <w:lang w:bidi="ar-JO"/>
        </w:rPr>
        <w:t>فكأنه لا يقع فرقٌ بيِّن عند التفاوت اليسير، فلا يترتب عليه نزاع بين المتعاقدين.</w:t>
      </w:r>
    </w:p>
    <w:p w14:paraId="178FD502" w14:textId="77777777" w:rsidR="00956EF1" w:rsidRPr="00001A51" w:rsidRDefault="00956EF1">
      <w:pPr>
        <w:bidi w:val="0"/>
        <w:spacing w:after="0" w:line="240" w:lineRule="auto"/>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br w:type="page"/>
      </w:r>
    </w:p>
    <w:p w14:paraId="3B1080ED" w14:textId="123D0CE9" w:rsidR="004E383D" w:rsidRPr="00001A51" w:rsidRDefault="005D7B91" w:rsidP="004E383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"وقدر محمد بن الحسن الزيادة القليلة التي يتغابن في مثلها بنصف العشر، فقال: إن كانت نصف العشر أو أقل فهي مما يتغابن في مثلها، وإن كانت أكثر من نصف العشر فهي مما لا يتغابن في مثلها"</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589"/>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w:t>
      </w:r>
    </w:p>
    <w:p w14:paraId="032EC9EF" w14:textId="59416A79" w:rsidR="004E383D" w:rsidRPr="00001A51" w:rsidRDefault="005D7B91" w:rsidP="004E383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 xml:space="preserve">وفي المشهور عند المالكية، </w:t>
      </w:r>
      <w:r w:rsidR="00395D2E" w:rsidRPr="00001A51">
        <w:rPr>
          <w:rFonts w:ascii="Arabic Transparent" w:hAnsi="Arabic Transparent" w:cs="Arabic Transparent" w:hint="cs"/>
          <w:sz w:val="28"/>
          <w:szCs w:val="28"/>
          <w:rtl/>
          <w:lang w:bidi="ar-JO"/>
        </w:rPr>
        <w:t>"</w:t>
      </w:r>
      <w:r w:rsidR="004E383D" w:rsidRPr="00001A51">
        <w:rPr>
          <w:rFonts w:ascii="Arabic Transparent" w:hAnsi="Arabic Transparent" w:cs="Arabic Transparent"/>
          <w:sz w:val="28"/>
          <w:szCs w:val="28"/>
          <w:rtl/>
          <w:lang w:bidi="ar-JO"/>
        </w:rPr>
        <w:t>كل ما دون الثلث يعد يسيرا</w:t>
      </w:r>
      <w:r w:rsidR="00395D2E" w:rsidRPr="00001A51">
        <w:rPr>
          <w:rFonts w:ascii="Arabic Transparent" w:hAnsi="Arabic Transparent" w:cs="Arabic Transparent" w:hint="cs"/>
          <w:sz w:val="28"/>
          <w:szCs w:val="28"/>
          <w:rtl/>
          <w:lang w:bidi="ar-JO"/>
        </w:rPr>
        <w:t>"</w:t>
      </w:r>
      <w:r w:rsidR="004E383D" w:rsidRPr="00001A51">
        <w:rPr>
          <w:rFonts w:ascii="Arabic Transparent" w:hAnsi="Arabic Transparent" w:cs="Arabic Transparent"/>
          <w:sz w:val="28"/>
          <w:szCs w:val="28"/>
          <w:rtl/>
          <w:lang w:bidi="ar-JO"/>
        </w:rPr>
        <w:t>ً</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590"/>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والثلث كثير عندهم وهي قاعدة في الفروع الفقهية تسري في القصاص والبيوع والضمان وغيرها من الأبواب الفقهية، ويتفق معهم الشافعية في القديم</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591"/>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xml:space="preserve"> والحنابلة</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592"/>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xml:space="preserve"> في تحديد الضمان في حال هلاك الثمار تكون على المشتري يذهب به ما تأكل الطير ويسقط من الريح وغيرها.</w:t>
      </w:r>
    </w:p>
    <w:p w14:paraId="35059464" w14:textId="67437E69" w:rsidR="004E383D" w:rsidRPr="00001A51" w:rsidRDefault="005D7B91" w:rsidP="004E383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وعند الشافعية ضبطوا اليسير في العرف حيث قالوا</w:t>
      </w:r>
      <w:r w:rsidR="00151AED"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هو ما ‌يُتغابن ‌بمثله ‌في ‌العادة أو بما يدخل تحت تقويم المقومين"</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593"/>
      </w:r>
      <w:r w:rsidR="004E383D" w:rsidRPr="00001A51">
        <w:rPr>
          <w:rFonts w:ascii="Arabic Transparent" w:hAnsi="Arabic Transparent" w:cs="Arabic Transparent"/>
          <w:sz w:val="28"/>
          <w:szCs w:val="28"/>
          <w:vertAlign w:val="superscript"/>
          <w:rtl/>
          <w:lang w:bidi="ar-JO"/>
        </w:rPr>
        <w:t>)</w:t>
      </w:r>
      <w:r w:rsidR="004D108D" w:rsidRPr="00001A51">
        <w:rPr>
          <w:rFonts w:ascii="Arabic Transparent" w:hAnsi="Arabic Transparent" w:cs="Arabic Transparent" w:hint="cs"/>
          <w:sz w:val="28"/>
          <w:szCs w:val="28"/>
          <w:rtl/>
          <w:lang w:bidi="ar-JO"/>
        </w:rPr>
        <w:t xml:space="preserve">، </w:t>
      </w:r>
      <w:r w:rsidR="004E383D" w:rsidRPr="00001A51">
        <w:rPr>
          <w:rFonts w:ascii="Arabic Transparent" w:hAnsi="Arabic Transparent" w:cs="Arabic Transparent"/>
          <w:sz w:val="28"/>
          <w:szCs w:val="28"/>
          <w:rtl/>
          <w:lang w:bidi="ar-JO"/>
        </w:rPr>
        <w:t>فيتفق مع مفهوم الحنفية السابق مع التأكيد على أهمية العرف عند تنزيل الحكم على محله وتحقيق المناط في المعاملات التي يقع فيها اليسير من التفاوت.</w:t>
      </w:r>
    </w:p>
    <w:p w14:paraId="23FB6BCA" w14:textId="462D7596" w:rsidR="001B2914" w:rsidRPr="00001A51" w:rsidRDefault="005D7B91" w:rsidP="003C1E26">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وعند الحنابلة يعتبر العرف والعادة في المقام الأول وليس حجم التفاوت حيث قالوا: "يثبت الخيار ولو كان غبنه يسيراً لا يتغابن بمثله عادةً"</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594"/>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xml:space="preserve"> </w:t>
      </w:r>
    </w:p>
    <w:p w14:paraId="3FB38227" w14:textId="19CA3586" w:rsidR="004E383D" w:rsidRPr="00001A51" w:rsidRDefault="005D7B91" w:rsidP="004E383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 xml:space="preserve"> والذي نرجحه عند تحرير مصطلح التفاوت اليسير أنَّه "ما يتغابن الناس بمثله في العادة"</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595"/>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xml:space="preserve"> فهو مما يتسامح به الناس ولا يضر على الصحيح بصرف النظر عن المقدار والعدد؛ لأنه يتغير الحكم عليه بتغير الزمان، وعادات الناس مستمرة في تفويت صفة مرغوبة، أو عدد، أو وصف معين.</w:t>
      </w:r>
    </w:p>
    <w:p w14:paraId="79A086AD" w14:textId="77777777" w:rsidR="00956EF1" w:rsidRPr="00001A51" w:rsidRDefault="005D7B91" w:rsidP="001B2914">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lastRenderedPageBreak/>
        <w:t xml:space="preserve">     </w:t>
      </w:r>
      <w:r w:rsidR="004E383D" w:rsidRPr="00001A51">
        <w:rPr>
          <w:rFonts w:ascii="Arabic Transparent" w:hAnsi="Arabic Transparent" w:cs="Arabic Transparent"/>
          <w:sz w:val="28"/>
          <w:szCs w:val="28"/>
          <w:rtl/>
          <w:lang w:bidi="ar-JO"/>
        </w:rPr>
        <w:t>وبعد الاستقراء السابق تبيّن للباحث أنَّ مراد الفقهاء من المسامحة في اليسير من الصفات أو المقدار إذا كان مما يصعب الاحتراز عنه لضآلته، فحكمه في نظر الشرع حكم المعدوم، إلا في</w:t>
      </w:r>
    </w:p>
    <w:p w14:paraId="3D187F4C" w14:textId="77777777" w:rsidR="00956EF1" w:rsidRPr="00001A51" w:rsidRDefault="00956EF1">
      <w:pPr>
        <w:bidi w:val="0"/>
        <w:spacing w:after="0" w:line="240" w:lineRule="auto"/>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br w:type="page"/>
      </w:r>
    </w:p>
    <w:p w14:paraId="3FA4E09B" w14:textId="1E5BA6BE" w:rsidR="004E383D" w:rsidRPr="00001A51" w:rsidRDefault="004E383D" w:rsidP="001B2914">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الأصناف التي تحدثنا عنها سابقاً، والتي يمتنع فيها التفاوت في اليسير والفاحش لورود الدليل الجزئي الخاص.</w:t>
      </w:r>
    </w:p>
    <w:p w14:paraId="5CEC808C" w14:textId="5797B460" w:rsidR="003C1E26" w:rsidRPr="00001A51" w:rsidRDefault="005D7B91" w:rsidP="00956EF1">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ومع ذلك فإنَّ قاعدة "اليسير مغتفر"</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596"/>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xml:space="preserve"> عند التفاوت ليس مطردة في جميع الجزئيات الفقهية المستجدة في باب المعاملات؛ لأنَّ لكل مسألة ظروفها الخاصة التي يجب أن تبحث مع مراعاة جملة من أصول الضبط التي سوف يأتي بيانها في المبحث الثالث من هذا الفصل</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597"/>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w:t>
      </w:r>
    </w:p>
    <w:p w14:paraId="24CE5DE9" w14:textId="77777777" w:rsidR="004E383D" w:rsidRPr="00001A51" w:rsidRDefault="004E383D" w:rsidP="004E383D">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 xml:space="preserve">ثانياً: ما ينشأ عن التفاوت اليسير </w:t>
      </w:r>
    </w:p>
    <w:p w14:paraId="1BF5689F" w14:textId="056D7A08" w:rsidR="004E383D" w:rsidRPr="00001A51" w:rsidRDefault="005D7B91" w:rsidP="004E383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ينشأ عن التفاوت اليسير عند تحقيق المناط الخاص الحكم بصحة العقد وجواز المعاملة، ولا يفضي وجود يسير التفاوت إلى بطلان العقد، أو فسخه، أو ثبوت الخيار، حيث يتسامح الناس في الجهالة أو العيب أو الغبن اليسير في المعاملات بدافع الحاجة إلى إجراء المعاملة، وهو داخل في دائرة العفو مادام أنه لم يصل حد التفاوت الذي يتنازع فيه الناس، وينقسم في المعاملات إلى عدة أقسام، منها: اليسير في القدر: كقلة المال، واليسير في الصفة: كفوات صفة غير مرغوبة، واليسير في الزمن: كفوات زمن يسير عند التقابض، واليسير في المساحة أو المسافة: كمقدار يسير في مساحة الأرض</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598"/>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w:t>
      </w:r>
    </w:p>
    <w:p w14:paraId="77EB84F7" w14:textId="2158E3B4" w:rsidR="00956EF1" w:rsidRPr="00001A51" w:rsidRDefault="005D7B91" w:rsidP="00956EF1">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 xml:space="preserve">ولا يكفي عند تحقيق المناط الخاص أن تطبق القاعدة العامة </w:t>
      </w:r>
      <w:r w:rsidR="00956EF1" w:rsidRPr="00001A51">
        <w:rPr>
          <w:rFonts w:ascii="Arabic Transparent" w:hAnsi="Arabic Transparent" w:cs="Arabic Transparent" w:hint="cs"/>
          <w:sz w:val="28"/>
          <w:szCs w:val="28"/>
          <w:rtl/>
          <w:lang w:bidi="ar-JO"/>
        </w:rPr>
        <w:t>"</w:t>
      </w:r>
      <w:r w:rsidR="004E383D" w:rsidRPr="00001A51">
        <w:rPr>
          <w:rFonts w:ascii="Arabic Transparent" w:hAnsi="Arabic Transparent" w:cs="Arabic Transparent"/>
          <w:sz w:val="28"/>
          <w:szCs w:val="28"/>
          <w:rtl/>
          <w:lang w:bidi="ar-JO"/>
        </w:rPr>
        <w:t>العفو عن اليسير</w:t>
      </w:r>
      <w:r w:rsidR="00956EF1" w:rsidRPr="00001A51">
        <w:rPr>
          <w:rFonts w:ascii="Arabic Transparent" w:hAnsi="Arabic Transparent" w:cs="Arabic Transparent" w:hint="cs"/>
          <w:sz w:val="28"/>
          <w:szCs w:val="28"/>
          <w:rtl/>
          <w:lang w:bidi="ar-JO"/>
        </w:rPr>
        <w:t>"</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599"/>
      </w:r>
      <w:r w:rsidR="004E383D" w:rsidRPr="00001A51">
        <w:rPr>
          <w:rFonts w:ascii="Arabic Transparent" w:hAnsi="Arabic Transparent" w:cs="Arabic Transparent"/>
          <w:sz w:val="28"/>
          <w:szCs w:val="28"/>
          <w:vertAlign w:val="superscript"/>
          <w:rtl/>
          <w:lang w:bidi="ar-JO"/>
        </w:rPr>
        <w:t>)</w:t>
      </w:r>
      <w:r w:rsidR="00400837" w:rsidRPr="00001A51">
        <w:rPr>
          <w:rFonts w:ascii="Arabic Transparent" w:hAnsi="Arabic Transparent" w:cs="Arabic Transparent" w:hint="cs"/>
          <w:sz w:val="28"/>
          <w:szCs w:val="28"/>
          <w:rtl/>
          <w:lang w:bidi="ar-JO"/>
        </w:rPr>
        <w:t xml:space="preserve">، </w:t>
      </w:r>
      <w:r w:rsidR="004E383D" w:rsidRPr="00001A51">
        <w:rPr>
          <w:rFonts w:ascii="Arabic Transparent" w:hAnsi="Arabic Transparent" w:cs="Arabic Transparent"/>
          <w:sz w:val="28"/>
          <w:szCs w:val="28"/>
          <w:rtl/>
          <w:lang w:bidi="ar-JO"/>
        </w:rPr>
        <w:t>بل لابد من تحقيقها في الواقعة المعينة عبر مراعاة عرف السوق وتقويم أهل الخبرة، والظروف المتعلقة بالعقد لذا كما تبين سابقاً، إنََّ الفقهاء قرروا أنَّ التفاوت اليسير ما يدخل تحت تقويم المقومين، أي ما يمكن أن تختلف فيه تقديرات الخبراء عادةً ولا يستنكره أحد منهم، ويظهر أثر هذا الضابط المهم في حماية التوازن العقدي بين المتعاملين دون تشدد وتضييق على حركة المعاملات المالية، فلو أخذ الفقهاء بأدنى حد لإبطال العقود وإثبات الخيار، لتعطلت مصالح الناس وكثرت الخلافات والإشكالات، ومن هنا كان التسامح بالقليل تحقيقاً لمقاصد الشريعة الإسلامية في رفع المشقة عن الناس وتيسير التعامل بينهم</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600"/>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w:t>
      </w:r>
      <w:r w:rsidR="00956EF1" w:rsidRPr="00001A51">
        <w:rPr>
          <w:rFonts w:ascii="Arabic Transparent" w:hAnsi="Arabic Transparent" w:cs="Arabic Transparent"/>
          <w:sz w:val="28"/>
          <w:szCs w:val="28"/>
          <w:rtl/>
          <w:lang w:bidi="ar-JO"/>
        </w:rPr>
        <w:br w:type="page"/>
      </w:r>
    </w:p>
    <w:p w14:paraId="23E02D0D" w14:textId="3DDD72A9" w:rsidR="003C1E26" w:rsidRPr="00001A51" w:rsidRDefault="005D7B91" w:rsidP="00956EF1">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وخلاصة القول إنَّ على المجتهد عند تحقيق المناط الخاص أن ينظر في مجريات الوقائع ويمعن النظر في كل جزئية على حدة لتحديد إذا كان التفاوت داخلاً في حدود المغتفر عرفاً أو خارجاً عنه، فإن دخل به كان التفاوت رجعاً إلى مرتبة الطبيعي، وإذا كان خارجاً عن حدود العرف المغتفر يعامل التفاوت معاملة التفاوت الممنوع الذي بيناه سابقاً، والتفاوت الفاحش الذي نتحدث عنه تالياً.</w:t>
      </w:r>
    </w:p>
    <w:p w14:paraId="15566AD6" w14:textId="7D741CEF" w:rsidR="004E383D" w:rsidRPr="00001A51" w:rsidRDefault="004E383D" w:rsidP="004E383D">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الفرع الرابع: التفاوت الفاحش:</w:t>
      </w:r>
    </w:p>
    <w:p w14:paraId="2F4D4D5D" w14:textId="77777777" w:rsidR="004E383D" w:rsidRPr="00001A51" w:rsidRDefault="004E383D" w:rsidP="004E383D">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 xml:space="preserve">أولاً: حقيقة التفاوت الفاحش: </w:t>
      </w:r>
    </w:p>
    <w:p w14:paraId="146BBAE1" w14:textId="5850579E" w:rsidR="004E383D" w:rsidRPr="00001A51" w:rsidRDefault="00744A1A" w:rsidP="00400837">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hint="cs"/>
          <w:sz w:val="28"/>
          <w:szCs w:val="28"/>
          <w:rtl/>
          <w:lang w:bidi="ar-JO"/>
        </w:rPr>
        <w:t xml:space="preserve">     </w:t>
      </w:r>
      <w:r w:rsidR="004E383D" w:rsidRPr="00001A51">
        <w:rPr>
          <w:rFonts w:ascii="Arabic Transparent" w:hAnsi="Arabic Transparent" w:cs="Arabic Transparent"/>
          <w:sz w:val="28"/>
          <w:szCs w:val="28"/>
          <w:rtl/>
          <w:lang w:bidi="ar-JO"/>
        </w:rPr>
        <w:t xml:space="preserve">يتكون هذا التفاوت من </w:t>
      </w:r>
      <w:r w:rsidR="00956EF1" w:rsidRPr="00001A51">
        <w:rPr>
          <w:rFonts w:ascii="Arabic Transparent" w:hAnsi="Arabic Transparent" w:cs="Arabic Transparent" w:hint="cs"/>
          <w:sz w:val="28"/>
          <w:szCs w:val="28"/>
          <w:rtl/>
          <w:lang w:bidi="ar-JO"/>
        </w:rPr>
        <w:t>"</w:t>
      </w:r>
      <w:r w:rsidR="004E383D" w:rsidRPr="00001A51">
        <w:rPr>
          <w:rFonts w:ascii="Arabic Transparent" w:hAnsi="Arabic Transparent" w:cs="Arabic Transparent"/>
          <w:sz w:val="28"/>
          <w:szCs w:val="28"/>
          <w:rtl/>
          <w:lang w:bidi="ar-JO"/>
        </w:rPr>
        <w:t>اتحاد الدليل الكلي مع تباين كثير بين أحد العوضين</w:t>
      </w:r>
      <w:r w:rsidR="00956EF1" w:rsidRPr="00001A51">
        <w:rPr>
          <w:rFonts w:ascii="Arabic Transparent" w:hAnsi="Arabic Transparent" w:cs="Arabic Transparent" w:hint="cs"/>
          <w:sz w:val="28"/>
          <w:szCs w:val="28"/>
          <w:rtl/>
          <w:lang w:bidi="ar-JO"/>
        </w:rPr>
        <w:t>"</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601"/>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وقد وضعه الفقهاء ضمن أبواب المعاملات، وسمي بالتفاوت الفاحش كناية عن الكثرة المبالغ بها، والتي تؤثر في صحة المعاملة</w:t>
      </w:r>
      <w:r w:rsidR="001B2914" w:rsidRPr="00001A51">
        <w:rPr>
          <w:rFonts w:ascii="Arabic Transparent" w:hAnsi="Arabic Transparent" w:cs="Arabic Transparent" w:hint="cs"/>
          <w:sz w:val="28"/>
          <w:szCs w:val="28"/>
          <w:rtl/>
          <w:lang w:bidi="ar-JO"/>
        </w:rPr>
        <w:t>،</w:t>
      </w:r>
      <w:r w:rsidR="004E383D" w:rsidRPr="00001A51">
        <w:rPr>
          <w:rFonts w:ascii="Arabic Transparent" w:hAnsi="Arabic Transparent" w:cs="Arabic Transparent"/>
          <w:sz w:val="28"/>
          <w:szCs w:val="28"/>
          <w:rtl/>
          <w:lang w:bidi="ar-JO"/>
        </w:rPr>
        <w:t xml:space="preserve"> حيث اتفق الفقهاء من الحنفية</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602"/>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والمالكية</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603"/>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والشافعية</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604"/>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والحنابلة</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605"/>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xml:space="preserve">، على عدم صحة المعاملة بوجود التفاوت الفاحش المفضي إلى الغرر أو الغبن الذي ينشأ عنه ضرر لأحد أطراف المعاملة، وحجتهم في ذلك منع أكل أموال الناس بالباطل ومنع صور التحايل الظاهر والباطن والذي منه التفاوت الفاحش بين أحد البدلين في المعاملة من خلال الغبن أو الخداع والتغرير والوصول إلى الكسب بطريقة غير مشروعة، ويعرف التفاوت الفاحش عند الفقهاء بما يأتي: </w:t>
      </w:r>
    </w:p>
    <w:p w14:paraId="3897F7AD" w14:textId="56AC105F" w:rsidR="00956EF1" w:rsidRPr="00001A51" w:rsidRDefault="005D7B91" w:rsidP="004E383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 xml:space="preserve"> يعرّف التفاوت الفاحش عند الحنفية: "هو ما لا يدخل تحت تقويم المقومين، وقيل: ما لا يتغابن الناس فيه"</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606"/>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لأنَّ ما يدخل تحت تقويم المقومين عرفنا سابقاً أنه التفاوت اليسير، أما الفاحش تختلف به تقديرات المقومين اختلافاً كبيراً، والمعتبر عندهم في تحديده العرف الجاري، وخبرة المقومين في كونه يسيراً، أو فاحشاً.</w:t>
      </w:r>
    </w:p>
    <w:p w14:paraId="21FCFFD4" w14:textId="77777777" w:rsidR="00956EF1" w:rsidRPr="00001A51" w:rsidRDefault="00956EF1">
      <w:pPr>
        <w:bidi w:val="0"/>
        <w:spacing w:after="0" w:line="240" w:lineRule="auto"/>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lastRenderedPageBreak/>
        <w:br w:type="page"/>
      </w:r>
    </w:p>
    <w:p w14:paraId="3905722D" w14:textId="3DE63761" w:rsidR="004E383D" w:rsidRPr="00001A51" w:rsidRDefault="005D7B91" w:rsidP="004E383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 xml:space="preserve"> وعند المالكية: "ما خرج عن المعتاد بين الناس خروجًا بيّنًا وفي رواية ما زاد عن الثلث"</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607"/>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xml:space="preserve"> فالظاهر أنهم يقدرون التفاوت الفاحش بالثلث وما زاد عليه وربطه البعض بالعرف وما خرج عن المعتاد عليه بين الناس في البيوع والتعاملات التجارية.</w:t>
      </w:r>
    </w:p>
    <w:p w14:paraId="20FA0962" w14:textId="20851861" w:rsidR="004E383D" w:rsidRPr="00001A51" w:rsidRDefault="005D7B91" w:rsidP="004E383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وعرّفه الشافعية بتعريف قريب من تعريف الحنفية السابق، حيث قالوا:</w:t>
      </w:r>
      <w:r w:rsidR="00151AED"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ما لا يحتمل غالباً أو ما لا يتغابن التجار بمثله في العادة"</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608"/>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xml:space="preserve"> </w:t>
      </w:r>
    </w:p>
    <w:p w14:paraId="308CA703" w14:textId="2FFD6093" w:rsidR="001B2914" w:rsidRPr="00001A51" w:rsidRDefault="005D7B91" w:rsidP="00400837">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وعرّفه الحنابلة بقولهم:</w:t>
      </w:r>
      <w:r w:rsidR="00151AED"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ما يستفحشه كل إنسان في نفسه"</w:t>
      </w:r>
      <w:r w:rsidR="00395D2E" w:rsidRPr="00001A51">
        <w:rPr>
          <w:rFonts w:ascii="Arabic Transparent" w:hAnsi="Arabic Transparent" w:cs="Arabic Transparent"/>
          <w:sz w:val="28"/>
          <w:szCs w:val="28"/>
          <w:vertAlign w:val="superscript"/>
          <w:rtl/>
          <w:lang w:bidi="ar-JO"/>
        </w:rPr>
        <w:t>(</w:t>
      </w:r>
      <w:r w:rsidR="00395D2E" w:rsidRPr="00001A51">
        <w:rPr>
          <w:rFonts w:ascii="Arabic Transparent" w:hAnsi="Arabic Transparent" w:cs="Arabic Transparent"/>
          <w:sz w:val="28"/>
          <w:szCs w:val="28"/>
          <w:vertAlign w:val="superscript"/>
          <w:rtl/>
          <w:lang w:bidi="ar-JO"/>
        </w:rPr>
        <w:footnoteReference w:id="609"/>
      </w:r>
      <w:r w:rsidR="00395D2E" w:rsidRPr="00001A51">
        <w:rPr>
          <w:rFonts w:ascii="Arabic Transparent" w:hAnsi="Arabic Transparent" w:cs="Arabic Transparent"/>
          <w:sz w:val="28"/>
          <w:szCs w:val="28"/>
          <w:vertAlign w:val="superscript"/>
          <w:rtl/>
          <w:lang w:bidi="ar-JO"/>
        </w:rPr>
        <w:t>)</w:t>
      </w:r>
      <w:r w:rsidR="00395D2E" w:rsidRPr="00001A51">
        <w:rPr>
          <w:rFonts w:ascii="Arabic Transparent" w:hAnsi="Arabic Transparent" w:cs="Arabic Transparent" w:hint="cs"/>
          <w:sz w:val="28"/>
          <w:szCs w:val="28"/>
          <w:rtl/>
          <w:lang w:bidi="ar-JO"/>
        </w:rPr>
        <w:t>،</w:t>
      </w:r>
      <w:r w:rsidR="004E383D" w:rsidRPr="00001A51">
        <w:rPr>
          <w:rFonts w:ascii="Arabic Transparent" w:hAnsi="Arabic Transparent" w:cs="Arabic Transparent"/>
          <w:sz w:val="28"/>
          <w:szCs w:val="28"/>
          <w:rtl/>
          <w:lang w:bidi="ar-JO"/>
        </w:rPr>
        <w:t xml:space="preserve"> ولم يبين التعريف هل الضابط في تحديد القدر الفاحش العرف أم التقدير الشخصي، فبعض الشراح يقولون: "ما فحش في نفس أوساط الناس</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610"/>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مشيراً إلى العرف.</w:t>
      </w:r>
    </w:p>
    <w:p w14:paraId="39F56A11" w14:textId="099C904E" w:rsidR="004E383D" w:rsidRPr="00001A51" w:rsidRDefault="005D7B91" w:rsidP="004E383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 xml:space="preserve">وقد عدَّ الفقهاء التفاوت الفاحش </w:t>
      </w:r>
      <w:r w:rsidR="00956EF1" w:rsidRPr="00001A51">
        <w:rPr>
          <w:rFonts w:ascii="Arabic Transparent" w:hAnsi="Arabic Transparent" w:cs="Arabic Transparent" w:hint="cs"/>
          <w:sz w:val="28"/>
          <w:szCs w:val="28"/>
          <w:rtl/>
          <w:lang w:bidi="ar-JO"/>
        </w:rPr>
        <w:t>"</w:t>
      </w:r>
      <w:r w:rsidR="004E383D" w:rsidRPr="00001A51">
        <w:rPr>
          <w:rFonts w:ascii="Arabic Transparent" w:hAnsi="Arabic Transparent" w:cs="Arabic Transparent"/>
          <w:sz w:val="28"/>
          <w:szCs w:val="28"/>
          <w:rtl/>
          <w:lang w:bidi="ar-JO"/>
        </w:rPr>
        <w:t>سبيلاً للمنازعة في المعاملات التي تغيب في العين كالسلم والاستصناع والمقاولة وغيرها من عقود الذمة</w:t>
      </w:r>
      <w:r w:rsidR="00956EF1" w:rsidRPr="00001A51">
        <w:rPr>
          <w:rFonts w:ascii="Arabic Transparent" w:hAnsi="Arabic Transparent" w:cs="Arabic Transparent" w:hint="cs"/>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611"/>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فكان العلاج من الشارع الحكيم أن يمنع أسباب النزاع والخلاف في المعاملات من خلال التخلص من الأوصاف الممنوعة كالغبن والغرر والجهالة والتحايل والخداع، وغيرها مما يفضي بطبعه إلى النزاع بين أطراف العقد.</w:t>
      </w:r>
    </w:p>
    <w:p w14:paraId="154C0CB1" w14:textId="218F9913" w:rsidR="00956EF1" w:rsidRPr="00001A51" w:rsidRDefault="005D7B91" w:rsidP="00956EF1">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ومن الفروع الفقهية التي وردت على التفاوت الفاحش عند الحنفية: "إذا استأجر الرجل ثوباً ليلبسه إلى الليل بأجر معلوم فهو جائز، وكذلك إذا استأجر دابة ليركبها إلى مكان معلوم فهو جائز، ولو لم يبين من يلبس أو من يركب لا يجوز"</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612"/>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وعدم الجواز بسبب الجهالة الفاحشة المفضية للتحريم فربّ مستأجر يفسد الثوب وآخر يحافظ عليه، وإذا كان التفاوت فاحشاً كمن استأجر الدابة للنقل وقيل للتاجر إنه نحيل البنية وعند استلامها تبين أنه سمين، فإن هذه الجهالة مفضية إلى النزاع ومانعة من التسليم والتسلم</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613"/>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w:t>
      </w:r>
      <w:r w:rsidR="00956EF1" w:rsidRPr="00001A51">
        <w:rPr>
          <w:rFonts w:ascii="Arabic Transparent" w:hAnsi="Arabic Transparent" w:cs="Arabic Transparent"/>
          <w:sz w:val="28"/>
          <w:szCs w:val="28"/>
          <w:rtl/>
          <w:lang w:bidi="ar-JO"/>
        </w:rPr>
        <w:br w:type="page"/>
      </w:r>
    </w:p>
    <w:p w14:paraId="2638F422" w14:textId="77777777" w:rsidR="003C1E26" w:rsidRPr="00001A51" w:rsidRDefault="005D7B91" w:rsidP="003C1E26">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ومن الأمثلة على التفاوت الفاحش في الجنس والتي تفسد العقد، "مما يوجب ‌التفاوت ‌الفاحش في الأغراض وكان راجعا إلى الجنس، كما إذا باع عبداً فإذا هي جارية ويفسد به العقد"</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614"/>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xml:space="preserve"> ولا تقسم الدور والأراضي المتعددة عند أبي حنيفة قسمة جمع منعاً للضرر، لوجود ‌التفاوت ‌الفاحش بين دار ودار، وأرض وأرض، بسبب اختلاف البناء والبقاع، فتعتبر في حكم جنسين مختلفين</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615"/>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w:t>
      </w:r>
    </w:p>
    <w:p w14:paraId="2305C3B4" w14:textId="6A9661F5" w:rsidR="004E383D" w:rsidRPr="00001A51" w:rsidRDefault="005D7B91" w:rsidP="003C1E26">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ومن الأمثلة التفاوت على الفاحش في الوزن والوصف: "لا يجوز القرض في الخبز، لا وزنًا ولا عددًا عند أبي حنيفة وأبي يوسف رحمهما الله"</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616"/>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وعللوا ذلك بوجود ‌التفاوت ‌الفاحش بين خبز وخبز؛ لاختلاف العجن، والنضج، والخفة والثقل في الوزن، والصغر والكبر في العدد، ولهذا لم يجز السلم فيه بالإجماع</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617"/>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w:t>
      </w:r>
    </w:p>
    <w:p w14:paraId="2F31A4FC" w14:textId="77777777" w:rsidR="004E383D" w:rsidRPr="00001A51" w:rsidRDefault="004E383D" w:rsidP="00AA6E98">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ثانياً: ما ينشأ عن التفاوت الفاحش:</w:t>
      </w:r>
    </w:p>
    <w:p w14:paraId="3AE6B88F" w14:textId="56A5522C" w:rsidR="004E383D" w:rsidRPr="00001A51" w:rsidRDefault="005D7B91" w:rsidP="00AA6E98">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يرفض الإسلام التفاوت الفاحش بكل صوره سواء أكان متعلقاً بالجنس، أو الوصف، أو القدر والذي تستأثر فيه فئة من الأفراد بمزيد ربح وفائدة من خلال استعمال وسائل غير مشروعة مما يؤدي إلى شعور الطرف الضعيف بالظلم والحقد، وينشب عندها النزاع والخلاف الذي يصل إلى القضاء؛ لذا جاء الإسلام الحكيم بأصول ضبط للتعامل المالي ليرسي قواعد التوازن الاقتصادي ويكبح جشع التاجر من التعدي على جيوب الفقراء والمساكين</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618"/>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w:t>
      </w:r>
    </w:p>
    <w:p w14:paraId="1E7562C4" w14:textId="77777777" w:rsidR="00A80E85" w:rsidRPr="00001A51" w:rsidRDefault="005D7B91" w:rsidP="003C1E26">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 xml:space="preserve">وينشأ عن التفاوت الفاحش في الأجناس أو الأوصاف أو المقادير عدم جواز المعاملة وبطلانها وانفساخ العقد لما يقع على طرف من أطرافه من الخداع والغش ما يلحق به الأذى والضرر، كما فرّق الفقهاء بين </w:t>
      </w:r>
      <w:r w:rsidR="00B51A32" w:rsidRPr="00001A51">
        <w:rPr>
          <w:rFonts w:ascii="Arabic Transparent" w:hAnsi="Arabic Transparent" w:cs="Arabic Transparent" w:hint="cs"/>
          <w:sz w:val="28"/>
          <w:szCs w:val="28"/>
          <w:rtl/>
          <w:lang w:bidi="ar-JO"/>
        </w:rPr>
        <w:t>"</w:t>
      </w:r>
      <w:r w:rsidR="004E383D" w:rsidRPr="00001A51">
        <w:rPr>
          <w:rFonts w:ascii="Arabic Transparent" w:hAnsi="Arabic Transparent" w:cs="Arabic Transparent"/>
          <w:sz w:val="28"/>
          <w:szCs w:val="28"/>
          <w:rtl/>
          <w:lang w:bidi="ar-JO"/>
        </w:rPr>
        <w:t>الغبن الفاحش المتولد من الخداع والاستغلال</w:t>
      </w:r>
      <w:r w:rsidR="00B51A32" w:rsidRPr="00001A51">
        <w:rPr>
          <w:rFonts w:ascii="Arabic Transparent" w:hAnsi="Arabic Transparent" w:cs="Arabic Transparent" w:hint="cs"/>
          <w:sz w:val="28"/>
          <w:szCs w:val="28"/>
          <w:rtl/>
          <w:lang w:bidi="ar-JO"/>
        </w:rPr>
        <w:t>"</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619"/>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وبين الغبن الذي وقع مع العلم والرضا به</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620"/>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لأنَّ الأثر يختلف باختلاف المنشأ والباعث، حيث اتفق الفقهاء من الحنفية</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621"/>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w:t>
      </w:r>
    </w:p>
    <w:p w14:paraId="6DDDEFFF" w14:textId="77777777" w:rsidR="00A80E85" w:rsidRPr="00001A51" w:rsidRDefault="00A80E85">
      <w:pPr>
        <w:bidi w:val="0"/>
        <w:spacing w:after="0" w:line="240" w:lineRule="auto"/>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lastRenderedPageBreak/>
        <w:br w:type="page"/>
      </w:r>
    </w:p>
    <w:p w14:paraId="40432209" w14:textId="185AC901" w:rsidR="004E383D" w:rsidRPr="00001A51" w:rsidRDefault="004E383D" w:rsidP="003C1E26">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والمالكية</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622"/>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والشافعية</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623"/>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والحنابلة</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624"/>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xml:space="preserve"> على حرمة الغبن الفاحش للمسترسِل</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625"/>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xml:space="preserve"> حيث يقول الرافعي: "الغبن الفاحش فهو الذي يثبت للمغبونين حق الفسخ عند من ذهب إلى جواز الفسخ به، فإن لم يفسخ لم يكن له الحق في المطالبة بمقدار ما غبن </w:t>
      </w:r>
      <w:r w:rsidR="00B154EE" w:rsidRPr="00001A51">
        <w:rPr>
          <w:rFonts w:ascii="Arabic Transparent" w:hAnsi="Arabic Transparent" w:cs="Arabic Transparent" w:hint="cs"/>
          <w:sz w:val="28"/>
          <w:szCs w:val="28"/>
          <w:rtl/>
          <w:lang w:bidi="ar-JO"/>
        </w:rPr>
        <w:t>به</w:t>
      </w:r>
      <w:r w:rsidR="00B154EE" w:rsidRPr="00001A51">
        <w:rPr>
          <w:rFonts w:ascii="Arabic Transparent" w:hAnsi="Arabic Transparent" w:cs="Arabic Transparent" w:hint="eastAsia"/>
          <w:sz w:val="28"/>
          <w:szCs w:val="28"/>
          <w:rtl/>
          <w:lang w:bidi="ar-JO"/>
        </w:rPr>
        <w:t>،</w:t>
      </w:r>
      <w:r w:rsidRPr="00001A51">
        <w:rPr>
          <w:rFonts w:ascii="Arabic Transparent" w:hAnsi="Arabic Transparent" w:cs="Arabic Transparent"/>
          <w:sz w:val="28"/>
          <w:szCs w:val="28"/>
          <w:rtl/>
          <w:lang w:bidi="ar-JO"/>
        </w:rPr>
        <w:t xml:space="preserve"> بل يمسكه بالثمن المتفق عليه"</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626"/>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w:t>
      </w:r>
    </w:p>
    <w:p w14:paraId="6A7D962C" w14:textId="10A0AC38" w:rsidR="004E383D" w:rsidRPr="00001A51" w:rsidRDefault="005D7B91" w:rsidP="004E383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 xml:space="preserve">ومما ينشأ عن التفاوت الفاحش، ثبوت الإثم والعصيان على الذي يريد أكل أموال الناس بالباطل، وعليه أن يعيد الزيادة أو النقص، وينشأ عنه زعزعة الاقتصاد، وظهور ما يسمى بالتضخم الاقتصادي، وتباعد الطبقات بين الفقراء والأغنياء، واتساع دائرة الفقر وعدم قدرة الفقراء من تلبية حاجاتهم الأساسية، </w:t>
      </w:r>
      <w:r w:rsidR="002B31CF" w:rsidRPr="00001A51">
        <w:rPr>
          <w:rFonts w:ascii="Arabic Transparent" w:hAnsi="Arabic Transparent" w:cs="Arabic Transparent" w:hint="cs"/>
          <w:sz w:val="28"/>
          <w:szCs w:val="28"/>
          <w:rtl/>
          <w:lang w:bidi="ar-JO"/>
        </w:rPr>
        <w:t>"و</w:t>
      </w:r>
      <w:r w:rsidR="004E383D" w:rsidRPr="00001A51">
        <w:rPr>
          <w:rFonts w:ascii="Arabic Transparent" w:hAnsi="Arabic Transparent" w:cs="Arabic Transparent"/>
          <w:sz w:val="28"/>
          <w:szCs w:val="28"/>
          <w:rtl/>
          <w:lang w:bidi="ar-JO"/>
        </w:rPr>
        <w:t>ثبوت الخيار للمغبون أو للذي وقع بالخداع فله أن يفسخ العقد، وله إمضاؤه مع التصحيح المناسب له، والمغبون عليه عبء إثبات جهله بالغبن الفاحش بالبينة الخطية، أو الشخصية، أو المعاينة والخبرة، والراجح قَبول قوله مع يمينه لأنه جاهل بالقيمة</w:t>
      </w:r>
      <w:r w:rsidR="002B31CF" w:rsidRPr="00001A51">
        <w:rPr>
          <w:rFonts w:ascii="Arabic Transparent" w:hAnsi="Arabic Transparent" w:cs="Arabic Transparent" w:hint="cs"/>
          <w:sz w:val="28"/>
          <w:szCs w:val="28"/>
          <w:rtl/>
          <w:lang w:bidi="ar-JO"/>
        </w:rPr>
        <w:t>"</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627"/>
      </w:r>
      <w:r w:rsidR="004E383D" w:rsidRPr="00001A51">
        <w:rPr>
          <w:rFonts w:ascii="Arabic Transparent" w:hAnsi="Arabic Transparent" w:cs="Arabic Transparent"/>
          <w:sz w:val="28"/>
          <w:szCs w:val="28"/>
          <w:vertAlign w:val="superscript"/>
          <w:rtl/>
          <w:lang w:bidi="ar-JO"/>
        </w:rPr>
        <w:t>).</w:t>
      </w:r>
    </w:p>
    <w:p w14:paraId="16C210A2" w14:textId="1A8FA98C" w:rsidR="004E383D" w:rsidRPr="00001A51" w:rsidRDefault="004E383D" w:rsidP="004E383D">
      <w:pPr>
        <w:spacing w:after="0" w:line="360" w:lineRule="auto"/>
        <w:rPr>
          <w:rFonts w:ascii="Arabic Transparent" w:hAnsi="Arabic Transparent" w:cs="Arabic Transparent"/>
          <w:b/>
          <w:bCs/>
          <w:sz w:val="26"/>
          <w:szCs w:val="26"/>
          <w:rtl/>
          <w:lang w:bidi="ar-JO"/>
        </w:rPr>
      </w:pPr>
      <w:r w:rsidRPr="00001A51">
        <w:rPr>
          <w:rFonts w:ascii="Arabic Transparent" w:hAnsi="Arabic Transparent" w:cs="Arabic Transparent"/>
          <w:b/>
          <w:bCs/>
          <w:sz w:val="32"/>
          <w:szCs w:val="32"/>
          <w:rtl/>
          <w:lang w:bidi="ar-JO"/>
        </w:rPr>
        <w:t>المطلب الثالث: أصول ضبط التفاوت في الوقائع والاجتهاد:</w:t>
      </w:r>
      <w:r w:rsidRPr="00001A51">
        <w:rPr>
          <w:rFonts w:ascii="Arabic Transparent" w:hAnsi="Arabic Transparent" w:cs="Arabic Transparent"/>
          <w:b/>
          <w:bCs/>
          <w:sz w:val="26"/>
          <w:szCs w:val="26"/>
          <w:rtl/>
          <w:lang w:bidi="ar-JO"/>
        </w:rPr>
        <w:t>(عند تحقيق المناط الخاص)</w:t>
      </w:r>
    </w:p>
    <w:p w14:paraId="3EF92BF5" w14:textId="44419EAC" w:rsidR="003C1E26" w:rsidRPr="00001A51" w:rsidRDefault="004D108D" w:rsidP="0058517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hint="cs"/>
          <w:sz w:val="28"/>
          <w:szCs w:val="28"/>
          <w:rtl/>
          <w:lang w:bidi="ar-JO"/>
        </w:rPr>
        <w:t xml:space="preserve">     </w:t>
      </w:r>
      <w:r w:rsidR="004E383D" w:rsidRPr="00001A51">
        <w:rPr>
          <w:rFonts w:ascii="Arabic Transparent" w:hAnsi="Arabic Transparent" w:cs="Arabic Transparent"/>
          <w:sz w:val="28"/>
          <w:szCs w:val="28"/>
          <w:rtl/>
          <w:lang w:bidi="ar-JO"/>
        </w:rPr>
        <w:t>بعد التعرف على مراتب التَّفاوت السابقة يمكن القول إنَّ التفاوت في تحقيق المناط الخاص يدور بين كونه تفاوتاً طبيعياً أو يسيراً لا مناصَّ منه، إذ تمليها منهجية الاجتهاد وخطواته، وطبيعة الواقعة، من تغيّر الزمان والمكان واللغة، ومراعاة المصالح والحاجات والأعراف المتجددة المتطورة، لذلك يقول الزحيلي في بيان أصل حقيقة التفاوت: "هو تفاوت الأفكار والعقول البشرية في فهم النصوص واستنباط الأحكام، وإدراك أسرار التشريع وعلل الأحكام الشرعية."</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628"/>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وكونه تفاوتاً ممنوعاً أو فاحشاً يحتاج إلى أصول معينة لضبطه في الوقائع والاجتهاد وهي كما يأتي:</w:t>
      </w:r>
      <w:r w:rsidR="003C1E26" w:rsidRPr="00001A51">
        <w:rPr>
          <w:rFonts w:ascii="Arabic Transparent" w:hAnsi="Arabic Transparent" w:cs="Arabic Transparent"/>
          <w:sz w:val="28"/>
          <w:szCs w:val="28"/>
          <w:rtl/>
          <w:lang w:bidi="ar-JO"/>
        </w:rPr>
        <w:br w:type="page"/>
      </w:r>
    </w:p>
    <w:p w14:paraId="082651F3" w14:textId="77777777" w:rsidR="004E383D" w:rsidRPr="00001A51" w:rsidRDefault="004E383D" w:rsidP="004E383D">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أولاً: الأصل في وقائع المعاملات الإباحة</w:t>
      </w:r>
      <w:r w:rsidRPr="00001A51">
        <w:rPr>
          <w:rFonts w:ascii="Arabic Transparent" w:hAnsi="Arabic Transparent" w:cs="Arabic Transparent"/>
          <w:b/>
          <w:bCs/>
          <w:sz w:val="28"/>
          <w:szCs w:val="28"/>
          <w:vertAlign w:val="superscript"/>
          <w:rtl/>
          <w:lang w:bidi="ar-JO"/>
        </w:rPr>
        <w:t>(</w:t>
      </w:r>
      <w:r w:rsidRPr="00001A51">
        <w:rPr>
          <w:rFonts w:ascii="Arabic Transparent" w:hAnsi="Arabic Transparent" w:cs="Arabic Transparent"/>
          <w:b/>
          <w:bCs/>
          <w:sz w:val="28"/>
          <w:szCs w:val="28"/>
          <w:vertAlign w:val="superscript"/>
          <w:rtl/>
          <w:lang w:bidi="ar-JO"/>
        </w:rPr>
        <w:footnoteReference w:id="629"/>
      </w:r>
      <w:r w:rsidRPr="00001A51">
        <w:rPr>
          <w:rFonts w:ascii="Arabic Transparent" w:hAnsi="Arabic Transparent" w:cs="Arabic Transparent"/>
          <w:b/>
          <w:bCs/>
          <w:sz w:val="28"/>
          <w:szCs w:val="28"/>
          <w:vertAlign w:val="superscript"/>
          <w:rtl/>
          <w:lang w:bidi="ar-JO"/>
        </w:rPr>
        <w:t>)</w:t>
      </w:r>
    </w:p>
    <w:p w14:paraId="41229B63" w14:textId="443AC21C" w:rsidR="004E383D" w:rsidRPr="00001A51" w:rsidRDefault="005D7B91" w:rsidP="004E383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b/>
          <w:bCs/>
          <w:sz w:val="28"/>
          <w:szCs w:val="28"/>
          <w:rtl/>
          <w:lang w:bidi="ar-JO"/>
        </w:rPr>
        <w:t xml:space="preserve">     </w:t>
      </w:r>
      <w:r w:rsidR="0058517D" w:rsidRPr="00001A51">
        <w:rPr>
          <w:rFonts w:ascii="Arabic Transparent" w:hAnsi="Arabic Transparent" w:cs="Arabic Transparent" w:hint="cs"/>
          <w:sz w:val="28"/>
          <w:szCs w:val="28"/>
          <w:rtl/>
          <w:lang w:bidi="ar-JO"/>
        </w:rPr>
        <w:t>"</w:t>
      </w:r>
      <w:r w:rsidR="004E383D" w:rsidRPr="00001A51">
        <w:rPr>
          <w:rFonts w:ascii="Arabic Transparent" w:hAnsi="Arabic Transparent" w:cs="Arabic Transparent"/>
          <w:sz w:val="28"/>
          <w:szCs w:val="28"/>
          <w:rtl/>
          <w:lang w:bidi="ar-JO"/>
        </w:rPr>
        <w:t>الأصل العام في العقود والشروط، والمعاملات الإباحة والجواز</w:t>
      </w:r>
      <w:r w:rsidR="0058517D" w:rsidRPr="00001A51">
        <w:rPr>
          <w:rFonts w:ascii="Arabic Transparent" w:hAnsi="Arabic Transparent" w:cs="Arabic Transparent" w:hint="cs"/>
          <w:sz w:val="28"/>
          <w:szCs w:val="28"/>
          <w:rtl/>
          <w:lang w:bidi="ar-JO"/>
        </w:rPr>
        <w:t>"</w:t>
      </w:r>
      <w:r w:rsidR="0058517D" w:rsidRPr="00001A51">
        <w:rPr>
          <w:rFonts w:ascii="Arabic Transparent" w:hAnsi="Arabic Transparent" w:cs="Arabic Transparent"/>
          <w:sz w:val="28"/>
          <w:szCs w:val="28"/>
          <w:vertAlign w:val="superscript"/>
          <w:rtl/>
          <w:lang w:bidi="ar-JO"/>
        </w:rPr>
        <w:t>(</w:t>
      </w:r>
      <w:r w:rsidR="0058517D" w:rsidRPr="00001A51">
        <w:rPr>
          <w:rFonts w:ascii="Arabic Transparent" w:hAnsi="Arabic Transparent" w:cs="Arabic Transparent"/>
          <w:sz w:val="28"/>
          <w:szCs w:val="28"/>
          <w:vertAlign w:val="superscript"/>
          <w:rtl/>
          <w:lang w:bidi="ar-JO"/>
        </w:rPr>
        <w:footnoteReference w:id="630"/>
      </w:r>
      <w:r w:rsidR="0058517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فلا يمنع منها شيء إلا بورود دليل صريح صحيح يدل على التحريم، وما سكت عنه الشارع الحكيم في باب المعاملات باقي على أصل الإباحة، كما ثبتت عند الحنفية</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631"/>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xml:space="preserve"> والمالكية</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632"/>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xml:space="preserve"> والشافعية</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633"/>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xml:space="preserve"> والحنابلة</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634"/>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القاعدة المشهورة: "الأصل في الأشياء الإباحة"</w:t>
      </w:r>
      <w:r w:rsidR="0058517D" w:rsidRPr="00001A51">
        <w:rPr>
          <w:rFonts w:ascii="Arabic Transparent" w:hAnsi="Arabic Transparent" w:cs="Arabic Transparent" w:hint="cs"/>
          <w:sz w:val="28"/>
          <w:szCs w:val="28"/>
          <w:vertAlign w:val="superscript"/>
          <w:rtl/>
          <w:lang w:bidi="ar-JO"/>
        </w:rPr>
        <w:t>(</w:t>
      </w:r>
      <w:r w:rsidR="0058517D" w:rsidRPr="00001A51">
        <w:rPr>
          <w:rStyle w:val="FootnoteReference"/>
          <w:rFonts w:ascii="Arabic Transparent" w:hAnsi="Arabic Transparent" w:cs="Arabic Transparent" w:hint="cs"/>
          <w:sz w:val="28"/>
          <w:szCs w:val="28"/>
          <w:rtl/>
          <w:lang w:bidi="ar-JO"/>
        </w:rPr>
        <w:footnoteReference w:id="635"/>
      </w:r>
      <w:r w:rsidR="0058517D" w:rsidRPr="00001A51">
        <w:rPr>
          <w:rFonts w:ascii="Arabic Transparent" w:hAnsi="Arabic Transparent" w:cs="Arabic Transparent" w:hint="cs"/>
          <w:sz w:val="28"/>
          <w:szCs w:val="28"/>
          <w:vertAlign w:val="superscript"/>
          <w:rtl/>
          <w:lang w:bidi="ar-JO"/>
        </w:rPr>
        <w:t>)</w:t>
      </w:r>
      <w:r w:rsidR="004E383D" w:rsidRPr="00001A51">
        <w:rPr>
          <w:rFonts w:ascii="Arabic Transparent" w:hAnsi="Arabic Transparent" w:cs="Arabic Transparent"/>
          <w:sz w:val="28"/>
          <w:szCs w:val="28"/>
          <w:rtl/>
          <w:lang w:bidi="ar-JO"/>
        </w:rPr>
        <w:t>، ما لم يرد دليل التحريم أو الكراهة، ويكفي ورود النص الصحيح في ثبوته، والصريح في دلالته للخروج عن الأصل العام في التعامل مع المعاملات (كونها من الأشياء)، والقول بعدم جواز المعاملة.</w:t>
      </w:r>
    </w:p>
    <w:p w14:paraId="67B00313" w14:textId="1208BAC6" w:rsidR="001B2914" w:rsidRPr="00001A51" w:rsidRDefault="005D7B91" w:rsidP="004E383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عندما جاء الإسلام أباح البيوع عموماً وحرم منها الربوية، وكل ما فيه ظلم، أو غبن فاحش، أو غرر فاحش، وضبط المعاملات بأصول ضبط محكمة، يقول ابن رشد: "البيوع الجائزة هي التي لم يحظرها الشارع ولا ورد فيها نهيٌ؛ لأن الله تعالى أباح البيع لعباده، وأذن لهم فيه وفي غير ما آية في كتابه"</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636"/>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w:t>
      </w:r>
    </w:p>
    <w:p w14:paraId="061B6175" w14:textId="77777777" w:rsidR="0058517D" w:rsidRPr="00001A51" w:rsidRDefault="005D7B91" w:rsidP="004E383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 xml:space="preserve">ومع هذا الضابط الأصل ألا يقال للمجتهد أين الدليل على إباحة هذه الواقعة في المعاملات، فالدليل يطلب من المحرّم؛ لأنه يدعي خلاف الأصل العام الذي تبنى عليه المعاملات في الشريعة </w:t>
      </w:r>
    </w:p>
    <w:p w14:paraId="507124DC" w14:textId="77777777" w:rsidR="0058517D" w:rsidRPr="00001A51" w:rsidRDefault="0058517D">
      <w:pPr>
        <w:bidi w:val="0"/>
        <w:spacing w:after="0" w:line="240" w:lineRule="auto"/>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lastRenderedPageBreak/>
        <w:br w:type="page"/>
      </w:r>
    </w:p>
    <w:p w14:paraId="6672CF22" w14:textId="63766798" w:rsidR="004E383D" w:rsidRPr="00001A51" w:rsidRDefault="004E383D" w:rsidP="004E383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الإسلامية، فإن أثبت الحرمة بدليل لا شبهة فيه، كانت الواقعة محرمة بالنص أو الأوصاف المنصوص عليها.</w:t>
      </w:r>
    </w:p>
    <w:p w14:paraId="5D814662" w14:textId="77777777" w:rsidR="004E383D" w:rsidRPr="00001A51" w:rsidRDefault="004E383D" w:rsidP="004E383D">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ثانياً: العبرة في العقود بالظواهر والتسميات والمقاصد والمسميات جميعاً وفق مقتضى الحال</w:t>
      </w:r>
      <w:r w:rsidRPr="00001A51">
        <w:rPr>
          <w:rFonts w:ascii="Arabic Transparent" w:hAnsi="Arabic Transparent" w:cs="Arabic Transparent"/>
          <w:b/>
          <w:bCs/>
          <w:sz w:val="28"/>
          <w:szCs w:val="28"/>
          <w:vertAlign w:val="superscript"/>
          <w:rtl/>
          <w:lang w:bidi="ar-JO"/>
        </w:rPr>
        <w:t>(</w:t>
      </w:r>
      <w:r w:rsidRPr="00001A51">
        <w:rPr>
          <w:rFonts w:ascii="Arabic Transparent" w:hAnsi="Arabic Transparent" w:cs="Arabic Transparent"/>
          <w:b/>
          <w:bCs/>
          <w:sz w:val="28"/>
          <w:szCs w:val="28"/>
          <w:vertAlign w:val="superscript"/>
          <w:rtl/>
          <w:lang w:bidi="ar-JO"/>
        </w:rPr>
        <w:footnoteReference w:id="637"/>
      </w:r>
      <w:r w:rsidRPr="00001A51">
        <w:rPr>
          <w:rFonts w:ascii="Arabic Transparent" w:hAnsi="Arabic Transparent" w:cs="Arabic Transparent"/>
          <w:b/>
          <w:bCs/>
          <w:sz w:val="28"/>
          <w:szCs w:val="28"/>
          <w:vertAlign w:val="superscript"/>
          <w:rtl/>
          <w:lang w:bidi="ar-JO"/>
        </w:rPr>
        <w:t>)</w:t>
      </w:r>
      <w:r w:rsidRPr="00001A51">
        <w:rPr>
          <w:rFonts w:ascii="Arabic Transparent" w:hAnsi="Arabic Transparent" w:cs="Arabic Transparent"/>
          <w:b/>
          <w:bCs/>
          <w:sz w:val="28"/>
          <w:szCs w:val="28"/>
          <w:rtl/>
          <w:lang w:bidi="ar-JO"/>
        </w:rPr>
        <w:t>:</w:t>
      </w:r>
    </w:p>
    <w:p w14:paraId="3683AA3A" w14:textId="7426566C" w:rsidR="009012EE" w:rsidRPr="00001A51" w:rsidRDefault="004D108D" w:rsidP="009012EE">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hint="cs"/>
          <w:sz w:val="28"/>
          <w:szCs w:val="28"/>
          <w:rtl/>
          <w:lang w:bidi="ar-JO"/>
        </w:rPr>
        <w:t xml:space="preserve">     </w:t>
      </w:r>
      <w:r w:rsidR="004E383D" w:rsidRPr="00001A51">
        <w:rPr>
          <w:rFonts w:ascii="Arabic Transparent" w:hAnsi="Arabic Transparent" w:cs="Arabic Transparent"/>
          <w:sz w:val="28"/>
          <w:szCs w:val="28"/>
          <w:rtl/>
          <w:lang w:bidi="ar-JO"/>
        </w:rPr>
        <w:t>وهو العمل وفق المنهج الجمعي الذي يجمع بين عمل المنهج الظاهري والمنهج المقاصدي الذي تم الحديث عنه سابقاً</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638"/>
      </w:r>
      <w:r w:rsidR="004E383D" w:rsidRPr="00001A51">
        <w:rPr>
          <w:rFonts w:ascii="Arabic Transparent" w:hAnsi="Arabic Transparent" w:cs="Arabic Transparent"/>
          <w:sz w:val="28"/>
          <w:szCs w:val="28"/>
          <w:vertAlign w:val="superscript"/>
          <w:rtl/>
          <w:lang w:bidi="ar-JO"/>
        </w:rPr>
        <w:t xml:space="preserve">)، </w:t>
      </w:r>
      <w:r w:rsidR="004E383D" w:rsidRPr="00001A51">
        <w:rPr>
          <w:rFonts w:ascii="Arabic Transparent" w:hAnsi="Arabic Transparent" w:cs="Arabic Transparent"/>
          <w:sz w:val="28"/>
          <w:szCs w:val="28"/>
          <w:rtl/>
          <w:lang w:bidi="ar-JO"/>
        </w:rPr>
        <w:t>وليس من الصواب تغليب قاعدة على أخرى كما فعل بعض العلماء المعاصرين</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639"/>
      </w:r>
      <w:r w:rsidR="004E383D" w:rsidRPr="00001A51">
        <w:rPr>
          <w:rFonts w:ascii="Arabic Transparent" w:hAnsi="Arabic Transparent" w:cs="Arabic Transparent"/>
          <w:sz w:val="28"/>
          <w:szCs w:val="28"/>
          <w:vertAlign w:val="superscript"/>
          <w:rtl/>
          <w:lang w:bidi="ar-JO"/>
        </w:rPr>
        <w:t>)</w:t>
      </w:r>
      <w:r w:rsidR="005D7B91"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حيث أطلقوا استعمال القاعدة الفقهية "الأمور بمقاصدها"</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640"/>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xml:space="preserve"> في جميع أبواب الشريعة الإسلامية ومنها، </w:t>
      </w:r>
      <w:r w:rsidR="0058517D" w:rsidRPr="00001A51">
        <w:rPr>
          <w:rFonts w:ascii="Arabic Transparent" w:hAnsi="Arabic Transparent" w:cs="Arabic Transparent" w:hint="cs"/>
          <w:sz w:val="28"/>
          <w:szCs w:val="28"/>
          <w:rtl/>
          <w:lang w:bidi="ar-JO"/>
        </w:rPr>
        <w:t>"</w:t>
      </w:r>
      <w:r w:rsidR="004E383D" w:rsidRPr="00001A51">
        <w:rPr>
          <w:rFonts w:ascii="Arabic Transparent" w:hAnsi="Arabic Transparent" w:cs="Arabic Transparent"/>
          <w:sz w:val="28"/>
          <w:szCs w:val="28"/>
          <w:rtl/>
          <w:lang w:bidi="ar-JO"/>
        </w:rPr>
        <w:t>قاعدة العبرة في العقود للمقاصد والمعاني لا للألفاظ والمباني</w:t>
      </w:r>
      <w:r w:rsidR="0058517D" w:rsidRPr="00001A51">
        <w:rPr>
          <w:rFonts w:ascii="Arabic Transparent" w:hAnsi="Arabic Transparent" w:cs="Arabic Transparent" w:hint="cs"/>
          <w:sz w:val="28"/>
          <w:szCs w:val="28"/>
          <w:rtl/>
          <w:lang w:bidi="ar-JO"/>
        </w:rPr>
        <w:t>"</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641"/>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فذهبوا إلى تحريم وإبطال بعض التصرفات سداً للذريعة مثل طلاق الفار، ووصية الضرار، وبيع العينة ولو كان التواطؤ خارج العقد والعديد من التصرفات للشبهة وعدّوها من قبيل الحيّل المحرمة وفريق ذهب إلى أن العبرة في العقود للألفاظ والمباني لا للمقاصد والمعاني</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642"/>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xml:space="preserve"> فيأخذون بظواهر النصوص ولا يحيدون عنها إلا بالقرينة القاطعة التي تدل على الإرادة، والحق أن توجه هذا الفريق معتبر أيضاً،</w:t>
      </w:r>
      <w:r w:rsidR="003C1E26" w:rsidRPr="00001A51">
        <w:rPr>
          <w:rFonts w:ascii="Arabic Transparent" w:hAnsi="Arabic Transparent" w:cs="Arabic Transparent" w:hint="cs"/>
          <w:sz w:val="28"/>
          <w:szCs w:val="28"/>
          <w:rtl/>
          <w:lang w:bidi="ar-JO"/>
        </w:rPr>
        <w:t xml:space="preserve"> </w:t>
      </w:r>
      <w:r w:rsidR="004E383D" w:rsidRPr="00001A51">
        <w:rPr>
          <w:rFonts w:ascii="Arabic Transparent" w:hAnsi="Arabic Transparent" w:cs="Arabic Transparent"/>
          <w:sz w:val="28"/>
          <w:szCs w:val="28"/>
          <w:rtl/>
          <w:lang w:bidi="ar-JO"/>
        </w:rPr>
        <w:t>بالقاعدة الفقهية "الأصل في الكلام الحقيقة ولا يصار إلى المجاز إلا عند وجود قرينة تدل عليه"</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643"/>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وقد بيّن الشيخ زكريا الأنصاري منهج الشافعية حيث يقول:</w:t>
      </w:r>
      <w:r w:rsidR="00151AED"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 xml:space="preserve">‌إن ‌العبرة ‌في ‌العقود ‌باللفظ ‌أو ‌بالمعنى ‌والأصحاب ‌تارة ‌يعتبرون اللفظ وهو الأكثر كما لو قال بعتك هذا بلا ثمن لا ينعقد بيعا ولا هبة على الصحيح، وكما لو قال اشتريت منك ثوبا صفته كذا بكذا ينعقد بيعا لا سلما على الصحيح وتارة يعتبرون المعنى كما لو قال وهبتك هذا الثوب بكذا ينعقد بيعا على </w:t>
      </w:r>
      <w:r w:rsidR="004E383D" w:rsidRPr="00001A51">
        <w:rPr>
          <w:rFonts w:ascii="Arabic Transparent" w:hAnsi="Arabic Transparent" w:cs="Arabic Transparent"/>
          <w:sz w:val="28"/>
          <w:szCs w:val="28"/>
          <w:rtl/>
          <w:lang w:bidi="ar-JO"/>
        </w:rPr>
        <w:lastRenderedPageBreak/>
        <w:t xml:space="preserve">الصحيح فلم يطلقوا </w:t>
      </w:r>
      <w:r w:rsidR="009012EE" w:rsidRPr="00001A51">
        <w:rPr>
          <w:rFonts w:ascii="Arabic Transparent" w:hAnsi="Arabic Transparent" w:cs="Arabic Transparent"/>
          <w:sz w:val="28"/>
          <w:szCs w:val="28"/>
          <w:rtl/>
          <w:lang w:bidi="ar-JO"/>
        </w:rPr>
        <w:br w:type="page"/>
      </w:r>
    </w:p>
    <w:p w14:paraId="37330762" w14:textId="0548020F" w:rsidR="004E383D" w:rsidRPr="00001A51" w:rsidRDefault="004E383D" w:rsidP="003C1E26">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القول باعتبار اللفظ بل يختلف الجواب بقوة المدرك"</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644"/>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والذي يظهر من الكلام السابق أنَّه وإن غلب على فعل الشافعية العمل بظاهر النصوص إلا أنَّ المعتبر بالعقود باللفظ أو المعنى وفق مقتضى الحال، وضرب الأمثلة على ذلك.</w:t>
      </w:r>
    </w:p>
    <w:p w14:paraId="3BAF132B" w14:textId="425EA6FD" w:rsidR="004E383D" w:rsidRPr="00001A51" w:rsidRDefault="005D7B91" w:rsidP="004E383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وحري بالمجتهد الذي يستعمل تحقيق المناط الخاص أن يجمع بين المنهجين السابقين فيأخذ بظواهر الوقائع والعقود إلا إذا كان هناك قرينة تدل على خلاف المقصود، فيأخذ بالمقاصد والمعاني ويقول بتحريم المعاملة، ومثاله إذا قيل له ربحت هدية وعليك أن تدفع مبلغاً لاستلامها فظاهر المعاملة أنها هبة، ولكن العوض صيّر حقيقتها بيعاً، وكذلك من أشترى سكيناً فليس للبائع أن يمنعه من الشراء خشية أن يقتل فيها دون أن يفصح عن غايته من شرائها، فالمنهج المنضبط هو الذي يجمع بين الظاهر والباطن بمقتضى الحال المتيقن</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645"/>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w:t>
      </w:r>
    </w:p>
    <w:p w14:paraId="1704FE75" w14:textId="77777777" w:rsidR="004E383D" w:rsidRPr="00001A51" w:rsidRDefault="004E383D" w:rsidP="004E383D">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 xml:space="preserve">ثالثاً: النظر في التفاوت بعين التخفيف والتيسير لا التشديد والتضيق: الرخص والحيل: </w:t>
      </w:r>
    </w:p>
    <w:p w14:paraId="35A2965C" w14:textId="45062712" w:rsidR="00BB3AEA" w:rsidRPr="00001A51" w:rsidRDefault="005D7B91" w:rsidP="003C1E26">
      <w:pPr>
        <w:spacing w:after="0" w:line="360" w:lineRule="auto"/>
        <w:jc w:val="both"/>
        <w:rPr>
          <w:rFonts w:ascii="Arabic Transparent" w:hAnsi="Arabic Transparent" w:cs="Arabic Transparent"/>
          <w:sz w:val="28"/>
          <w:szCs w:val="28"/>
          <w:rtl/>
        </w:rPr>
      </w:pPr>
      <w:r w:rsidRPr="00001A51">
        <w:rPr>
          <w:rFonts w:ascii="Arabic Transparent" w:hAnsi="Arabic Transparent" w:cs="Arabic Transparent"/>
          <w:sz w:val="28"/>
          <w:szCs w:val="28"/>
          <w:rtl/>
        </w:rPr>
        <w:t xml:space="preserve">     </w:t>
      </w:r>
      <w:r w:rsidR="004E383D" w:rsidRPr="00001A51">
        <w:rPr>
          <w:rFonts w:ascii="Arabic Transparent" w:hAnsi="Arabic Transparent" w:cs="Arabic Transparent"/>
          <w:sz w:val="28"/>
          <w:szCs w:val="28"/>
          <w:rtl/>
        </w:rPr>
        <w:t>إنَّ من سنن الشارع الحكيم التخفيف والتيسير، حيث يقول الله تعالى:</w:t>
      </w:r>
      <w:r w:rsidR="004E383D" w:rsidRPr="00001A51">
        <w:rPr>
          <w:rFonts w:ascii="Aptos" w:hAnsi="Aptos"/>
          <w:sz w:val="28"/>
          <w:szCs w:val="28"/>
          <w:rtl/>
        </w:rPr>
        <w:t xml:space="preserve"> </w:t>
      </w:r>
      <w:r w:rsidR="004E383D" w:rsidRPr="00001A51">
        <w:rPr>
          <w:rFonts w:ascii="KFGQPC HAFS Uthmanic Script" w:hAnsi="Aptos" w:cs="KFGQPC HAFS Uthmanic Script"/>
          <w:color w:val="000000"/>
          <w:sz w:val="28"/>
          <w:szCs w:val="28"/>
          <w:rtl/>
        </w:rPr>
        <w:t>ﵟ</w:t>
      </w:r>
      <w:r w:rsidR="004E383D" w:rsidRPr="00001A51">
        <w:rPr>
          <w:rFonts w:ascii="KFGQPC HAFS Uthmanic Script" w:hAnsi="Aptos" w:cs="Cambria"/>
          <w:color w:val="000000"/>
          <w:sz w:val="28"/>
          <w:szCs w:val="28"/>
          <w:rtl/>
        </w:rPr>
        <w:t>..</w:t>
      </w:r>
      <w:r w:rsidR="004E383D" w:rsidRPr="00001A51">
        <w:rPr>
          <w:rFonts w:ascii="KFGQPC HAFS Uthmanic Script" w:hAnsi="Aptos" w:cs="KFGQPC HAFS Uthmanic Script"/>
          <w:color w:val="000000"/>
          <w:sz w:val="28"/>
          <w:szCs w:val="28"/>
          <w:rtl/>
        </w:rPr>
        <w:t>يُرِيدُ ٱللَّهُ بِكُمُ ٱلۡيُسۡرَ وَلَا يُرِيدُ بِكُمُ ٱلۡعُسۡرَ</w:t>
      </w:r>
      <w:r w:rsidR="004E383D" w:rsidRPr="00001A51">
        <w:rPr>
          <w:rFonts w:ascii="KFGQPC HAFS Uthmanic Script" w:hAnsi="Aptos" w:cs="Cambria"/>
          <w:color w:val="000000"/>
          <w:sz w:val="28"/>
          <w:szCs w:val="28"/>
          <w:rtl/>
        </w:rPr>
        <w:t>..</w:t>
      </w:r>
      <w:r w:rsidR="004E383D" w:rsidRPr="00001A51">
        <w:rPr>
          <w:rFonts w:ascii="KFGQPC HAFS Uthmanic Script" w:hAnsi="Aptos" w:cs="KFGQPC HAFS Uthmanic Script"/>
          <w:color w:val="000000"/>
          <w:sz w:val="28"/>
          <w:szCs w:val="28"/>
          <w:rtl/>
        </w:rPr>
        <w:t xml:space="preserve"> ١٨٥ﵞ ﵝالبَقَرَةِ</w:t>
      </w:r>
      <w:r w:rsidRPr="00001A51">
        <w:rPr>
          <w:rFonts w:ascii="KFGQPC HAFS Uthmanic Script" w:hAnsi="Aptos" w:cs="KFGQPC HAFS Uthmanic Script"/>
          <w:color w:val="000000"/>
          <w:sz w:val="28"/>
          <w:szCs w:val="28"/>
          <w:rtl/>
        </w:rPr>
        <w:t xml:space="preserve">: </w:t>
      </w:r>
      <w:r w:rsidR="004E383D" w:rsidRPr="00001A51">
        <w:rPr>
          <w:rFonts w:ascii="KFGQPC HAFS Uthmanic Script" w:hAnsi="Aptos" w:cs="KFGQPC HAFS Uthmanic Script"/>
          <w:color w:val="000000"/>
          <w:sz w:val="28"/>
          <w:szCs w:val="28"/>
          <w:rtl/>
        </w:rPr>
        <w:t>ﵕﵘﵑﵜ</w:t>
      </w:r>
      <w:r w:rsidR="004E383D" w:rsidRPr="00001A51">
        <w:rPr>
          <w:rFonts w:ascii="Aptos" w:hAnsi="Aptos"/>
          <w:sz w:val="28"/>
          <w:szCs w:val="28"/>
          <w:rtl/>
        </w:rPr>
        <w:t xml:space="preserve"> </w:t>
      </w:r>
      <w:r w:rsidR="004E383D" w:rsidRPr="00001A51">
        <w:rPr>
          <w:rFonts w:ascii="Arabic Transparent" w:hAnsi="Arabic Transparent" w:cs="Arabic Transparent"/>
          <w:sz w:val="28"/>
          <w:szCs w:val="28"/>
          <w:rtl/>
        </w:rPr>
        <w:t>وجه الدلالة: بين الله تعالى من الرخص في الفطر لمن كان مريضاً أو على سفر، وإن كان هذا في شأن العبادات، فإنَّ الرخص في شأن المعاملات والعادات أولى</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646"/>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rPr>
        <w:t>، ومن السنة الكريمة يقول النبي عليه السلام "‌يسروا ‌ولا ‌تعسروا ‌وبشروا ولا تنفروا"</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647"/>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rPr>
        <w:t xml:space="preserve"> والنصوص الشرعية قاطبةً تدل على التيسير في المعاملات وما أحوج المكلفين من الناس في هذا الزمان إلى التيسير والرفق، رعاية لحالهم لما غلب على معظمه من ضعف التدين فكان من المستحسن على أهل الفقه والفتوى أن ييسروا في الفروع والجزئيات المعاصرة ولا يتساهلوا في قضايا الأصول الأساسية، ويجعلوا الأيسر للمعاملات والأحوط لقضايا العبادات، ومن مظاهر التيسير ما يأتي: </w:t>
      </w:r>
    </w:p>
    <w:p w14:paraId="1815AE3D" w14:textId="77777777" w:rsidR="00BB3AEA" w:rsidRPr="00001A51" w:rsidRDefault="00BB3AEA">
      <w:pPr>
        <w:bidi w:val="0"/>
        <w:spacing w:after="0" w:line="240" w:lineRule="auto"/>
        <w:rPr>
          <w:rFonts w:ascii="Arabic Transparent" w:hAnsi="Arabic Transparent" w:cs="Arabic Transparent"/>
          <w:sz w:val="28"/>
          <w:szCs w:val="28"/>
          <w:rtl/>
        </w:rPr>
      </w:pPr>
      <w:r w:rsidRPr="00001A51">
        <w:rPr>
          <w:rFonts w:ascii="Arabic Transparent" w:hAnsi="Arabic Transparent" w:cs="Arabic Transparent"/>
          <w:sz w:val="28"/>
          <w:szCs w:val="28"/>
          <w:rtl/>
        </w:rPr>
        <w:br w:type="page"/>
      </w:r>
    </w:p>
    <w:p w14:paraId="6A83A6CD" w14:textId="5601EF5F" w:rsidR="001B2914" w:rsidRPr="00001A51" w:rsidRDefault="004E383D" w:rsidP="003C1E26">
      <w:pPr>
        <w:spacing w:after="0" w:line="360" w:lineRule="auto"/>
        <w:jc w:val="both"/>
        <w:rPr>
          <w:rFonts w:ascii="Arabic Transparent" w:hAnsi="Arabic Transparent" w:cs="Arabic Transparent"/>
          <w:sz w:val="28"/>
          <w:szCs w:val="28"/>
          <w:rtl/>
        </w:rPr>
      </w:pPr>
      <w:r w:rsidRPr="00001A51">
        <w:rPr>
          <w:rFonts w:ascii="Arabic Transparent" w:hAnsi="Arabic Transparent" w:cs="Arabic Transparent"/>
          <w:sz w:val="28"/>
          <w:szCs w:val="28"/>
          <w:rtl/>
        </w:rPr>
        <w:t>1- مراعاة الضرورات والحاجيات: فإن من مظاهر التيسير النزول على حكم الضرورات، فإنَّ الضرورات تصير المحظور مباحاً إلى حين زوال الضرورة، حيث قال ابن نجيم: "ما أبيح للضرورة يقدر بقدرها"</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648"/>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rPr>
        <w:t xml:space="preserve"> حيث قيل: </w:t>
      </w:r>
      <w:r w:rsidR="00DE6CEB" w:rsidRPr="00001A51">
        <w:rPr>
          <w:rFonts w:ascii="Arabic Transparent" w:hAnsi="Arabic Transparent" w:cs="Arabic Transparent" w:hint="cs"/>
          <w:sz w:val="28"/>
          <w:szCs w:val="28"/>
          <w:rtl/>
        </w:rPr>
        <w:t>"</w:t>
      </w:r>
      <w:r w:rsidRPr="00001A51">
        <w:rPr>
          <w:rFonts w:ascii="Arabic Transparent" w:hAnsi="Arabic Transparent" w:cs="Arabic Transparent"/>
          <w:sz w:val="28"/>
          <w:szCs w:val="28"/>
          <w:rtl/>
        </w:rPr>
        <w:t>ما حرّم لذاته يباح للضرورة وما حرم لسد الذريعة يباح للحاجة</w:t>
      </w:r>
      <w:r w:rsidR="00DE6CEB" w:rsidRPr="00001A51">
        <w:rPr>
          <w:rFonts w:ascii="Arabic Transparent" w:hAnsi="Arabic Transparent" w:cs="Arabic Transparent" w:hint="cs"/>
          <w:sz w:val="28"/>
          <w:szCs w:val="28"/>
          <w:rtl/>
        </w:rPr>
        <w:t>"</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649"/>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ومن أمثلتها في المعاملات ما ذكره السيوطي في الأشباه والنظائر:</w:t>
      </w:r>
      <w:r w:rsidR="00151AED" w:rsidRPr="00001A51">
        <w:rPr>
          <w:rFonts w:ascii="Arabic Transparent" w:hAnsi="Arabic Transparent" w:cs="Arabic Transparent"/>
          <w:sz w:val="28"/>
          <w:szCs w:val="28"/>
          <w:rtl/>
          <w:lang w:bidi="ar-JO"/>
        </w:rPr>
        <w:t xml:space="preserve"> "</w:t>
      </w:r>
      <w:r w:rsidRPr="00001A51">
        <w:rPr>
          <w:rFonts w:ascii="Arabic Transparent" w:hAnsi="Arabic Transparent" w:cs="Arabic Transparent"/>
          <w:sz w:val="28"/>
          <w:szCs w:val="28"/>
          <w:rtl/>
          <w:lang w:bidi="ar-JO"/>
        </w:rPr>
        <w:t>وكذا إتلاف المال بإلقائه من السفينة لمن خاف الغرق، وأخذ مال الممتنع من أداء الدَّين بغير إذنه، ولو عمَّ الحرام قطرًا، بحيث لا يوجد فيه حلال إلا نادرًا فإنه يجوز استعمال ما يحتاج إليه، ولا يقتصر على الضرورة"</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650"/>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xml:space="preserve"> ومنها التيسير على الأقليات المسلمة والذين يعيشون في مجتمعات غير مسلمة يتعرضون للتضييق والإكراه على إجراء بعض المعاملات المالية، فيجب أن تراعى ظروفهم الضرورية وحاجاتهم الأساسية والتي ترفع عنهم الحرج والضيق</w:t>
      </w:r>
      <w:r w:rsidRPr="00001A51">
        <w:rPr>
          <w:rFonts w:ascii="Arabic Transparent" w:hAnsi="Arabic Transparent" w:cs="Arabic Transparent"/>
          <w:sz w:val="28"/>
          <w:szCs w:val="28"/>
          <w:rtl/>
        </w:rPr>
        <w:t>، لذلك عند بعض العلماء يعذر في بعض الأحوال من يعيش في بلاد غير المسلمين، ولا يعذر المسلم الذي يعيش في ديار الإسلام</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651"/>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rPr>
        <w:t>.</w:t>
      </w:r>
    </w:p>
    <w:p w14:paraId="1C113DFC" w14:textId="0A8DCA8B" w:rsidR="004E383D" w:rsidRPr="00001A51" w:rsidRDefault="004E383D" w:rsidP="004E383D">
      <w:pPr>
        <w:spacing w:after="0" w:line="360" w:lineRule="auto"/>
        <w:jc w:val="both"/>
        <w:rPr>
          <w:rFonts w:ascii="Arabic Transparent" w:hAnsi="Arabic Transparent" w:cs="Arabic Transparent"/>
          <w:sz w:val="28"/>
          <w:szCs w:val="28"/>
          <w:rtl/>
        </w:rPr>
      </w:pPr>
      <w:r w:rsidRPr="00001A51">
        <w:rPr>
          <w:rFonts w:ascii="Arabic Transparent" w:hAnsi="Arabic Transparent" w:cs="Arabic Transparent"/>
          <w:sz w:val="28"/>
          <w:szCs w:val="28"/>
          <w:rtl/>
        </w:rPr>
        <w:t xml:space="preserve"> </w:t>
      </w:r>
      <w:r w:rsidR="004D108D" w:rsidRPr="00001A51">
        <w:rPr>
          <w:rFonts w:ascii="Arabic Transparent" w:hAnsi="Arabic Transparent" w:cs="Arabic Transparent" w:hint="cs"/>
          <w:sz w:val="28"/>
          <w:szCs w:val="28"/>
          <w:rtl/>
        </w:rPr>
        <w:t xml:space="preserve">   </w:t>
      </w:r>
      <w:r w:rsidRPr="00001A51">
        <w:rPr>
          <w:rFonts w:ascii="Arabic Transparent" w:hAnsi="Arabic Transparent" w:cs="Arabic Transparent"/>
          <w:sz w:val="28"/>
          <w:szCs w:val="28"/>
          <w:rtl/>
        </w:rPr>
        <w:t xml:space="preserve"> والمراد من التيسير ليس فهم النصوص على غير مراد الشارع أو ليّ أعناق النصوص أو نجتزئ من النصوص المحكمة، بدعوى التخفيف على الناس والتيسير عليهم، ولكن المراد أن يضع المجتهد في حسبانه واعتباره عند الاجتهاد مصالح الناس وحاجاتهم التي جاء الشرع الحكيم لتحقيقها ورفع الحرج عنهم، لذلك أكثر الأئمة الأعلام من قولهم "هذا أرفق بالناس"</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652"/>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rPr>
        <w:t xml:space="preserve"> وثبت عن سفيان الثوري مقولة مشهورة في هذا الموضوع حيث يقول: "إنما العلم عندنا الرخصة من ثقة، أما التشديد فيحسنه كل أحد"</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653"/>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rPr>
        <w:t>.</w:t>
      </w:r>
    </w:p>
    <w:p w14:paraId="42B66AA1" w14:textId="77777777" w:rsidR="00DE6CEB" w:rsidRPr="00001A51" w:rsidRDefault="004E383D" w:rsidP="004E383D">
      <w:pPr>
        <w:spacing w:after="0" w:line="360" w:lineRule="auto"/>
        <w:jc w:val="both"/>
        <w:rPr>
          <w:rFonts w:ascii="Arabic Transparent" w:hAnsi="Arabic Transparent" w:cs="Arabic Transparent"/>
          <w:sz w:val="28"/>
          <w:szCs w:val="28"/>
          <w:rtl/>
        </w:rPr>
      </w:pPr>
      <w:r w:rsidRPr="00001A51">
        <w:rPr>
          <w:rFonts w:ascii="Arabic Transparent" w:hAnsi="Arabic Transparent" w:cs="Arabic Transparent"/>
          <w:sz w:val="28"/>
          <w:szCs w:val="28"/>
          <w:rtl/>
        </w:rPr>
        <w:t>2- من مظاهر التيسير عدم الإنكار عند التفاوت في الاجتهاد، فالقاعدة تنص على أنَّ</w:t>
      </w:r>
      <w:r w:rsidR="005D7B91" w:rsidRPr="00001A51">
        <w:rPr>
          <w:rFonts w:ascii="Arabic Transparent" w:hAnsi="Arabic Transparent" w:cs="Arabic Transparent"/>
          <w:sz w:val="28"/>
          <w:szCs w:val="28"/>
          <w:rtl/>
        </w:rPr>
        <w:t>:</w:t>
      </w:r>
      <w:r w:rsidR="00151AED" w:rsidRPr="00001A51">
        <w:rPr>
          <w:rFonts w:ascii="Arabic Transparent" w:hAnsi="Arabic Transparent" w:cs="Arabic Transparent"/>
          <w:sz w:val="28"/>
          <w:szCs w:val="28"/>
          <w:rtl/>
        </w:rPr>
        <w:t xml:space="preserve"> "</w:t>
      </w:r>
      <w:r w:rsidRPr="00001A51">
        <w:rPr>
          <w:rFonts w:ascii="Arabic Transparent" w:hAnsi="Arabic Transparent" w:cs="Arabic Transparent"/>
          <w:sz w:val="28"/>
          <w:szCs w:val="28"/>
          <w:rtl/>
        </w:rPr>
        <w:t>ما أمضي بالاجتهاد ‌لا ‌ينقض ‌باجتهاد ‌مثله"</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654"/>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rPr>
        <w:t xml:space="preserve">، فلا ينكر أهل الاجتهاد في الواقعات الجديدة على بعضهم </w:t>
      </w:r>
      <w:r w:rsidRPr="00001A51">
        <w:rPr>
          <w:rFonts w:ascii="Arabic Transparent" w:hAnsi="Arabic Transparent" w:cs="Arabic Transparent"/>
          <w:sz w:val="28"/>
          <w:szCs w:val="28"/>
          <w:rtl/>
        </w:rPr>
        <w:lastRenderedPageBreak/>
        <w:t xml:space="preserve">البعض فيما يحتمل وجوهاً، وينتقض الاجتهاد إذا وجه نصاً صحيحاً صريحاً وحتى التفاوت لا يمكن التخلص </w:t>
      </w:r>
    </w:p>
    <w:p w14:paraId="18FCCA3B" w14:textId="77777777" w:rsidR="00DE6CEB" w:rsidRPr="00001A51" w:rsidRDefault="00DE6CEB">
      <w:pPr>
        <w:bidi w:val="0"/>
        <w:spacing w:after="0" w:line="240" w:lineRule="auto"/>
        <w:rPr>
          <w:rFonts w:ascii="Arabic Transparent" w:hAnsi="Arabic Transparent" w:cs="Arabic Transparent"/>
          <w:sz w:val="28"/>
          <w:szCs w:val="28"/>
          <w:rtl/>
        </w:rPr>
      </w:pPr>
      <w:r w:rsidRPr="00001A51">
        <w:rPr>
          <w:rFonts w:ascii="Arabic Transparent" w:hAnsi="Arabic Transparent" w:cs="Arabic Transparent"/>
          <w:sz w:val="28"/>
          <w:szCs w:val="28"/>
          <w:rtl/>
        </w:rPr>
        <w:br w:type="page"/>
      </w:r>
    </w:p>
    <w:p w14:paraId="5C83B4ED" w14:textId="6B258218" w:rsidR="004E383D" w:rsidRPr="00001A51" w:rsidRDefault="004E383D" w:rsidP="004E383D">
      <w:pPr>
        <w:spacing w:after="0" w:line="360" w:lineRule="auto"/>
        <w:jc w:val="both"/>
        <w:rPr>
          <w:rFonts w:ascii="Arabic Transparent" w:hAnsi="Arabic Transparent" w:cs="Arabic Transparent"/>
          <w:sz w:val="28"/>
          <w:szCs w:val="28"/>
          <w:rtl/>
        </w:rPr>
      </w:pPr>
      <w:r w:rsidRPr="00001A51">
        <w:rPr>
          <w:rFonts w:ascii="Arabic Transparent" w:hAnsi="Arabic Transparent" w:cs="Arabic Transparent"/>
          <w:sz w:val="28"/>
          <w:szCs w:val="28"/>
          <w:rtl/>
        </w:rPr>
        <w:t>منه، وكل ما في الامر ضبط التفاوت الشاسع والممنوع المحرم والمتفق على حرمته، وورد من بعض المعاصرين الإنكار على الأخرين في مسائل الاجتهاد الفرعية، حيث ألف القرضاوي كتاباً يتحدث فيه عن بعض المسائل المعاصرة أسماه الحلال والحرام، فأنكر عليه بعض أقرانه من المجتهدين؛ لأنه تساهل في بعض القضايا فقالوا كتاب الحلال والحلال</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655"/>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rPr>
        <w:t xml:space="preserve"> </w:t>
      </w:r>
    </w:p>
    <w:p w14:paraId="57890714" w14:textId="25BEB3D7" w:rsidR="004E383D" w:rsidRPr="00001A51" w:rsidRDefault="004E383D" w:rsidP="00DE6CEB">
      <w:pPr>
        <w:spacing w:after="0" w:line="360" w:lineRule="auto"/>
        <w:jc w:val="both"/>
        <w:rPr>
          <w:rFonts w:ascii="Arabic Transparent" w:hAnsi="Arabic Transparent" w:cs="Arabic Transparent"/>
          <w:sz w:val="28"/>
          <w:szCs w:val="28"/>
          <w:rtl/>
        </w:rPr>
      </w:pPr>
      <w:r w:rsidRPr="00001A51">
        <w:rPr>
          <w:rFonts w:ascii="Arabic Transparent" w:hAnsi="Arabic Transparent" w:cs="Arabic Transparent"/>
          <w:sz w:val="28"/>
          <w:szCs w:val="28"/>
          <w:rtl/>
        </w:rPr>
        <w:t xml:space="preserve">3-مراعاة أسباب التخفيف الستة التي نص عليها السيوطي في الأشباه والنظائر وهي </w:t>
      </w:r>
      <w:r w:rsidR="00DE6CEB" w:rsidRPr="00001A51">
        <w:rPr>
          <w:rFonts w:ascii="Arabic Transparent" w:hAnsi="Arabic Transparent" w:cs="Arabic Transparent" w:hint="cs"/>
          <w:sz w:val="28"/>
          <w:szCs w:val="28"/>
          <w:rtl/>
        </w:rPr>
        <w:t>"</w:t>
      </w:r>
      <w:r w:rsidRPr="00001A51">
        <w:rPr>
          <w:rFonts w:ascii="Arabic Transparent" w:hAnsi="Arabic Transparent" w:cs="Arabic Transparent"/>
          <w:sz w:val="28"/>
          <w:szCs w:val="28"/>
          <w:rtl/>
        </w:rPr>
        <w:t>السفر، والمرض، والإكراه، والنسيان والجهل، والعسر، وعموم البلوى، والتي يستعمل منها للتخفيف في جانب المعاملات، فلا يجوز بيع المكره عند عدم تحقق الرضا، واغتفار الجهالة اليسيرة في المبيع لصعوبة الاحتراز عنها</w:t>
      </w:r>
      <w:r w:rsidR="00DE6CEB" w:rsidRPr="00001A51">
        <w:rPr>
          <w:rFonts w:ascii="Arabic Transparent" w:hAnsi="Arabic Transparent" w:cs="Arabic Transparent" w:hint="cs"/>
          <w:sz w:val="28"/>
          <w:szCs w:val="28"/>
          <w:rtl/>
        </w:rPr>
        <w:t>"</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656"/>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xml:space="preserve">، والاكتفاء برؤية ظاهرة البيت عن أساسها، وعموم البلوى في بعض القضايا كما قال السيوطي: </w:t>
      </w:r>
      <w:r w:rsidR="00DE6CEB" w:rsidRPr="00001A51">
        <w:rPr>
          <w:rFonts w:ascii="Arabic Transparent" w:hAnsi="Arabic Transparent" w:cs="Arabic Transparent" w:hint="cs"/>
          <w:sz w:val="28"/>
          <w:szCs w:val="28"/>
          <w:rtl/>
          <w:lang w:bidi="ar-JO"/>
        </w:rPr>
        <w:t>"</w:t>
      </w:r>
      <w:r w:rsidRPr="00001A51">
        <w:rPr>
          <w:rFonts w:ascii="Arabic Transparent" w:hAnsi="Arabic Transparent" w:cs="Arabic Transparent"/>
          <w:sz w:val="28"/>
          <w:szCs w:val="28"/>
          <w:rtl/>
          <w:lang w:bidi="ar-JO"/>
        </w:rPr>
        <w:t>ومنه: إسقاط الإثم عن المجتهدين في الخطأ والتيسير عليهم بالاكتفاء بالظنّ، ولو كُلِّفوا الأخذ باليقين لشقَّ وعَسُر الوصول إليه</w:t>
      </w:r>
      <w:r w:rsidR="00DE6CEB" w:rsidRPr="00001A51">
        <w:rPr>
          <w:rFonts w:ascii="Arabic Transparent" w:hAnsi="Arabic Transparent" w:cs="Arabic Transparent" w:hint="cs"/>
          <w:sz w:val="28"/>
          <w:szCs w:val="28"/>
          <w:rtl/>
          <w:lang w:bidi="ar-JO"/>
        </w:rPr>
        <w:t>"</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657"/>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وكأنه من عموم البلوى في هذا الزمن لكثرة الحوادث والوقائع وقلة النصوص الشرعية الصريحة في حكم تلك الحوادث.</w:t>
      </w:r>
    </w:p>
    <w:p w14:paraId="1BC7385E" w14:textId="77777777" w:rsidR="00DE6CEB" w:rsidRPr="00001A51" w:rsidRDefault="004E383D" w:rsidP="003C1E26">
      <w:pPr>
        <w:spacing w:after="0" w:line="360" w:lineRule="auto"/>
        <w:jc w:val="both"/>
        <w:rPr>
          <w:rFonts w:ascii="Arabic Transparent" w:hAnsi="Arabic Transparent" w:cs="Arabic Transparent"/>
          <w:sz w:val="28"/>
          <w:szCs w:val="28"/>
          <w:rtl/>
        </w:rPr>
      </w:pPr>
      <w:r w:rsidRPr="00001A51">
        <w:rPr>
          <w:rFonts w:ascii="Arabic Transparent" w:hAnsi="Arabic Transparent" w:cs="Arabic Transparent"/>
          <w:sz w:val="28"/>
          <w:szCs w:val="28"/>
          <w:rtl/>
        </w:rPr>
        <w:t>4- إيجاد المخارج الشرعية وتركيب العقود وهندستها في قضايا المعاملات المالية المعاصرة، ليس من الحيل التي حرمها بعض العلماء، والحيل: هي في اللغة "الحذق وجودة النظر والقدرة على دقة التصرف"</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658"/>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rPr>
        <w:t xml:space="preserve"> وفي الاصطلاح</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659"/>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rPr>
        <w:t xml:space="preserve"> عرفها ابن القيم بقوله: "هي نوع مخصوص من التصرف والعمل الذي يتحول به فاعله من حال إلى حال"</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660"/>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rPr>
        <w:t xml:space="preserve"> وبين أنها تعرف حسب موضوعها إما لأمر جائز أو محرم وفي تعريف أخص يقول: ابن القيم هي: "‌الطرق ‌الخفية ‌التي ‌يتوصل ‌بها الرجل إلى حصول غرضه، بحيث لا يتفطن له إلا بنوع من الذكاء والفطنة"</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661"/>
      </w:r>
      <w:r w:rsidRPr="00001A51">
        <w:rPr>
          <w:rFonts w:ascii="Arabic Transparent" w:hAnsi="Arabic Transparent" w:cs="Arabic Transparent"/>
          <w:sz w:val="28"/>
          <w:szCs w:val="28"/>
          <w:vertAlign w:val="superscript"/>
          <w:rtl/>
          <w:lang w:bidi="ar-JO"/>
        </w:rPr>
        <w:t xml:space="preserve">) </w:t>
      </w:r>
      <w:r w:rsidRPr="00001A51">
        <w:rPr>
          <w:rFonts w:ascii="Arabic Transparent" w:hAnsi="Arabic Transparent" w:cs="Arabic Transparent"/>
          <w:sz w:val="28"/>
          <w:szCs w:val="28"/>
          <w:rtl/>
          <w:lang w:bidi="ar-JO"/>
        </w:rPr>
        <w:t xml:space="preserve">وهذا الوجه المشروع وذكر وجهاً آخر، حيث قال: </w:t>
      </w:r>
      <w:r w:rsidRPr="00001A51">
        <w:rPr>
          <w:rFonts w:ascii="Arabic Transparent" w:hAnsi="Arabic Transparent" w:cs="Arabic Transparent"/>
          <w:sz w:val="28"/>
          <w:szCs w:val="28"/>
          <w:rtl/>
        </w:rPr>
        <w:t xml:space="preserve"> "وأخص من هذا استعمالها في التوصل إلى الغرض الممنوع منه شرعا، أو عقلاً، أو عادة، فهذا هو الغالب عليها في عرف الناس؛ فإنهم يقولون: فلان </w:t>
      </w:r>
      <w:r w:rsidRPr="00001A51">
        <w:rPr>
          <w:rFonts w:ascii="Arabic Transparent" w:hAnsi="Arabic Transparent" w:cs="Arabic Transparent"/>
          <w:sz w:val="28"/>
          <w:szCs w:val="28"/>
          <w:rtl/>
        </w:rPr>
        <w:lastRenderedPageBreak/>
        <w:t>من أرباب الحيل، ولا تعاملوه فإنه متحيل، وفلان يعلم الناس الحيل"</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662"/>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rPr>
        <w:t xml:space="preserve"> ففي عرف عوام الناس أنها الأمر المذموم الذي ظاهره الصلاح </w:t>
      </w:r>
    </w:p>
    <w:p w14:paraId="1C97E4D9" w14:textId="77777777" w:rsidR="00DE6CEB" w:rsidRPr="00001A51" w:rsidRDefault="00DE6CEB">
      <w:pPr>
        <w:bidi w:val="0"/>
        <w:spacing w:after="0" w:line="240" w:lineRule="auto"/>
        <w:rPr>
          <w:rFonts w:ascii="Arabic Transparent" w:hAnsi="Arabic Transparent" w:cs="Arabic Transparent"/>
          <w:sz w:val="28"/>
          <w:szCs w:val="28"/>
          <w:rtl/>
        </w:rPr>
      </w:pPr>
      <w:r w:rsidRPr="00001A51">
        <w:rPr>
          <w:rFonts w:ascii="Arabic Transparent" w:hAnsi="Arabic Transparent" w:cs="Arabic Transparent"/>
          <w:sz w:val="28"/>
          <w:szCs w:val="28"/>
          <w:rtl/>
        </w:rPr>
        <w:br w:type="page"/>
      </w:r>
    </w:p>
    <w:p w14:paraId="6A37158B" w14:textId="44CA3674" w:rsidR="004E383D" w:rsidRPr="00001A51" w:rsidRDefault="004E383D" w:rsidP="003C1E26">
      <w:pPr>
        <w:spacing w:after="0" w:line="360" w:lineRule="auto"/>
        <w:jc w:val="both"/>
        <w:rPr>
          <w:rFonts w:ascii="Arabic Transparent" w:hAnsi="Arabic Transparent" w:cs="Arabic Transparent"/>
          <w:sz w:val="28"/>
          <w:szCs w:val="28"/>
          <w:rtl/>
        </w:rPr>
      </w:pPr>
      <w:r w:rsidRPr="00001A51">
        <w:rPr>
          <w:rFonts w:ascii="Arabic Transparent" w:hAnsi="Arabic Transparent" w:cs="Arabic Transparent"/>
          <w:sz w:val="28"/>
          <w:szCs w:val="28"/>
          <w:rtl/>
        </w:rPr>
        <w:t xml:space="preserve">وباطنه الشر والفساد، وفي نظر المجتهدين في القضايا المعاصرة يعرفون أن منها ما هو محمود وما هو مذموم؛ فالمذمومة منها ما هو كفر، ومنها ما هو كبيرة، ومنها ما هو صغيرة، والحيلة المحمودة منها ما هو مكروه أو جائز، أو مستحب ومنها ما هو واجب، وخلاصة ما سبق أن من أجرى الحيلة ليتوصل إلى مقصوده المباح بوسيلة محرمة فهي حرام، كمن يريد مالاً فتحصل عليه من خلال قرض حرام ظاهره الإباحة، والنوع الآخر من يكون مقصده محرماً ووسيلته الظاهرة مشروعة، ومثاله من يهب ماله لزوجته قبيل نهاية الحول من أجل التخلص </w:t>
      </w:r>
      <w:r w:rsidRPr="00001A51">
        <w:rPr>
          <w:rFonts w:ascii="Arabic Transparent" w:hAnsi="Arabic Transparent" w:cs="Arabic Transparent"/>
          <w:color w:val="000000"/>
          <w:sz w:val="28"/>
          <w:szCs w:val="28"/>
          <w:rtl/>
        </w:rPr>
        <w:t>من عبء إخراج الزكاة</w:t>
      </w:r>
      <w:r w:rsidRPr="00001A51">
        <w:rPr>
          <w:rFonts w:ascii="Arabic Transparent" w:hAnsi="Arabic Transparent" w:cs="Arabic Transparent"/>
          <w:color w:val="000000"/>
          <w:sz w:val="28"/>
          <w:szCs w:val="28"/>
          <w:vertAlign w:val="superscript"/>
          <w:rtl/>
          <w:lang w:bidi="ar-JO"/>
        </w:rPr>
        <w:t>(</w:t>
      </w:r>
      <w:r w:rsidRPr="00001A51">
        <w:rPr>
          <w:rFonts w:ascii="Arabic Transparent" w:hAnsi="Arabic Transparent" w:cs="Arabic Transparent"/>
          <w:color w:val="000000"/>
          <w:sz w:val="28"/>
          <w:szCs w:val="28"/>
          <w:vertAlign w:val="superscript"/>
          <w:rtl/>
          <w:lang w:bidi="ar-JO"/>
        </w:rPr>
        <w:footnoteReference w:id="663"/>
      </w:r>
      <w:r w:rsidRPr="00001A51">
        <w:rPr>
          <w:rFonts w:ascii="Arabic Transparent" w:hAnsi="Arabic Transparent" w:cs="Arabic Transparent"/>
          <w:color w:val="000000"/>
          <w:sz w:val="28"/>
          <w:szCs w:val="28"/>
          <w:vertAlign w:val="superscript"/>
          <w:rtl/>
          <w:lang w:bidi="ar-JO"/>
        </w:rPr>
        <w:t>)</w:t>
      </w:r>
      <w:r w:rsidRPr="00001A51">
        <w:rPr>
          <w:rFonts w:ascii="Arabic Transparent" w:hAnsi="Arabic Transparent" w:cs="Arabic Transparent"/>
          <w:color w:val="000000"/>
          <w:sz w:val="28"/>
          <w:szCs w:val="28"/>
          <w:rtl/>
        </w:rPr>
        <w:t>، فمن أجرى الحيلة ليتوصل إلى مقصوده المباح بوسيلة مشروعة فلا تثريب عليه، لذلك القاعدة المستقرة لدى الفقهاء للخروج من باب الحيل المذموم: "الوسائل تأخذ حكم المقاصد"</w:t>
      </w:r>
      <w:r w:rsidRPr="00001A51">
        <w:rPr>
          <w:rFonts w:ascii="Arabic Transparent" w:hAnsi="Arabic Transparent" w:cs="Arabic Transparent"/>
          <w:color w:val="000000"/>
          <w:sz w:val="28"/>
          <w:szCs w:val="28"/>
          <w:vertAlign w:val="superscript"/>
          <w:rtl/>
          <w:lang w:bidi="ar-JO"/>
        </w:rPr>
        <w:t>(</w:t>
      </w:r>
      <w:r w:rsidRPr="00001A51">
        <w:rPr>
          <w:rFonts w:ascii="Arabic Transparent" w:hAnsi="Arabic Transparent" w:cs="Arabic Transparent"/>
          <w:color w:val="000000"/>
          <w:sz w:val="28"/>
          <w:szCs w:val="28"/>
          <w:vertAlign w:val="superscript"/>
          <w:rtl/>
          <w:lang w:bidi="ar-JO"/>
        </w:rPr>
        <w:footnoteReference w:id="664"/>
      </w:r>
      <w:r w:rsidRPr="00001A51">
        <w:rPr>
          <w:rFonts w:ascii="Arabic Transparent" w:hAnsi="Arabic Transparent" w:cs="Arabic Transparent"/>
          <w:color w:val="000000"/>
          <w:sz w:val="28"/>
          <w:szCs w:val="28"/>
          <w:vertAlign w:val="superscript"/>
          <w:rtl/>
          <w:lang w:bidi="ar-JO"/>
        </w:rPr>
        <w:t>)</w:t>
      </w:r>
      <w:r w:rsidRPr="00001A51">
        <w:rPr>
          <w:rFonts w:ascii="Arabic Transparent" w:hAnsi="Arabic Transparent" w:cs="Arabic Transparent"/>
          <w:color w:val="000000"/>
          <w:sz w:val="28"/>
          <w:szCs w:val="28"/>
          <w:rtl/>
          <w:lang w:bidi="ar-JO"/>
        </w:rPr>
        <w:t>، حيث يقول ابن عبدالسلام "</w:t>
      </w:r>
      <w:r w:rsidRPr="00001A51">
        <w:rPr>
          <w:rFonts w:ascii="Arabic Transparent" w:hAnsi="Arabic Transparent" w:cs="Arabic Transparent"/>
          <w:color w:val="000000"/>
          <w:sz w:val="28"/>
          <w:szCs w:val="28"/>
          <w:rtl/>
        </w:rPr>
        <w:t>للوسائل ‌أحكام ‌المقاصد، ‌فالوسيلة إلى أفضل المقاصد هي أفضل الوسائل، والوسيلة إلى أرذل المقاصد هي أرذل الوسائل</w:t>
      </w:r>
      <w:r w:rsidRPr="00001A51">
        <w:rPr>
          <w:rFonts w:ascii="Arabic Transparent" w:hAnsi="Arabic Transparent" w:cs="Arabic Transparent"/>
          <w:sz w:val="28"/>
          <w:szCs w:val="28"/>
          <w:rtl/>
          <w:lang w:bidi="ar-JO"/>
        </w:rPr>
        <w:t>"</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665"/>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xml:space="preserve"> وهو الدور الفاعل لمحقق المناط الخاص للتأكد من مشروعية الوسيلة بالنظر إلى المقصد الأصلي التي تعود له، وإن استعمال الطرق الخفية عن عوام الناس، والتي يتوصل بها إلى الغرض المحمود شرعاً</w:t>
      </w:r>
      <w:r w:rsidRPr="00001A51">
        <w:rPr>
          <w:rFonts w:ascii="Arabic Transparent" w:hAnsi="Arabic Transparent" w:cs="Arabic Transparent"/>
          <w:sz w:val="28"/>
          <w:szCs w:val="28"/>
          <w:rtl/>
        </w:rPr>
        <w:t xml:space="preserve"> والتي يطلق عليها المخارج الشرعية، والتي هي سبيل للتيسير على الناس ومراعاة مصالحهم في حدود ما تسمح به الشريعة الإسلامية.</w:t>
      </w:r>
    </w:p>
    <w:p w14:paraId="5E426D74" w14:textId="77777777" w:rsidR="004E383D" w:rsidRPr="00001A51" w:rsidRDefault="004E383D" w:rsidP="004E383D">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رابعاً: عدم الإنكار على من يستعمل التلفيق عند الاجتهاد في الواقعات المختلفة:</w:t>
      </w:r>
    </w:p>
    <w:p w14:paraId="4257BA6F" w14:textId="667D3910" w:rsidR="0075141A" w:rsidRPr="00001A51" w:rsidRDefault="005D7B91" w:rsidP="003C1E26">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التلفيق لغة: "الملاءمة"</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666"/>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xml:space="preserve"> واصطلاحاً: عرف بعدة تعريفات، منها: "أن يأتي المقلد في مسألة واحدة فرعين مترابطين فأكثر، بكيفية لا يقول بها مجتهد ممن قلدهم في تلك المسألة"</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667"/>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xml:space="preserve"> فهذه الكيفية مجتمعة لا يقول بها أحد من المجتهدين على انفراد، والغاية من التلفيق أن يجمع المجتهد بين قولين معتبرين شرعاً فأكثر على وجه التقليد ليتوصل إلى صورة جديدة سالمة عن المخالفات الصريحة التي لو نسبت إلى مذهب أو إمام واحد لا تكون مقبولة عندهم على هذه الصورة المجمعة من عدة أقوال.</w:t>
      </w:r>
    </w:p>
    <w:p w14:paraId="6D02F972" w14:textId="77777777" w:rsidR="0075141A" w:rsidRPr="00001A51" w:rsidRDefault="0075141A">
      <w:pPr>
        <w:bidi w:val="0"/>
        <w:spacing w:after="0" w:line="240" w:lineRule="auto"/>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br w:type="page"/>
      </w:r>
    </w:p>
    <w:p w14:paraId="301A6941" w14:textId="7724CA43" w:rsidR="001B2914" w:rsidRPr="00001A51" w:rsidRDefault="005D7B91" w:rsidP="003C1E26">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وأجاز التلفيق بين الأقوال: جمهور المتأخرين من فقهاء المذاهب</w:t>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vertAlign w:val="superscript"/>
          <w:rtl/>
          <w:lang w:bidi="ar-JO"/>
        </w:rPr>
        <w:footnoteReference w:id="668"/>
      </w:r>
      <w:r w:rsidR="004E383D" w:rsidRPr="00001A51">
        <w:rPr>
          <w:rFonts w:ascii="Arabic Transparent" w:hAnsi="Arabic Transparent" w:cs="Arabic Transparent"/>
          <w:sz w:val="28"/>
          <w:szCs w:val="28"/>
          <w:vertAlign w:val="superscript"/>
          <w:rtl/>
          <w:lang w:bidi="ar-JO"/>
        </w:rPr>
        <w:t>)</w:t>
      </w:r>
      <w:r w:rsidR="004E383D" w:rsidRPr="00001A51">
        <w:rPr>
          <w:rFonts w:ascii="Arabic Transparent" w:hAnsi="Arabic Transparent" w:cs="Arabic Transparent"/>
          <w:sz w:val="28"/>
          <w:szCs w:val="28"/>
          <w:rtl/>
          <w:lang w:bidi="ar-JO"/>
        </w:rPr>
        <w:t xml:space="preserve"> وجمع كبير من العلماء </w:t>
      </w:r>
    </w:p>
    <w:p w14:paraId="152BE9CB" w14:textId="4B89774B" w:rsidR="004E383D" w:rsidRPr="00001A51" w:rsidRDefault="004E383D" w:rsidP="004E383D">
      <w:pPr>
        <w:widowControl w:val="0"/>
        <w:tabs>
          <w:tab w:val="right" w:pos="706"/>
        </w:tabs>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sz w:val="28"/>
          <w:szCs w:val="28"/>
          <w:rtl/>
          <w:lang w:bidi="ar-JO"/>
        </w:rPr>
        <w:t>المعاصرين</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669"/>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xml:space="preserve"> </w:t>
      </w:r>
      <w:r w:rsidRPr="004E383D">
        <w:rPr>
          <w:rFonts w:ascii="Arabic Transparent" w:hAnsi="Arabic Transparent" w:cs="Arabic Transparent"/>
          <w:color w:val="000000"/>
          <w:sz w:val="28"/>
          <w:szCs w:val="28"/>
          <w:rtl/>
          <w:lang w:eastAsia="ar-SA" w:bidi="ar-JO"/>
        </w:rPr>
        <w:t>ودور الإفتاء المعاصرة</w:t>
      </w:r>
      <w:r w:rsidRPr="004E383D">
        <w:rPr>
          <w:rFonts w:ascii="Arabic Transparent" w:hAnsi="Arabic Transparent" w:cs="Arabic Transparent"/>
          <w:color w:val="000000"/>
          <w:sz w:val="28"/>
          <w:szCs w:val="28"/>
          <w:vertAlign w:val="superscript"/>
          <w:rtl/>
          <w:lang w:eastAsia="ar-SA" w:bidi="ar-JO"/>
        </w:rPr>
        <w:t>(</w:t>
      </w:r>
      <w:r w:rsidRPr="004E383D">
        <w:rPr>
          <w:rFonts w:ascii="Arabic Transparent" w:hAnsi="Arabic Transparent" w:cs="Arabic Transparent"/>
          <w:color w:val="000000"/>
          <w:sz w:val="28"/>
          <w:szCs w:val="28"/>
          <w:vertAlign w:val="superscript"/>
          <w:rtl/>
          <w:lang w:eastAsia="ar-SA" w:bidi="ar-JO"/>
        </w:rPr>
        <w:footnoteReference w:id="670"/>
      </w:r>
      <w:r w:rsidRPr="004E383D">
        <w:rPr>
          <w:rFonts w:ascii="Arabic Transparent" w:hAnsi="Arabic Transparent" w:cs="Arabic Transparent"/>
          <w:color w:val="000000"/>
          <w:sz w:val="28"/>
          <w:szCs w:val="28"/>
          <w:vertAlign w:val="superscript"/>
          <w:rtl/>
          <w:lang w:eastAsia="ar-SA" w:bidi="ar-JO"/>
        </w:rPr>
        <w:t>)</w:t>
      </w:r>
      <w:r w:rsidRPr="004E383D">
        <w:rPr>
          <w:rFonts w:ascii="Arabic Transparent" w:hAnsi="Arabic Transparent" w:cs="Arabic Transparent"/>
          <w:color w:val="000000"/>
          <w:sz w:val="28"/>
          <w:szCs w:val="28"/>
          <w:rtl/>
          <w:lang w:eastAsia="ar-SA" w:bidi="ar-JO"/>
        </w:rPr>
        <w:t xml:space="preserve"> ومجمع الفقه الإسلامي الدولي</w:t>
      </w:r>
      <w:r w:rsidRPr="004E383D">
        <w:rPr>
          <w:rFonts w:ascii="Arabic Transparent" w:hAnsi="Arabic Transparent" w:cs="Arabic Transparent"/>
          <w:color w:val="000000"/>
          <w:sz w:val="28"/>
          <w:szCs w:val="28"/>
          <w:vertAlign w:val="superscript"/>
          <w:rtl/>
          <w:lang w:eastAsia="ar-SA" w:bidi="ar-JO"/>
        </w:rPr>
        <w:t>(</w:t>
      </w:r>
      <w:r w:rsidRPr="004E383D">
        <w:rPr>
          <w:rFonts w:ascii="Arabic Transparent" w:hAnsi="Arabic Transparent" w:cs="Arabic Transparent"/>
          <w:color w:val="000000"/>
          <w:sz w:val="28"/>
          <w:szCs w:val="28"/>
          <w:vertAlign w:val="superscript"/>
          <w:rtl/>
          <w:lang w:eastAsia="ar-SA" w:bidi="ar-JO"/>
        </w:rPr>
        <w:footnoteReference w:id="671"/>
      </w:r>
      <w:r w:rsidRPr="004E383D">
        <w:rPr>
          <w:rFonts w:ascii="Arabic Transparent" w:hAnsi="Arabic Transparent" w:cs="Arabic Transparent"/>
          <w:color w:val="000000"/>
          <w:sz w:val="28"/>
          <w:szCs w:val="28"/>
          <w:vertAlign w:val="superscript"/>
          <w:rtl/>
          <w:lang w:eastAsia="ar-SA" w:bidi="ar-JO"/>
        </w:rPr>
        <w:t>)</w:t>
      </w:r>
      <w:r w:rsidRPr="004E383D">
        <w:rPr>
          <w:rFonts w:ascii="Arabic Transparent" w:hAnsi="Arabic Transparent" w:cs="Arabic Transparent"/>
          <w:color w:val="000000"/>
          <w:sz w:val="28"/>
          <w:szCs w:val="28"/>
          <w:rtl/>
          <w:lang w:eastAsia="ar-SA" w:bidi="ar-JO"/>
        </w:rPr>
        <w:t xml:space="preserve"> وهيئة المحاسبة والمراجعة أيوفي</w:t>
      </w:r>
      <w:r w:rsidRPr="004E383D">
        <w:rPr>
          <w:rFonts w:ascii="Arabic Transparent" w:hAnsi="Arabic Transparent" w:cs="Arabic Transparent"/>
          <w:color w:val="000000"/>
          <w:sz w:val="28"/>
          <w:szCs w:val="28"/>
          <w:vertAlign w:val="superscript"/>
          <w:rtl/>
          <w:lang w:eastAsia="ar-SA" w:bidi="ar-JO"/>
        </w:rPr>
        <w:t>(</w:t>
      </w:r>
      <w:r w:rsidRPr="004E383D">
        <w:rPr>
          <w:rFonts w:ascii="Arabic Transparent" w:hAnsi="Arabic Transparent" w:cs="Arabic Transparent"/>
          <w:color w:val="000000"/>
          <w:sz w:val="28"/>
          <w:szCs w:val="28"/>
          <w:vertAlign w:val="superscript"/>
          <w:rtl/>
          <w:lang w:eastAsia="ar-SA" w:bidi="ar-JO"/>
        </w:rPr>
        <w:footnoteReference w:id="672"/>
      </w:r>
      <w:r w:rsidRPr="004E383D">
        <w:rPr>
          <w:rFonts w:ascii="Arabic Transparent" w:hAnsi="Arabic Transparent" w:cs="Arabic Transparent"/>
          <w:color w:val="000000"/>
          <w:sz w:val="28"/>
          <w:szCs w:val="28"/>
          <w:vertAlign w:val="superscript"/>
          <w:rtl/>
          <w:lang w:eastAsia="ar-SA" w:bidi="ar-JO"/>
        </w:rPr>
        <w:t>)</w:t>
      </w:r>
      <w:r w:rsidRPr="004E383D">
        <w:rPr>
          <w:rFonts w:ascii="Arabic Transparent" w:hAnsi="Arabic Transparent" w:cs="Arabic Transparent"/>
          <w:color w:val="000000"/>
          <w:sz w:val="28"/>
          <w:szCs w:val="28"/>
          <w:rtl/>
          <w:lang w:eastAsia="ar-SA" w:bidi="ar-JO"/>
        </w:rPr>
        <w:t>، والموسوعة الفقهية الكويتية</w:t>
      </w:r>
      <w:r w:rsidRPr="004E383D">
        <w:rPr>
          <w:rFonts w:ascii="Arabic Transparent" w:hAnsi="Arabic Transparent" w:cs="Arabic Transparent"/>
          <w:color w:val="000000"/>
          <w:sz w:val="28"/>
          <w:szCs w:val="28"/>
          <w:vertAlign w:val="superscript"/>
          <w:rtl/>
          <w:lang w:eastAsia="ar-SA" w:bidi="ar-JO"/>
        </w:rPr>
        <w:t>(</w:t>
      </w:r>
      <w:r w:rsidRPr="004E383D">
        <w:rPr>
          <w:rFonts w:ascii="Arabic Transparent" w:hAnsi="Arabic Transparent" w:cs="Arabic Transparent"/>
          <w:color w:val="000000"/>
          <w:sz w:val="28"/>
          <w:szCs w:val="28"/>
          <w:vertAlign w:val="superscript"/>
          <w:rtl/>
          <w:lang w:eastAsia="ar-SA" w:bidi="ar-JO"/>
        </w:rPr>
        <w:footnoteReference w:id="673"/>
      </w:r>
      <w:r w:rsidRPr="004E383D">
        <w:rPr>
          <w:rFonts w:ascii="Arabic Transparent" w:hAnsi="Arabic Transparent" w:cs="Arabic Transparent"/>
          <w:color w:val="000000"/>
          <w:sz w:val="28"/>
          <w:szCs w:val="28"/>
          <w:vertAlign w:val="superscript"/>
          <w:rtl/>
          <w:lang w:eastAsia="ar-SA" w:bidi="ar-JO"/>
        </w:rPr>
        <w:t>)</w:t>
      </w:r>
      <w:r w:rsidRPr="004E383D">
        <w:rPr>
          <w:rFonts w:ascii="Arabic Transparent" w:hAnsi="Arabic Transparent" w:cs="Arabic Transparent"/>
          <w:color w:val="000000"/>
          <w:sz w:val="28"/>
          <w:szCs w:val="28"/>
          <w:rtl/>
          <w:lang w:eastAsia="ar-SA" w:bidi="ar-JO"/>
        </w:rPr>
        <w:t>، وذلك لقوة أدلة القائلين به وعدم إمكان مواكبة التطور في العديد من القطاعات على مستوى الدولة تحديداً القطاع المالي والاقتصادي الذي يواجه اقتصادات العالم التجارية والتي تتطور بشكل متسارع ومرونة الفقه الإسلامي تقتضي أن يواكب التطور الكبير الذي يحدث بالعالم اليوم ولا يمكن ذلك إلا بالتلفيق بين الأقوال والمذاهب يجوز للمفتي أن ينتقل إلى غير واحد من المذاهب ولو لغير حاجة بشرط أن يأخذ بشروط وضوابط ذلك المذهب في تلك المسألة، والتلفيق بين المذاهب الفقهية وآراء المجتهدين جائز إذا توفرت فيه الضوابط المذكورة، فقد يقع المقلد في ضيق أو حرج في قضية معينة ولا مخرج له إلا بالتلفيق، وبالأخص في مسائل المعاملات المالية؛ فيجوز للمفتي التلفيق في الفتوى بحسب ما يراه محققاً وملبياً لحاجات المكلفين، ويجوز للمستفتي العمل بالحكم الملفق، ومن دون ذلك لا يمكن أن تقوم قائمة للمصارف الإسلامية وشركات التأمين الإسلامية والتي تعتمد هيئات الفتوى والرقابة الشرعية فيها على التلفيق للوصول إلى صورة</w:t>
      </w:r>
      <w:r w:rsidR="00D9288F">
        <w:rPr>
          <w:rFonts w:ascii="Arabic Transparent" w:hAnsi="Arabic Transparent" w:cs="Arabic Transparent" w:hint="cs"/>
          <w:color w:val="000000"/>
          <w:sz w:val="28"/>
          <w:szCs w:val="28"/>
          <w:rtl/>
          <w:lang w:eastAsia="ar-SA" w:bidi="ar-JO"/>
        </w:rPr>
        <w:t xml:space="preserve"> </w:t>
      </w:r>
      <w:r w:rsidRPr="004E383D">
        <w:rPr>
          <w:rFonts w:ascii="Arabic Transparent" w:hAnsi="Arabic Transparent" w:cs="Arabic Transparent"/>
          <w:color w:val="000000"/>
          <w:sz w:val="28"/>
          <w:szCs w:val="28"/>
          <w:rtl/>
          <w:lang w:eastAsia="ar-SA" w:bidi="ar-JO"/>
        </w:rPr>
        <w:t>جائزة بديلة لصورة التمويل والتأمين غير الإسلامي، وهو سبيل من سبل التيسير الذي يتوصل به إلى جواز بعض الصور المالية والمعاملات التي لم تكن موجودة في السابق</w:t>
      </w:r>
      <w:r w:rsidRPr="004E383D">
        <w:rPr>
          <w:rFonts w:ascii="Arabic Transparent" w:hAnsi="Arabic Transparent" w:cs="Arabic Transparent"/>
          <w:color w:val="000000"/>
          <w:sz w:val="28"/>
          <w:szCs w:val="28"/>
          <w:vertAlign w:val="superscript"/>
          <w:rtl/>
          <w:lang w:eastAsia="ar-SA" w:bidi="ar-JO"/>
        </w:rPr>
        <w:t>(</w:t>
      </w:r>
      <w:r w:rsidRPr="004E383D">
        <w:rPr>
          <w:rFonts w:ascii="Arabic Transparent" w:hAnsi="Arabic Transparent" w:cs="Arabic Transparent"/>
          <w:color w:val="000000"/>
          <w:sz w:val="28"/>
          <w:szCs w:val="28"/>
          <w:vertAlign w:val="superscript"/>
          <w:rtl/>
          <w:lang w:eastAsia="ar-SA" w:bidi="ar-JO"/>
        </w:rPr>
        <w:footnoteReference w:id="674"/>
      </w:r>
      <w:r w:rsidRPr="004E383D">
        <w:rPr>
          <w:rFonts w:ascii="Arabic Transparent" w:hAnsi="Arabic Transparent" w:cs="Arabic Transparent"/>
          <w:color w:val="000000"/>
          <w:sz w:val="28"/>
          <w:szCs w:val="28"/>
          <w:vertAlign w:val="superscript"/>
          <w:rtl/>
          <w:lang w:eastAsia="ar-SA" w:bidi="ar-JO"/>
        </w:rPr>
        <w:t>)</w:t>
      </w:r>
      <w:r w:rsidRPr="004E383D">
        <w:rPr>
          <w:rFonts w:ascii="Arabic Transparent" w:hAnsi="Arabic Transparent" w:cs="Arabic Transparent"/>
          <w:color w:val="000000"/>
          <w:sz w:val="28"/>
          <w:szCs w:val="28"/>
          <w:rtl/>
          <w:lang w:eastAsia="ar-SA" w:bidi="ar-JO"/>
        </w:rPr>
        <w:t>.</w:t>
      </w:r>
      <w:r w:rsidRPr="00001A51">
        <w:rPr>
          <w:rFonts w:ascii="Arabic Transparent" w:hAnsi="Arabic Transparent" w:cs="Arabic Transparent"/>
          <w:b/>
          <w:bCs/>
          <w:sz w:val="28"/>
          <w:szCs w:val="28"/>
          <w:rtl/>
          <w:lang w:bidi="ar-JO"/>
        </w:rPr>
        <w:br w:type="page"/>
      </w:r>
    </w:p>
    <w:p w14:paraId="50B4E03F" w14:textId="77777777" w:rsidR="004E383D" w:rsidRPr="00001A51" w:rsidRDefault="004E383D" w:rsidP="004E383D">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خامساً: هناك جملة من الإجراءات يجدر بالمجتهد أن يتأكد منها قبل تحقيق المناط الخاص:</w:t>
      </w:r>
    </w:p>
    <w:p w14:paraId="460BA003" w14:textId="78F96825" w:rsidR="004E383D" w:rsidRPr="00001A51" w:rsidRDefault="004E383D" w:rsidP="004E383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b/>
          <w:bCs/>
          <w:sz w:val="28"/>
          <w:szCs w:val="28"/>
          <w:rtl/>
          <w:lang w:bidi="ar-JO"/>
        </w:rPr>
        <w:t>1-</w:t>
      </w:r>
      <w:r w:rsidRPr="00001A51">
        <w:rPr>
          <w:rFonts w:ascii="Arabic Transparent" w:hAnsi="Arabic Transparent" w:cs="Arabic Transparent"/>
          <w:sz w:val="28"/>
          <w:szCs w:val="28"/>
          <w:rtl/>
          <w:lang w:bidi="ar-JO"/>
        </w:rPr>
        <w:t xml:space="preserve"> أن يكون المحل صالحاً لتحقيق المناط الخاص، فإذا كان المحل غير صالح أو غير موجود، فلا يصح تنزيل الحكم عليه، </w:t>
      </w:r>
      <w:r w:rsidR="0075141A" w:rsidRPr="00001A51">
        <w:rPr>
          <w:rFonts w:ascii="Arabic Transparent" w:hAnsi="Arabic Transparent" w:cs="Arabic Transparent" w:hint="cs"/>
          <w:sz w:val="28"/>
          <w:szCs w:val="28"/>
          <w:rtl/>
          <w:lang w:bidi="ar-JO"/>
        </w:rPr>
        <w:t>"</w:t>
      </w:r>
      <w:r w:rsidRPr="00001A51">
        <w:rPr>
          <w:rFonts w:ascii="Arabic Transparent" w:hAnsi="Arabic Transparent" w:cs="Arabic Transparent"/>
          <w:sz w:val="28"/>
          <w:szCs w:val="28"/>
          <w:rtl/>
          <w:lang w:bidi="ar-JO"/>
        </w:rPr>
        <w:t>كمن قطعت يده إلى الكتف فإن وجوب الغسل إلى المرفقين في الوضوء يسقط عنه لانعدام المحل</w:t>
      </w:r>
      <w:r w:rsidR="0075141A" w:rsidRPr="00001A51">
        <w:rPr>
          <w:rFonts w:ascii="Arabic Transparent" w:hAnsi="Arabic Transparent" w:cs="Arabic Transparent" w:hint="cs"/>
          <w:sz w:val="28"/>
          <w:szCs w:val="28"/>
          <w:rtl/>
          <w:lang w:bidi="ar-JO"/>
        </w:rPr>
        <w:t>"</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675"/>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عندئذ لا يصح تنزيل الحكم عليها.</w:t>
      </w:r>
    </w:p>
    <w:p w14:paraId="470665BC" w14:textId="3D99D2C4" w:rsidR="004E383D" w:rsidRPr="00001A51" w:rsidRDefault="004E383D" w:rsidP="004E383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b/>
          <w:bCs/>
          <w:sz w:val="28"/>
          <w:szCs w:val="28"/>
          <w:rtl/>
          <w:lang w:bidi="ar-JO"/>
        </w:rPr>
        <w:t>2-</w:t>
      </w:r>
      <w:r w:rsidRPr="00001A51">
        <w:rPr>
          <w:rFonts w:ascii="Arabic Transparent" w:hAnsi="Arabic Transparent" w:cs="Arabic Transparent"/>
          <w:sz w:val="28"/>
          <w:szCs w:val="28"/>
          <w:rtl/>
          <w:lang w:bidi="ar-JO"/>
        </w:rPr>
        <w:t xml:space="preserve"> أن تتوفر شروط الوجوب والصحة قبل تحقيق المناط الخاص، لأن تحقيق المناط من غير تحقق الشروط ضَرب من العبث، ومثاله الاستطاعة كما في قوله تعالى: </w:t>
      </w:r>
      <w:r w:rsidRPr="00001A51">
        <w:rPr>
          <w:rFonts w:ascii="KFGQPC HAFS Uthmanic Script" w:hAnsi="Times New Roman" w:cs="KFGQPC HAFS Uthmanic Script"/>
          <w:color w:val="000000"/>
          <w:sz w:val="28"/>
          <w:szCs w:val="28"/>
          <w:rtl/>
        </w:rPr>
        <w:t>ﵟ فِيهِ ءَايَٰتُۢ بَيِّنَٰتٞ مَّقَامُ إِبۡرَٰهِيمَۖ وَمَن دَخَلَهُۥ كَانَ ءَامِنٗاۗ وَلِلَّهِ عَلَى ٱلنَّاسِ حِجُّ ٱلۡبَيۡتِ مَنِ ٱسۡتَطَاعَ إِلَيۡهِ سَبِيلٗاۚ وَمَن كَفَرَ فَإِنَّ ٱللَّهَ غَنِيٌّ عَنِ ٱلۡعَٰلَمِينَ ٩٧ﵞ ﵝآل عِمۡرَان:ﵗﵙﵜ</w:t>
      </w:r>
      <w:r w:rsidRPr="00001A51">
        <w:rPr>
          <w:rFonts w:ascii="Arabic Transparent" w:hAnsi="Arabic Transparent" w:cs="Arabic Transparent"/>
          <w:sz w:val="28"/>
          <w:szCs w:val="28"/>
          <w:rtl/>
          <w:lang w:bidi="ar-JO"/>
        </w:rPr>
        <w:t xml:space="preserve"> </w:t>
      </w:r>
      <w:r w:rsidRPr="00001A51">
        <w:rPr>
          <w:rFonts w:ascii="Arabic Transparent" w:hAnsi="Arabic Transparent" w:cs="Arabic Transparent"/>
          <w:b/>
          <w:bCs/>
          <w:sz w:val="28"/>
          <w:szCs w:val="28"/>
          <w:rtl/>
          <w:lang w:bidi="ar-JO"/>
        </w:rPr>
        <w:t>وجه الدلالة:</w:t>
      </w:r>
      <w:r w:rsidRPr="00001A51">
        <w:rPr>
          <w:rFonts w:ascii="Arabic Transparent" w:hAnsi="Arabic Transparent" w:cs="Arabic Transparent"/>
          <w:sz w:val="28"/>
          <w:szCs w:val="28"/>
          <w:rtl/>
          <w:lang w:bidi="ar-JO"/>
        </w:rPr>
        <w:t xml:space="preserve"> بين القرطبي أنَّ الاستطاعة شرط لوجوب الحج ويتعلق </w:t>
      </w:r>
      <w:r w:rsidR="0075141A" w:rsidRPr="00001A51">
        <w:rPr>
          <w:rFonts w:ascii="Arabic Transparent" w:hAnsi="Arabic Transparent" w:cs="Arabic Transparent" w:hint="cs"/>
          <w:sz w:val="28"/>
          <w:szCs w:val="28"/>
          <w:rtl/>
          <w:lang w:bidi="ar-JO"/>
        </w:rPr>
        <w:t>"</w:t>
      </w:r>
      <w:r w:rsidRPr="00001A51">
        <w:rPr>
          <w:rFonts w:ascii="Arabic Transparent" w:hAnsi="Arabic Transparent" w:cs="Arabic Transparent"/>
          <w:sz w:val="28"/>
          <w:szCs w:val="28"/>
          <w:rtl/>
          <w:lang w:bidi="ar-JO"/>
        </w:rPr>
        <w:t>بالمال والبدن</w:t>
      </w:r>
      <w:r w:rsidR="0075141A" w:rsidRPr="00001A51">
        <w:rPr>
          <w:rFonts w:ascii="Arabic Transparent" w:hAnsi="Arabic Transparent" w:cs="Arabic Transparent" w:hint="cs"/>
          <w:sz w:val="28"/>
          <w:szCs w:val="28"/>
          <w:rtl/>
          <w:lang w:bidi="ar-JO"/>
        </w:rPr>
        <w:t>"</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676"/>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xml:space="preserve"> فالفقير لا يجب عليه الحج لعدم وجود المال، فالحكم لا ينزل عليه من حيث الوجود، وإن كان يصح منه بل يجب أن يتأخر إلى حين وجوب الحج في حقه وتحقق شروط الوجوب والصحة في حقه.</w:t>
      </w:r>
    </w:p>
    <w:p w14:paraId="5B79C48C" w14:textId="262275A0" w:rsidR="004E383D" w:rsidRPr="00001A51" w:rsidRDefault="004E383D" w:rsidP="003C1E26">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b/>
          <w:bCs/>
          <w:sz w:val="28"/>
          <w:szCs w:val="28"/>
          <w:rtl/>
          <w:lang w:bidi="ar-JO"/>
        </w:rPr>
        <w:t>3-</w:t>
      </w:r>
      <w:r w:rsidRPr="00001A51">
        <w:rPr>
          <w:rFonts w:ascii="Arabic Transparent" w:hAnsi="Arabic Transparent" w:cs="Arabic Transparent"/>
          <w:sz w:val="28"/>
          <w:szCs w:val="28"/>
          <w:rtl/>
          <w:lang w:bidi="ar-JO"/>
        </w:rPr>
        <w:t xml:space="preserve"> مناسبة الحكم الشرعي للمحل المتفاوت حوله، ففي مسألة سؤر سباع الطير وحكمه، فقد ألحقها بعض العلماء بسؤر سباع الدواب، بجامع أنها آكلة للحوم فيكون أكلها محرم وسؤرها نجس</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677"/>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وألحقها فريق آخر بسؤر عموم الطير بجامع كونها ذوات منقار</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678"/>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xml:space="preserve">، حيث تأخذ الماء بمنقارها، ولا يلامس اللعاب الماء فلا تنتقل له النجاسة فيكون سؤرها طاهراً، وهو الحكم المناسب لاستواء مناط إباحة المنقار بمنقار سائر الطيور، وإن كان محرم أكلها فهذا الوصف ليس له علاقة بحكم السؤر </w:t>
      </w:r>
    </w:p>
    <w:p w14:paraId="53FB8027" w14:textId="72704423" w:rsidR="0075141A" w:rsidRPr="00001A51" w:rsidRDefault="004E383D" w:rsidP="0075141A">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كما هو الحال في القطة التي حرِّم أكلها وطاهر سؤرها</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679"/>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وهو من أنواع الاستحسان أيضاً، الذي يتم فيه ترجيح القياس الخفي على القياس الظاهر الجلي لدليل أقوى يقتضي ذلك</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680"/>
      </w:r>
      <w:r w:rsidRPr="00001A51">
        <w:rPr>
          <w:rFonts w:ascii="Arabic Transparent" w:hAnsi="Arabic Transparent" w:cs="Arabic Transparent"/>
          <w:sz w:val="28"/>
          <w:szCs w:val="28"/>
          <w:vertAlign w:val="superscript"/>
          <w:rtl/>
          <w:lang w:bidi="ar-JO"/>
        </w:rPr>
        <w:t>)</w:t>
      </w:r>
      <w:r w:rsidR="0075141A" w:rsidRPr="00001A51">
        <w:rPr>
          <w:rFonts w:ascii="Arabic Transparent" w:hAnsi="Arabic Transparent" w:cs="Arabic Transparent" w:hint="cs"/>
          <w:sz w:val="28"/>
          <w:szCs w:val="28"/>
          <w:rtl/>
          <w:lang w:bidi="ar-JO"/>
        </w:rPr>
        <w:t>.</w:t>
      </w:r>
      <w:r w:rsidR="0075141A" w:rsidRPr="00001A51">
        <w:rPr>
          <w:rFonts w:ascii="Arabic Transparent" w:hAnsi="Arabic Transparent" w:cs="Arabic Transparent"/>
          <w:sz w:val="28"/>
          <w:szCs w:val="28"/>
          <w:rtl/>
          <w:lang w:bidi="ar-JO"/>
        </w:rPr>
        <w:br w:type="page"/>
      </w:r>
    </w:p>
    <w:p w14:paraId="1AD63B95" w14:textId="77777777" w:rsidR="004E383D" w:rsidRPr="00001A51" w:rsidRDefault="004E383D" w:rsidP="004E383D">
      <w:pPr>
        <w:spacing w:after="0" w:line="360" w:lineRule="auto"/>
        <w:jc w:val="both"/>
        <w:rPr>
          <w:rFonts w:ascii="Arabic Transparent" w:hAnsi="Arabic Transparent" w:cs="Arabic Transparent"/>
          <w:sz w:val="24"/>
          <w:szCs w:val="24"/>
          <w:rtl/>
        </w:rPr>
      </w:pPr>
      <w:r w:rsidRPr="00001A51">
        <w:rPr>
          <w:rFonts w:ascii="Arabic Transparent" w:hAnsi="Arabic Transparent" w:cs="Arabic Transparent"/>
          <w:b/>
          <w:bCs/>
          <w:sz w:val="28"/>
          <w:szCs w:val="28"/>
          <w:rtl/>
          <w:lang w:bidi="ar-JO"/>
        </w:rPr>
        <w:t xml:space="preserve">4- </w:t>
      </w:r>
      <w:r w:rsidRPr="00001A51">
        <w:rPr>
          <w:rFonts w:ascii="Arabic Transparent" w:hAnsi="Arabic Transparent" w:cs="Arabic Transparent"/>
          <w:sz w:val="28"/>
          <w:szCs w:val="28"/>
          <w:rtl/>
          <w:lang w:bidi="ar-JO"/>
        </w:rPr>
        <w:t>انتفاء الموانع المؤثرة في المحل عند تحقيق المناط الخاص</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681"/>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فإذا وجد المانع المؤثر، فإنه يمنع من تنزيل الحكم على المحل، والمثال على ذلك: نكاح المتوفى عنها زوجها مباح، بشرط انتفاء الموانع الشرعية كالعدة، فلا يجوز نكاحها أو خطبتها صراحةً حتى تقضي العدة الشرعية</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682"/>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كما في قوله تعالى</w:t>
      </w:r>
      <w:r w:rsidRPr="00001A51">
        <w:rPr>
          <w:rFonts w:ascii="Arabic Transparent" w:hAnsi="Arabic Transparent" w:cs="Arabic Transparent"/>
          <w:sz w:val="24"/>
          <w:szCs w:val="24"/>
          <w:rtl/>
          <w:lang w:bidi="ar-JO"/>
        </w:rPr>
        <w:t xml:space="preserve">: </w:t>
      </w:r>
      <w:r w:rsidRPr="00001A51">
        <w:rPr>
          <w:rFonts w:ascii="KFGQPC HAFS Uthmanic Script" w:hAnsi="Times New Roman" w:cs="KFGQPC HAFS Uthmanic Script"/>
          <w:color w:val="000000"/>
          <w:sz w:val="28"/>
          <w:szCs w:val="28"/>
          <w:rtl/>
        </w:rPr>
        <w:t>ﵟوَلَا جُنَاحَ عَلَيۡكُمۡ فِيمَا عَرَّضۡتُم بِهِۦ مِنۡ خِطۡبَةِ ٱلنِّسَآءِ أَوۡ أَكۡنَنتُمۡ فِيٓ أَنفُسِكُمۡۚ عَلِمَ ٱللَّهُ أَنَّكُمۡ سَتَذۡكُرُونَهُنَّ وَلَٰكِن لَّا تُوَاعِدُوهُنَّ سِرًّا إِلَّآ أَن تَقُولُواْ قَوۡلٗا مَّعۡرُوفٗاۚ وَلَا تَعۡزِمُواْ عُقۡدَةَ ٱلنِّكَاحِ حَتَّىٰ يَبۡلُغَ ٱلۡكِتَٰبُ أَجَلَهُۥۚ وَٱعۡلَمُوٓاْ أَنَّ ٱللَّهَ يَعۡلَمُ مَا فِيٓ أَنفُسِكُمۡ فَٱحۡذَرُوهُۚ وَٱعۡلَمُوٓاْ أَنَّ ٱللَّهَ غَفُورٌ حَلِيمٞ ٢٣٥ﵞ ﵝالبَقَرَةِ:ﵕﵓﵒﵜ</w:t>
      </w:r>
      <w:r w:rsidRPr="00001A51">
        <w:rPr>
          <w:rFonts w:ascii="Arabic Transparent" w:hAnsi="Arabic Transparent" w:cs="Arabic Transparent"/>
          <w:sz w:val="24"/>
          <w:szCs w:val="24"/>
          <w:rtl/>
        </w:rPr>
        <w:t xml:space="preserve"> </w:t>
      </w:r>
      <w:r w:rsidRPr="00001A51">
        <w:rPr>
          <w:rFonts w:ascii="Arabic Transparent" w:hAnsi="Arabic Transparent" w:cs="Arabic Transparent"/>
          <w:b/>
          <w:bCs/>
          <w:sz w:val="28"/>
          <w:szCs w:val="28"/>
          <w:rtl/>
        </w:rPr>
        <w:t xml:space="preserve">وجه الدلالة: </w:t>
      </w:r>
      <w:r w:rsidRPr="00001A51">
        <w:rPr>
          <w:rFonts w:ascii="Arabic Transparent" w:hAnsi="Arabic Transparent" w:cs="Arabic Transparent"/>
          <w:sz w:val="28"/>
          <w:szCs w:val="28"/>
          <w:rtl/>
        </w:rPr>
        <w:t>تصرِّح الآية الكريمة بالنهي عن النكاح في عدة المرأة المطلقة أو المتوفى عنها زوجها</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683"/>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rPr>
        <w:t>.</w:t>
      </w:r>
      <w:r w:rsidRPr="00001A51">
        <w:rPr>
          <w:rFonts w:ascii="Arabic Transparent" w:hAnsi="Arabic Transparent" w:cs="Arabic Transparent"/>
          <w:b/>
          <w:bCs/>
          <w:sz w:val="28"/>
          <w:szCs w:val="28"/>
          <w:rtl/>
        </w:rPr>
        <w:t xml:space="preserve"> </w:t>
      </w:r>
    </w:p>
    <w:p w14:paraId="6BD5DC87" w14:textId="4BD52B69" w:rsidR="003C1E26" w:rsidRPr="00001A51" w:rsidRDefault="004E383D" w:rsidP="003C1E26">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b/>
          <w:bCs/>
          <w:sz w:val="28"/>
          <w:szCs w:val="28"/>
          <w:rtl/>
          <w:lang w:bidi="ar-JO"/>
        </w:rPr>
        <w:t>5-</w:t>
      </w:r>
      <w:r w:rsidRPr="00001A51">
        <w:rPr>
          <w:rFonts w:ascii="Arabic Transparent" w:hAnsi="Arabic Transparent" w:cs="Arabic Transparent"/>
          <w:sz w:val="28"/>
          <w:szCs w:val="28"/>
          <w:rtl/>
          <w:lang w:bidi="ar-JO"/>
        </w:rPr>
        <w:t xml:space="preserve"> أن يكون تحقيق المناط الخاص موافقاً لمقصد الشارع، فإذا قام المجتهد بتحقيق المناط الخاص وقد راعى الضوابط السابقة لكنه خالف مقصود الشارع فإنه يمنع عند المالكية</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684"/>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xml:space="preserve"> والحنابلة</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685"/>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w:t>
      </w:r>
      <w:r w:rsidR="003C1E26" w:rsidRPr="00001A51">
        <w:rPr>
          <w:rFonts w:ascii="Arabic Transparent" w:hAnsi="Arabic Transparent" w:cs="Arabic Transparent" w:hint="cs"/>
          <w:sz w:val="28"/>
          <w:szCs w:val="28"/>
          <w:rtl/>
          <w:lang w:bidi="ar-JO"/>
        </w:rPr>
        <w:t xml:space="preserve"> </w:t>
      </w:r>
      <w:r w:rsidRPr="00001A51">
        <w:rPr>
          <w:rFonts w:ascii="Arabic Transparent" w:hAnsi="Arabic Transparent" w:cs="Arabic Transparent"/>
          <w:sz w:val="28"/>
          <w:szCs w:val="28"/>
          <w:rtl/>
          <w:lang w:bidi="ar-JO"/>
        </w:rPr>
        <w:t xml:space="preserve">ومثاله نكاح المطلقة ثلاثاً من رجل آخر من أجل تحليلها لزوجها الأول، يحرم مع توفر الضوابط السابقة لتحقيق </w:t>
      </w:r>
      <w:r w:rsidR="00B154EE" w:rsidRPr="00001A51">
        <w:rPr>
          <w:rFonts w:ascii="Arabic Transparent" w:hAnsi="Arabic Transparent" w:cs="Arabic Transparent" w:hint="cs"/>
          <w:sz w:val="28"/>
          <w:szCs w:val="28"/>
          <w:rtl/>
          <w:lang w:bidi="ar-JO"/>
        </w:rPr>
        <w:t>المناط</w:t>
      </w:r>
      <w:r w:rsidR="00B154EE" w:rsidRPr="00001A51">
        <w:rPr>
          <w:rFonts w:ascii="Arabic Transparent" w:hAnsi="Arabic Transparent" w:cs="Arabic Transparent" w:hint="eastAsia"/>
          <w:sz w:val="28"/>
          <w:szCs w:val="28"/>
          <w:rtl/>
          <w:lang w:bidi="ar-JO"/>
        </w:rPr>
        <w:t>،</w:t>
      </w:r>
      <w:r w:rsidRPr="00001A51">
        <w:rPr>
          <w:rFonts w:ascii="Arabic Transparent" w:hAnsi="Arabic Transparent" w:cs="Arabic Transparent"/>
          <w:sz w:val="28"/>
          <w:szCs w:val="28"/>
          <w:rtl/>
          <w:lang w:bidi="ar-JO"/>
        </w:rPr>
        <w:t xml:space="preserve"> ولكن يحرم وحتى إن كان قصد المحلل حسناً، لأنه يخالف مقصد الشارع من إباحة النكاح وهو الاستدامة، قال الشاطبي:</w:t>
      </w:r>
      <w:r w:rsidR="00151AED" w:rsidRPr="00001A51">
        <w:rPr>
          <w:rFonts w:ascii="Arabic Transparent" w:hAnsi="Arabic Transparent" w:cs="Arabic Transparent"/>
          <w:sz w:val="28"/>
          <w:szCs w:val="28"/>
          <w:rtl/>
          <w:lang w:bidi="ar-JO"/>
        </w:rPr>
        <w:t xml:space="preserve"> "</w:t>
      </w:r>
      <w:r w:rsidRPr="00001A51">
        <w:rPr>
          <w:rFonts w:ascii="Arabic Transparent" w:hAnsi="Arabic Transparent" w:cs="Arabic Transparent"/>
          <w:sz w:val="28"/>
          <w:szCs w:val="28"/>
          <w:rtl/>
          <w:lang w:bidi="ar-JO"/>
        </w:rPr>
        <w:t>‌نكاح ‌التحليل لم يقصد به ما يقصد بالنكاح، إنما قصد به تحليلها للمطلق الأول بصورة نكاح زوج غيره، لا بحقيقته، فلم يتضمن غرضا من أغراضه التي شرع لها"</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686"/>
      </w:r>
      <w:r w:rsidRPr="00001A51">
        <w:rPr>
          <w:rFonts w:ascii="Arabic Transparent" w:hAnsi="Arabic Transparent" w:cs="Arabic Transparent"/>
          <w:sz w:val="28"/>
          <w:szCs w:val="28"/>
          <w:vertAlign w:val="superscript"/>
          <w:rtl/>
          <w:lang w:bidi="ar-JO"/>
        </w:rPr>
        <w:t>)</w:t>
      </w:r>
    </w:p>
    <w:p w14:paraId="4BEF495D" w14:textId="77777777" w:rsidR="003C1E26" w:rsidRPr="00001A51" w:rsidRDefault="003C1E26">
      <w:pPr>
        <w:bidi w:val="0"/>
        <w:spacing w:after="0" w:line="240" w:lineRule="auto"/>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br w:type="page"/>
      </w:r>
    </w:p>
    <w:p w14:paraId="067A2035" w14:textId="17F270A8" w:rsidR="004E383D" w:rsidRPr="00001A51" w:rsidRDefault="004E383D" w:rsidP="004E383D">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سادساً: الت</w:t>
      </w:r>
      <w:r w:rsidR="007A662C" w:rsidRPr="00001A51">
        <w:rPr>
          <w:rFonts w:ascii="Arabic Transparent" w:hAnsi="Arabic Transparent" w:cs="Arabic Transparent" w:hint="cs"/>
          <w:b/>
          <w:bCs/>
          <w:sz w:val="28"/>
          <w:szCs w:val="28"/>
          <w:rtl/>
          <w:lang w:bidi="ar-JO"/>
        </w:rPr>
        <w:t>ّ</w:t>
      </w:r>
      <w:r w:rsidRPr="00001A51">
        <w:rPr>
          <w:rFonts w:ascii="Arabic Transparent" w:hAnsi="Arabic Transparent" w:cs="Arabic Transparent"/>
          <w:b/>
          <w:bCs/>
          <w:sz w:val="28"/>
          <w:szCs w:val="28"/>
          <w:rtl/>
          <w:lang w:bidi="ar-JO"/>
        </w:rPr>
        <w:t>خل</w:t>
      </w:r>
      <w:r w:rsidR="007A662C" w:rsidRPr="00001A51">
        <w:rPr>
          <w:rFonts w:ascii="Arabic Transparent" w:hAnsi="Arabic Transparent" w:cs="Arabic Transparent" w:hint="cs"/>
          <w:b/>
          <w:bCs/>
          <w:sz w:val="28"/>
          <w:szCs w:val="28"/>
          <w:rtl/>
          <w:lang w:bidi="ar-JO"/>
        </w:rPr>
        <w:t>ّ</w:t>
      </w:r>
      <w:r w:rsidRPr="00001A51">
        <w:rPr>
          <w:rFonts w:ascii="Arabic Transparent" w:hAnsi="Arabic Transparent" w:cs="Arabic Transparent"/>
          <w:b/>
          <w:bCs/>
          <w:sz w:val="28"/>
          <w:szCs w:val="28"/>
          <w:rtl/>
          <w:lang w:bidi="ar-JO"/>
        </w:rPr>
        <w:t xml:space="preserve">ص من الأسباب المحرمة التي تؤدي إلى تفاوت ممنوع أو فاحش. </w:t>
      </w:r>
    </w:p>
    <w:p w14:paraId="163239CB" w14:textId="157D3A10" w:rsidR="004E383D" w:rsidRPr="00001A51" w:rsidRDefault="005D7B91" w:rsidP="004E383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4E383D" w:rsidRPr="00001A51">
        <w:rPr>
          <w:rFonts w:ascii="Arabic Transparent" w:hAnsi="Arabic Transparent" w:cs="Arabic Transparent"/>
          <w:sz w:val="28"/>
          <w:szCs w:val="28"/>
          <w:rtl/>
          <w:lang w:bidi="ar-JO"/>
        </w:rPr>
        <w:t xml:space="preserve">من أجل </w:t>
      </w:r>
      <w:r w:rsidR="004E383D" w:rsidRPr="00001A51">
        <w:rPr>
          <w:rFonts w:ascii="Arabic Transparent" w:hAnsi="Arabic Transparent" w:cs="Arabic Transparent"/>
          <w:b/>
          <w:bCs/>
          <w:sz w:val="28"/>
          <w:szCs w:val="28"/>
          <w:rtl/>
          <w:lang w:bidi="ar-JO"/>
        </w:rPr>
        <w:t>ضبط المعاملة</w:t>
      </w:r>
      <w:r w:rsidR="004E383D" w:rsidRPr="00001A51">
        <w:rPr>
          <w:rFonts w:ascii="Arabic Transparent" w:hAnsi="Arabic Transparent" w:cs="Arabic Transparent"/>
          <w:sz w:val="28"/>
          <w:szCs w:val="28"/>
          <w:rtl/>
          <w:lang w:bidi="ar-JO"/>
        </w:rPr>
        <w:t xml:space="preserve"> التي لا تقبل التفاوت الفاحش أو اليسير، والتي تحوي على الربا يجب التخلص من الأسباب المحرمة، وعندها تصبح المعاملة صحيحة ومقبولة من الناحية الشرعية، وصورها كما يأتي:</w:t>
      </w:r>
    </w:p>
    <w:p w14:paraId="0DA235AE" w14:textId="0CBCF558" w:rsidR="001B2914" w:rsidRPr="00001A51" w:rsidRDefault="004E383D" w:rsidP="003C1E26">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1- التفاضل في مقدار أصناف الجنس الواحد: عند مبادلة الرديء من الأصناف الربوية (الأقوات) بالجيد متفاضلاً أو مبادلة حلي الذهب القديم بالجديد متفاضلاً، فإنَّ سبب التحريم التفاضل بين العوضين الذي يجري بينهما الربا، ويجب تجنب ذلك بإجراء بيع وشراء بعقود منفصلة، والشاهد</w:t>
      </w:r>
      <w:r w:rsidR="007A662C" w:rsidRPr="00001A51">
        <w:rPr>
          <w:rFonts w:ascii="Arabic Transparent" w:hAnsi="Arabic Transparent" w:cs="Arabic Transparent" w:hint="cs"/>
          <w:sz w:val="28"/>
          <w:szCs w:val="28"/>
          <w:rtl/>
          <w:lang w:bidi="ar-JO"/>
        </w:rPr>
        <w:t xml:space="preserve"> أنَّ</w:t>
      </w:r>
      <w:r w:rsidRPr="00001A51">
        <w:rPr>
          <w:rFonts w:ascii="Arabic Transparent" w:hAnsi="Arabic Transparent" w:cs="Arabic Transparent"/>
          <w:sz w:val="28"/>
          <w:szCs w:val="28"/>
          <w:rtl/>
          <w:lang w:bidi="ar-JO"/>
        </w:rPr>
        <w:t>: أبا هُرَيرَةَ رضي الله عنهما قال:</w:t>
      </w:r>
      <w:r w:rsidR="0067036C" w:rsidRPr="00001A51">
        <w:rPr>
          <w:rFonts w:ascii="Arabic Transparent" w:hAnsi="Arabic Transparent" w:cs="Arabic Transparent" w:hint="cs"/>
          <w:sz w:val="28"/>
          <w:szCs w:val="28"/>
          <w:rtl/>
          <w:lang w:bidi="ar-JO"/>
        </w:rPr>
        <w:t xml:space="preserve"> </w:t>
      </w:r>
      <w:r w:rsidRPr="00001A51">
        <w:rPr>
          <w:rFonts w:ascii="Arabic Transparent" w:hAnsi="Arabic Transparent" w:cs="Arabic Transparent"/>
          <w:sz w:val="28"/>
          <w:szCs w:val="28"/>
          <w:rtl/>
          <w:lang w:bidi="ar-JO"/>
        </w:rPr>
        <w:t>"أن</w:t>
      </w:r>
      <w:r w:rsidR="007A662C" w:rsidRPr="00001A51">
        <w:rPr>
          <w:rFonts w:ascii="Arabic Transparent" w:hAnsi="Arabic Transparent" w:cs="Arabic Transparent" w:hint="cs"/>
          <w:sz w:val="28"/>
          <w:szCs w:val="28"/>
          <w:rtl/>
          <w:lang w:bidi="ar-JO"/>
        </w:rPr>
        <w:t>َّ</w:t>
      </w:r>
      <w:r w:rsidRPr="00001A51">
        <w:rPr>
          <w:rFonts w:ascii="Arabic Transparent" w:hAnsi="Arabic Transparent" w:cs="Arabic Transparent"/>
          <w:sz w:val="28"/>
          <w:szCs w:val="28"/>
          <w:rtl/>
          <w:lang w:bidi="ar-JO"/>
        </w:rPr>
        <w:t xml:space="preserve"> رسول الله - صلي ‌الله ‌عليه ‌وسلم - ‌استعمل ‌رجلا ‌على ‌خيبر، فجاءه بتمر جنيب، فقال رسول الله - صلي الله عليه وسلم -: </w:t>
      </w:r>
      <w:r w:rsidR="00F8716C" w:rsidRPr="00001A51">
        <w:rPr>
          <w:rFonts w:ascii="Arabic Transparent" w:hAnsi="Arabic Transparent" w:cs="Arabic Transparent" w:hint="cs"/>
          <w:sz w:val="28"/>
          <w:szCs w:val="28"/>
          <w:rtl/>
          <w:lang w:bidi="ar-JO"/>
        </w:rPr>
        <w:t>(</w:t>
      </w:r>
      <w:r w:rsidRPr="00001A51">
        <w:rPr>
          <w:rFonts w:ascii="Arabic Transparent" w:hAnsi="Arabic Transparent" w:cs="Arabic Transparent"/>
          <w:sz w:val="28"/>
          <w:szCs w:val="28"/>
          <w:rtl/>
          <w:lang w:bidi="ar-JO"/>
        </w:rPr>
        <w:t xml:space="preserve">أكل تمر خيبر هكذا؟ </w:t>
      </w:r>
      <w:r w:rsidR="00F8716C" w:rsidRPr="00001A51">
        <w:rPr>
          <w:rFonts w:ascii="Arabic Transparent" w:hAnsi="Arabic Transparent" w:cs="Arabic Transparent" w:hint="cs"/>
          <w:sz w:val="28"/>
          <w:szCs w:val="28"/>
          <w:rtl/>
          <w:lang w:bidi="ar-JO"/>
        </w:rPr>
        <w:t>)</w:t>
      </w:r>
      <w:r w:rsidRPr="00001A51">
        <w:rPr>
          <w:rFonts w:ascii="Arabic Transparent" w:hAnsi="Arabic Transparent" w:cs="Arabic Transparent"/>
          <w:sz w:val="28"/>
          <w:szCs w:val="28"/>
          <w:rtl/>
          <w:lang w:bidi="ar-JO"/>
        </w:rPr>
        <w:t>. قال: لا والله يا رسول الله، إنَّا لنأخذ الصاع من هذا بالصاعين والصاعين بالثلاثة. فقال رسول الله - صلي الله عليه وسلم -: لا تفعل، بع الجمع بالدراهم، ثم ابتع بالدراهم جنيبا"</w:t>
      </w:r>
      <w:r w:rsidRPr="00001A51">
        <w:rPr>
          <w:rFonts w:ascii="Arabic Transparent" w:hAnsi="Arabic Transparent" w:cs="Arabic Transparent"/>
          <w:b/>
          <w:bCs/>
          <w:sz w:val="28"/>
          <w:szCs w:val="28"/>
          <w:rtl/>
          <w:lang w:bidi="ar-JO"/>
        </w:rPr>
        <w:t>.</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687"/>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xml:space="preserve"> </w:t>
      </w:r>
      <w:r w:rsidRPr="00001A51">
        <w:rPr>
          <w:rFonts w:ascii="Arabic Transparent" w:hAnsi="Arabic Transparent" w:cs="Arabic Transparent"/>
          <w:b/>
          <w:bCs/>
          <w:sz w:val="28"/>
          <w:szCs w:val="28"/>
          <w:rtl/>
          <w:lang w:bidi="ar-JO"/>
        </w:rPr>
        <w:t>وجه الدلالة:</w:t>
      </w:r>
      <w:r w:rsidRPr="00001A51">
        <w:rPr>
          <w:rFonts w:ascii="Arabic Transparent" w:hAnsi="Arabic Transparent" w:cs="Arabic Transparent"/>
          <w:sz w:val="28"/>
          <w:szCs w:val="28"/>
          <w:rtl/>
          <w:lang w:bidi="ar-JO"/>
        </w:rPr>
        <w:t xml:space="preserve"> أن النبي </w:t>
      </w:r>
      <w:r w:rsidR="005E3842" w:rsidRPr="00001A51">
        <w:rPr>
          <w:rFonts w:ascii="AGA Arabesque" w:hAnsi="AGA Arabesque" w:cs="AGA Arabesque"/>
          <w:sz w:val="28"/>
          <w:szCs w:val="28"/>
          <w:lang w:bidi="ar-JO"/>
        </w:rPr>
        <w:t></w:t>
      </w:r>
      <w:r w:rsidRPr="00001A51">
        <w:rPr>
          <w:rFonts w:ascii="Arabic Transparent" w:hAnsi="Arabic Transparent" w:cs="Arabic Transparent"/>
          <w:sz w:val="28"/>
          <w:szCs w:val="28"/>
          <w:rtl/>
          <w:lang w:bidi="ar-JO"/>
        </w:rPr>
        <w:t xml:space="preserve"> وجّه العامل إلى ترك الأسباب المحرمة وهو التفاضل مع اتحاد العلة والجنس، فالبيع والشراء وإن اجتمع جنس الأصناف الربوية فاجتمعت الدراهم مع التمر، ولكن العلة اختلفت حيث يقول النووي: "أجمع العلماء على جواز بيع الربوي بربوي لا يشاركه في العلة متفاضلا، ومؤجلا وذلك كبيع الذهب بالحنطة، وبيع الفضة بالشعير وغيره من المكيل"</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688"/>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xml:space="preserve"> </w:t>
      </w:r>
    </w:p>
    <w:p w14:paraId="648FD889" w14:textId="77777777" w:rsidR="007A662C" w:rsidRPr="00001A51" w:rsidRDefault="004E383D" w:rsidP="003C1E26">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2- التفاضل بالمثل أو تأخير القبض: عند بيع الذهب بالذهب أو الفضة بالفضة من أفراد الجنس الواحد وهي ما تسمى المراطلة</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689"/>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xml:space="preserve"> وكانت تستعمل من أجل بيع مصوغ الذهب بتبر ذهب أو دنانير وعند الفقهاء وجوه المراطلة كلها جائزة عند التساوي والتقابض، إلا في وجهين عند بعض </w:t>
      </w:r>
    </w:p>
    <w:p w14:paraId="3C187011" w14:textId="77777777" w:rsidR="007A662C" w:rsidRPr="00001A51" w:rsidRDefault="007A662C">
      <w:pPr>
        <w:bidi w:val="0"/>
        <w:spacing w:after="0" w:line="240" w:lineRule="auto"/>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br w:type="page"/>
      </w:r>
    </w:p>
    <w:p w14:paraId="1375EDA7" w14:textId="7D72E718" w:rsidR="004E383D" w:rsidRPr="00001A51" w:rsidRDefault="004E383D" w:rsidP="003C1E26">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المالكية</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690"/>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أحدها: التفاوت في الجودة</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691"/>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والآخر: التفاوت في الكيل</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692"/>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xml:space="preserve"> فإنَّ سبب تحريمها التفاوت في الجودة أو الكيل فإذا زال السبب والتزم بشروط الصرف في المراطلة جازت جميع صورها</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693"/>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،وعند فريق من المالكية أجازوا اليسير من المراطلة حيث قال ابن العربي: "ومنه ترك الدَّلِيل للتيسير لرفع المشقَّة وإيثار التّوسعَة على الخلق الرّابع إجازة التَّفَاضل اليَسِير فِي المراطلة الكَبِيرَة"</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694"/>
      </w:r>
      <w:r w:rsidRPr="00001A51">
        <w:rPr>
          <w:rFonts w:ascii="Arabic Transparent" w:hAnsi="Arabic Transparent" w:cs="Arabic Transparent"/>
          <w:sz w:val="28"/>
          <w:szCs w:val="28"/>
          <w:vertAlign w:val="superscript"/>
          <w:rtl/>
          <w:lang w:bidi="ar-JO"/>
        </w:rPr>
        <w:t>)</w:t>
      </w:r>
      <w:r w:rsidR="00D9288F" w:rsidRPr="00001A51">
        <w:rPr>
          <w:rFonts w:ascii="Arabic Transparent" w:hAnsi="Arabic Transparent" w:cs="Arabic Transparent" w:hint="cs"/>
          <w:sz w:val="28"/>
          <w:szCs w:val="28"/>
          <w:rtl/>
          <w:lang w:bidi="ar-JO"/>
        </w:rPr>
        <w:t>،</w:t>
      </w:r>
      <w:r w:rsidRPr="00001A51">
        <w:rPr>
          <w:rFonts w:ascii="Arabic Transparent" w:hAnsi="Arabic Transparent" w:cs="Arabic Transparent"/>
          <w:sz w:val="28"/>
          <w:szCs w:val="28"/>
          <w:rtl/>
          <w:lang w:bidi="ar-JO"/>
        </w:rPr>
        <w:t xml:space="preserve"> ويفهم من كلام الشاطبي في الاعتصام تفسيرَ ما قصده ابن العربي وهو اليسير غير المقصود والذي لا تضبطه الموازين القديمة، فجاز التفاوت فيه استحساناً لرفع الحرج عن الناس وبين تأكيده على وجوب المماثلة حيث قال:</w:t>
      </w:r>
      <w:r w:rsidR="00151AED" w:rsidRPr="00001A51">
        <w:rPr>
          <w:rFonts w:ascii="Arabic Transparent" w:hAnsi="Arabic Transparent" w:cs="Arabic Transparent"/>
          <w:sz w:val="28"/>
          <w:szCs w:val="28"/>
          <w:rtl/>
          <w:lang w:bidi="ar-JO"/>
        </w:rPr>
        <w:t xml:space="preserve"> "</w:t>
      </w:r>
      <w:r w:rsidRPr="00001A51">
        <w:rPr>
          <w:rFonts w:ascii="Arabic Transparent" w:hAnsi="Arabic Transparent" w:cs="Arabic Transparent"/>
          <w:sz w:val="28"/>
          <w:szCs w:val="28"/>
          <w:rtl/>
          <w:lang w:bidi="ar-JO"/>
        </w:rPr>
        <w:t>وجه ‌ذلك ‌أن ‌التافه ‌في ‌حكم ‌العدم، ولذلك لا تنصرف إليه الأغراض في الغالب، وأن المشاحة في اليسير قد تؤدي إلى الحرج والمشقة، وهما مرفوعان عن المكلف"</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695"/>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xml:space="preserve"> واشترطوا في ‌المراطلة المماثلة في الوزن والحلول والتقابض في مجلس العقد</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696"/>
      </w:r>
      <w:r w:rsidRPr="00001A51">
        <w:rPr>
          <w:rFonts w:ascii="Arabic Transparent" w:hAnsi="Arabic Transparent" w:cs="Arabic Transparent"/>
          <w:sz w:val="28"/>
          <w:szCs w:val="28"/>
          <w:vertAlign w:val="superscript"/>
          <w:rtl/>
          <w:lang w:bidi="ar-JO"/>
        </w:rPr>
        <w:t>)</w:t>
      </w:r>
    </w:p>
    <w:p w14:paraId="0A069FC6" w14:textId="1078466F" w:rsidR="007A662C" w:rsidRPr="00001A51" w:rsidRDefault="004E383D" w:rsidP="007A662C">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3- التفاضل في المقدار أو</w:t>
      </w:r>
      <w:r w:rsidR="0067036C" w:rsidRPr="00001A51">
        <w:rPr>
          <w:rFonts w:ascii="Arabic Transparent" w:hAnsi="Arabic Transparent" w:cs="Arabic Transparent" w:hint="cs"/>
          <w:sz w:val="28"/>
          <w:szCs w:val="28"/>
          <w:rtl/>
          <w:lang w:bidi="ar-JO"/>
        </w:rPr>
        <w:t xml:space="preserve"> </w:t>
      </w:r>
      <w:r w:rsidRPr="00001A51">
        <w:rPr>
          <w:rFonts w:ascii="Arabic Transparent" w:hAnsi="Arabic Transparent" w:cs="Arabic Transparent"/>
          <w:sz w:val="28"/>
          <w:szCs w:val="28"/>
          <w:rtl/>
          <w:lang w:bidi="ar-JO"/>
        </w:rPr>
        <w:t>تأخير القبض: عند بيع الأثمان بغيرها وهي ما تسمى المصارفة، وهي مما يحتاج إليها الناس في جميع الأزمان لتحويل العملات من عملة إلى عملة، ومستنده من الحديث</w:t>
      </w:r>
      <w:r w:rsidR="005D7B91" w:rsidRPr="00001A51">
        <w:rPr>
          <w:rFonts w:ascii="Arabic Transparent" w:hAnsi="Arabic Transparent" w:cs="Arabic Transparent"/>
          <w:sz w:val="28"/>
          <w:szCs w:val="28"/>
          <w:rtl/>
          <w:lang w:bidi="ar-JO"/>
        </w:rPr>
        <w:t xml:space="preserve"> </w:t>
      </w:r>
      <w:r w:rsidRPr="00001A51">
        <w:rPr>
          <w:rFonts w:ascii="Arabic Transparent" w:hAnsi="Arabic Transparent" w:cs="Arabic Transparent"/>
          <w:sz w:val="28"/>
          <w:szCs w:val="28"/>
          <w:rtl/>
          <w:lang w:bidi="ar-JO"/>
        </w:rPr>
        <w:t xml:space="preserve">عن مالك بن أوس أخبره: "‌أنه ‌التمس ‌صرفا ‌بمائة ‌دينار، فدعاني طلحة بن عبيد الله، فتراوضنا حتى اصطرف مني، فأخذ الذهب يقلبها في يده ثم قال: حتى يأتي خازني من الغابة، وعمر يسمع ذلك، فقال: والله لا تفارقه حتى تأخذ منه، قال رسول الله </w:t>
      </w:r>
      <w:r w:rsidR="005224A0" w:rsidRPr="00001A51">
        <w:rPr>
          <w:rFonts w:ascii="AGA Arabesque" w:hAnsi="AGA Arabesque" w:cs="AGA Arabesque"/>
          <w:sz w:val="28"/>
          <w:szCs w:val="28"/>
          <w:lang w:bidi="ar-JO"/>
        </w:rPr>
        <w:t></w:t>
      </w:r>
      <w:r w:rsidRPr="00001A51">
        <w:rPr>
          <w:rFonts w:ascii="Arabic Transparent" w:hAnsi="Arabic Transparent" w:cs="Arabic Transparent"/>
          <w:sz w:val="28"/>
          <w:szCs w:val="28"/>
          <w:rtl/>
          <w:lang w:bidi="ar-JO"/>
        </w:rPr>
        <w:t>:</w:t>
      </w:r>
      <w:r w:rsidR="00F8716C" w:rsidRPr="00001A51">
        <w:rPr>
          <w:rFonts w:ascii="Arabic Transparent" w:hAnsi="Arabic Transparent" w:cs="Arabic Transparent" w:hint="cs"/>
          <w:sz w:val="28"/>
          <w:szCs w:val="28"/>
          <w:rtl/>
          <w:lang w:bidi="ar-JO"/>
        </w:rPr>
        <w:t>:</w:t>
      </w:r>
      <w:r w:rsidRPr="00001A51">
        <w:rPr>
          <w:rFonts w:ascii="Arabic Transparent" w:hAnsi="Arabic Transparent" w:cs="Arabic Transparent"/>
          <w:sz w:val="28"/>
          <w:szCs w:val="28"/>
          <w:rtl/>
          <w:lang w:bidi="ar-JO"/>
        </w:rPr>
        <w:t xml:space="preserve"> الذهب بالذهب ربا إلا </w:t>
      </w:r>
      <w:r w:rsidRPr="00001A51">
        <w:rPr>
          <w:rFonts w:ascii="Arabic Transparent" w:hAnsi="Arabic Transparent" w:cs="Arabic Transparent"/>
          <w:sz w:val="28"/>
          <w:szCs w:val="28"/>
          <w:rtl/>
          <w:lang w:bidi="ar-JO"/>
        </w:rPr>
        <w:lastRenderedPageBreak/>
        <w:t xml:space="preserve">هاء وهاء، والبر بالبر ربا إلا هاء وهاء، والشعير بالشعير ربا إلا هاء </w:t>
      </w:r>
      <w:r w:rsidR="00F8716C" w:rsidRPr="00001A51">
        <w:rPr>
          <w:rFonts w:ascii="Arabic Transparent" w:hAnsi="Arabic Transparent" w:cs="Arabic Transparent" w:hint="cs"/>
          <w:sz w:val="28"/>
          <w:szCs w:val="28"/>
          <w:rtl/>
          <w:lang w:bidi="ar-JO"/>
        </w:rPr>
        <w:t>"</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697"/>
      </w:r>
      <w:r w:rsidRPr="00001A51">
        <w:rPr>
          <w:rFonts w:ascii="Arabic Transparent" w:hAnsi="Arabic Transparent" w:cs="Arabic Transparent"/>
          <w:sz w:val="28"/>
          <w:szCs w:val="28"/>
          <w:vertAlign w:val="superscript"/>
          <w:rtl/>
          <w:lang w:bidi="ar-JO"/>
        </w:rPr>
        <w:t>)</w:t>
      </w:r>
      <w:r w:rsidR="007A662C" w:rsidRPr="00001A51">
        <w:rPr>
          <w:rFonts w:ascii="Arabic Transparent" w:hAnsi="Arabic Transparent" w:cs="Arabic Transparent" w:hint="cs"/>
          <w:sz w:val="28"/>
          <w:szCs w:val="28"/>
          <w:rtl/>
          <w:lang w:bidi="ar-JO"/>
        </w:rPr>
        <w:t>،</w:t>
      </w:r>
      <w:r w:rsidR="007A662C" w:rsidRPr="00001A51">
        <w:rPr>
          <w:rFonts w:ascii="Arabic Transparent" w:hAnsi="Arabic Transparent" w:cs="Arabic Transparent"/>
          <w:sz w:val="28"/>
          <w:szCs w:val="28"/>
          <w:rtl/>
          <w:lang w:bidi="ar-JO"/>
        </w:rPr>
        <w:br w:type="page"/>
      </w:r>
    </w:p>
    <w:p w14:paraId="3C26C1C9" w14:textId="203179A5" w:rsidR="004E383D" w:rsidRPr="00001A51" w:rsidRDefault="004E383D" w:rsidP="001B2914">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b/>
          <w:bCs/>
          <w:sz w:val="28"/>
          <w:szCs w:val="28"/>
          <w:rtl/>
          <w:lang w:bidi="ar-JO"/>
        </w:rPr>
        <w:t>وجه الدلالة</w:t>
      </w:r>
      <w:r w:rsidR="005D7B91" w:rsidRPr="00001A51">
        <w:rPr>
          <w:rFonts w:ascii="Arabic Transparent" w:hAnsi="Arabic Transparent" w:cs="Arabic Transparent"/>
          <w:sz w:val="28"/>
          <w:szCs w:val="28"/>
          <w:rtl/>
          <w:lang w:bidi="ar-JO"/>
        </w:rPr>
        <w:t xml:space="preserve">: </w:t>
      </w:r>
      <w:r w:rsidRPr="00001A51">
        <w:rPr>
          <w:rFonts w:ascii="Arabic Transparent" w:hAnsi="Arabic Transparent" w:cs="Arabic Transparent"/>
          <w:sz w:val="28"/>
          <w:szCs w:val="28"/>
          <w:rtl/>
          <w:lang w:bidi="ar-JO"/>
        </w:rPr>
        <w:t>يشير الحديث صراحة إلى جواز الصرف المتمثل في بيع الأصناف الربوية بأي ثمن آخر من ورق أو فلوس – بشرط التقابض في مجلس العقد</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698"/>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xml:space="preserve"> وإن اختلف الوزن والعدد في المصارفة فتجوز بالتماثل والتقابل في المقدار بين العملات.</w:t>
      </w:r>
    </w:p>
    <w:p w14:paraId="35E517F5" w14:textId="0E341EDF" w:rsidR="001B2914" w:rsidRPr="00001A51" w:rsidRDefault="004E383D" w:rsidP="004E383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4- الزيادة مقابل الأجل: عند ضرب الزيادة مقابل زيادة الأجل (زدني أنظرك) أو إنقاص الثمن مقابل تعجيل الدفع (ضع وتعجل) وله العديد من الصور منها القرض بفائدة ربوية، وغرامات التأخير المشروطة وكلها ترجع إلى سبب ضرب الزيادة في مقابلة الأجل حيث تجوز الزيادة على سبيل التبرع والهبة ولا تجوز على سبيل الشرط والزيادة في مقابلة التأخر في السداد، والزيادة الممنوعة في المثل أو القيمة أو المنفعة فكلها محرمة باطلة مردودة على صاحبها</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699"/>
      </w:r>
      <w:r w:rsidRPr="00001A51">
        <w:rPr>
          <w:rFonts w:ascii="Arabic Transparent" w:hAnsi="Arabic Transparent" w:cs="Arabic Transparent"/>
          <w:sz w:val="28"/>
          <w:szCs w:val="28"/>
          <w:vertAlign w:val="superscript"/>
          <w:rtl/>
          <w:lang w:bidi="ar-JO"/>
        </w:rPr>
        <w:t>)</w:t>
      </w:r>
    </w:p>
    <w:p w14:paraId="27145223" w14:textId="77777777" w:rsidR="00201DD5" w:rsidRPr="00001A51" w:rsidRDefault="001B2914" w:rsidP="00201DD5">
      <w:pPr>
        <w:spacing w:after="0" w:line="360" w:lineRule="auto"/>
        <w:jc w:val="center"/>
        <w:rPr>
          <w:rFonts w:ascii="Arabic Transparent" w:hAnsi="Arabic Transparent" w:cs="Arabic Transparent"/>
          <w:b/>
          <w:bCs/>
          <w:sz w:val="32"/>
          <w:szCs w:val="32"/>
          <w:rtl/>
          <w:lang w:bidi="ar-JO"/>
        </w:rPr>
      </w:pPr>
      <w:r w:rsidRPr="00001A51">
        <w:rPr>
          <w:rFonts w:ascii="Arabic Transparent" w:hAnsi="Arabic Transparent" w:cs="Arabic Transparent"/>
          <w:sz w:val="28"/>
          <w:szCs w:val="28"/>
          <w:rtl/>
          <w:lang w:bidi="ar-JO"/>
        </w:rPr>
        <w:br w:type="page"/>
      </w:r>
      <w:r w:rsidR="00201DD5" w:rsidRPr="00001A51">
        <w:rPr>
          <w:rFonts w:ascii="Arabic Transparent" w:hAnsi="Arabic Transparent" w:cs="Arabic Transparent"/>
          <w:b/>
          <w:bCs/>
          <w:sz w:val="32"/>
          <w:szCs w:val="32"/>
          <w:rtl/>
          <w:lang w:bidi="ar-JO"/>
        </w:rPr>
        <w:lastRenderedPageBreak/>
        <w:t>الفصل الثالث:</w:t>
      </w:r>
    </w:p>
    <w:p w14:paraId="519FE22E" w14:textId="77777777" w:rsidR="00201DD5" w:rsidRPr="00001A51" w:rsidRDefault="00201DD5" w:rsidP="00201DD5">
      <w:pPr>
        <w:spacing w:after="0" w:line="360" w:lineRule="auto"/>
        <w:jc w:val="center"/>
        <w:rPr>
          <w:rFonts w:ascii="Arabic Transparent" w:hAnsi="Arabic Transparent" w:cs="Arabic Transparent"/>
          <w:b/>
          <w:bCs/>
          <w:sz w:val="32"/>
          <w:szCs w:val="32"/>
          <w:rtl/>
          <w:lang w:bidi="ar-JO"/>
        </w:rPr>
      </w:pPr>
      <w:r w:rsidRPr="00001A51">
        <w:rPr>
          <w:rFonts w:ascii="Arabic Transparent" w:hAnsi="Arabic Transparent" w:cs="Arabic Transparent"/>
          <w:b/>
          <w:bCs/>
          <w:sz w:val="32"/>
          <w:szCs w:val="32"/>
          <w:rtl/>
          <w:lang w:bidi="ar-JO"/>
        </w:rPr>
        <w:t>تطبيقات التفاوت في فتاوى المعاملات المالية المعاصرة</w:t>
      </w:r>
    </w:p>
    <w:p w14:paraId="7DB4D3E7" w14:textId="46E2564E" w:rsidR="00201DD5" w:rsidRPr="00001A51" w:rsidRDefault="00201DD5" w:rsidP="00201DD5">
      <w:pPr>
        <w:spacing w:after="0" w:line="360" w:lineRule="auto"/>
        <w:jc w:val="center"/>
        <w:rPr>
          <w:rFonts w:ascii="Arabic Transparent" w:hAnsi="Arabic Transparent" w:cs="Arabic Transparent"/>
          <w:b/>
          <w:bCs/>
          <w:sz w:val="32"/>
          <w:szCs w:val="32"/>
          <w:rtl/>
          <w:lang w:bidi="ar-JO"/>
        </w:rPr>
      </w:pPr>
      <w:r w:rsidRPr="00001A51">
        <w:rPr>
          <w:rFonts w:ascii="Arabic Transparent" w:hAnsi="Arabic Transparent" w:cs="Arabic Transparent"/>
          <w:b/>
          <w:bCs/>
          <w:sz w:val="32"/>
          <w:szCs w:val="32"/>
          <w:rtl/>
          <w:lang w:bidi="ar-JO"/>
        </w:rPr>
        <w:t>المبحث الأول</w:t>
      </w:r>
      <w:r w:rsidR="00151AED" w:rsidRPr="00001A51">
        <w:rPr>
          <w:rFonts w:ascii="Arabic Transparent" w:hAnsi="Arabic Transparent" w:cs="Arabic Transparent"/>
          <w:b/>
          <w:bCs/>
          <w:sz w:val="32"/>
          <w:szCs w:val="32"/>
          <w:rtl/>
          <w:lang w:bidi="ar-JO"/>
        </w:rPr>
        <w:t xml:space="preserve">: </w:t>
      </w:r>
    </w:p>
    <w:p w14:paraId="1D3232EA" w14:textId="77777777" w:rsidR="00201DD5" w:rsidRPr="00001A51" w:rsidRDefault="00201DD5" w:rsidP="00201DD5">
      <w:pPr>
        <w:spacing w:after="0" w:line="360" w:lineRule="auto"/>
        <w:jc w:val="center"/>
        <w:rPr>
          <w:rFonts w:ascii="Arabic Transparent" w:hAnsi="Arabic Transparent" w:cs="Arabic Transparent"/>
          <w:b/>
          <w:bCs/>
          <w:sz w:val="32"/>
          <w:szCs w:val="32"/>
          <w:rtl/>
          <w:lang w:bidi="ar-JO"/>
        </w:rPr>
      </w:pPr>
      <w:r w:rsidRPr="00001A51">
        <w:rPr>
          <w:rFonts w:ascii="Arabic Transparent" w:hAnsi="Arabic Transparent" w:cs="Arabic Transparent"/>
          <w:b/>
          <w:bCs/>
          <w:sz w:val="32"/>
          <w:szCs w:val="32"/>
          <w:rtl/>
          <w:lang w:bidi="ar-JO"/>
        </w:rPr>
        <w:t>تطبيقات من فتاوى التمويل الإسلامي</w:t>
      </w:r>
    </w:p>
    <w:p w14:paraId="29D8075D" w14:textId="77777777" w:rsidR="00201DD5" w:rsidRPr="00001A51" w:rsidRDefault="00201DD5" w:rsidP="00201DD5">
      <w:pPr>
        <w:spacing w:after="0" w:line="360" w:lineRule="auto"/>
        <w:jc w:val="both"/>
        <w:rPr>
          <w:rFonts w:ascii="Arabic Transparent" w:hAnsi="Arabic Transparent" w:cs="Arabic Transparent"/>
          <w:b/>
          <w:bCs/>
          <w:sz w:val="32"/>
          <w:szCs w:val="32"/>
          <w:rtl/>
          <w:lang w:bidi="ar-JO"/>
        </w:rPr>
      </w:pPr>
      <w:r w:rsidRPr="00001A51">
        <w:rPr>
          <w:rFonts w:ascii="Arabic Transparent" w:hAnsi="Arabic Transparent" w:cs="Arabic Transparent"/>
          <w:b/>
          <w:bCs/>
          <w:sz w:val="32"/>
          <w:szCs w:val="32"/>
          <w:rtl/>
          <w:lang w:bidi="ar-JO"/>
        </w:rPr>
        <w:t>المطلب الأول: التَّورُّق المصرفي المنظم:</w:t>
      </w:r>
    </w:p>
    <w:p w14:paraId="5F9F31C8" w14:textId="7FAC2F3D" w:rsidR="00201DD5" w:rsidRPr="00001A51" w:rsidRDefault="005D7B91"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201DD5" w:rsidRPr="00001A51">
        <w:rPr>
          <w:rFonts w:ascii="Arabic Transparent" w:hAnsi="Arabic Transparent" w:cs="Arabic Transparent"/>
          <w:sz w:val="28"/>
          <w:szCs w:val="28"/>
          <w:rtl/>
          <w:lang w:bidi="ar-JO"/>
        </w:rPr>
        <w:t xml:space="preserve">تعد مسألة التَّورُّق من المسائل التطبيقية المعاصرة التي وقع فيها التفاوت في الحكم بين القول بالإباحة المتعلقة بالبيع المطلق، وبين القول بالكراهة للتورق الفردي، وبين القول بالتحريم للتورق المنظم، وسنتعرف على وجه التفاوت بينها فيما يأتي: </w:t>
      </w:r>
    </w:p>
    <w:p w14:paraId="7945ABEE" w14:textId="77777777" w:rsidR="00201DD5" w:rsidRPr="00001A51" w:rsidRDefault="00201DD5" w:rsidP="00201DD5">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 xml:space="preserve">الفرع الأول: حقيقة التَّورُّق المنظم: </w:t>
      </w:r>
    </w:p>
    <w:p w14:paraId="00E1C758" w14:textId="77777777" w:rsidR="00201DD5" w:rsidRPr="00001A51" w:rsidRDefault="00201DD5" w:rsidP="00201DD5">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 xml:space="preserve">أولاً: تعريف التورّق: </w:t>
      </w:r>
    </w:p>
    <w:p w14:paraId="70A93470" w14:textId="2AA68DD8" w:rsidR="00201DD5" w:rsidRPr="00001A51" w:rsidRDefault="005D7B91"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b/>
          <w:bCs/>
          <w:sz w:val="28"/>
          <w:szCs w:val="28"/>
          <w:rtl/>
          <w:lang w:bidi="ar-JO"/>
        </w:rPr>
        <w:t xml:space="preserve">     </w:t>
      </w:r>
      <w:r w:rsidR="00201DD5" w:rsidRPr="00001A51">
        <w:rPr>
          <w:rFonts w:ascii="Arabic Transparent" w:hAnsi="Arabic Transparent" w:cs="Arabic Transparent"/>
          <w:sz w:val="28"/>
          <w:szCs w:val="28"/>
          <w:rtl/>
          <w:lang w:bidi="ar-JO"/>
        </w:rPr>
        <w:t>التَّورُّق لغة</w:t>
      </w:r>
      <w:r w:rsidR="00201DD5" w:rsidRPr="00001A51">
        <w:rPr>
          <w:rFonts w:ascii="Arabic Transparent" w:hAnsi="Arabic Transparent" w:cs="Arabic Transparent"/>
          <w:b/>
          <w:bCs/>
          <w:sz w:val="28"/>
          <w:szCs w:val="28"/>
          <w:rtl/>
          <w:lang w:bidi="ar-JO"/>
        </w:rPr>
        <w:t>:</w:t>
      </w:r>
      <w:r w:rsidR="00201DD5" w:rsidRPr="00001A51">
        <w:rPr>
          <w:rFonts w:ascii="Arabic Transparent" w:hAnsi="Arabic Transparent" w:cs="Arabic Transparent"/>
          <w:sz w:val="28"/>
          <w:szCs w:val="28"/>
          <w:rtl/>
          <w:lang w:bidi="ar-JO"/>
        </w:rPr>
        <w:t xml:space="preserve"> "طلب الورق، والدراهم"</w:t>
      </w:r>
      <w:r w:rsidR="00201DD5" w:rsidRPr="00001A51">
        <w:rPr>
          <w:rFonts w:ascii="Arabic Transparent" w:hAnsi="Arabic Transparent" w:cs="Arabic Transparent"/>
          <w:sz w:val="28"/>
          <w:szCs w:val="28"/>
          <w:vertAlign w:val="superscript"/>
          <w:rtl/>
          <w:lang w:bidi="ar-JO"/>
        </w:rPr>
        <w:t>(</w:t>
      </w:r>
      <w:r w:rsidR="00201DD5" w:rsidRPr="00001A51">
        <w:rPr>
          <w:rFonts w:ascii="Arabic Transparent" w:hAnsi="Arabic Transparent" w:cs="Arabic Transparent"/>
          <w:sz w:val="28"/>
          <w:szCs w:val="28"/>
          <w:vertAlign w:val="superscript"/>
          <w:rtl/>
          <w:lang w:bidi="ar-JO"/>
        </w:rPr>
        <w:footnoteReference w:id="700"/>
      </w:r>
      <w:r w:rsidR="00201DD5" w:rsidRPr="00001A51">
        <w:rPr>
          <w:rFonts w:ascii="Arabic Transparent" w:hAnsi="Arabic Transparent" w:cs="Arabic Transparent"/>
          <w:sz w:val="28"/>
          <w:szCs w:val="28"/>
          <w:vertAlign w:val="superscript"/>
          <w:rtl/>
          <w:lang w:bidi="ar-JO"/>
        </w:rPr>
        <w:t>)</w:t>
      </w:r>
      <w:r w:rsidR="00201DD5" w:rsidRPr="00001A51">
        <w:rPr>
          <w:rFonts w:ascii="Arabic Transparent" w:hAnsi="Arabic Transparent" w:cs="Arabic Transparent"/>
          <w:sz w:val="28"/>
          <w:szCs w:val="28"/>
          <w:rtl/>
          <w:lang w:bidi="ar-JO"/>
        </w:rPr>
        <w:t>،</w:t>
      </w:r>
      <w:r w:rsidR="00201DD5" w:rsidRPr="00001A51">
        <w:rPr>
          <w:rFonts w:ascii="Arabic Transparent" w:hAnsi="Arabic Transparent" w:cs="Arabic Transparent"/>
          <w:b/>
          <w:bCs/>
          <w:sz w:val="28"/>
          <w:szCs w:val="28"/>
          <w:rtl/>
          <w:lang w:bidi="ar-JO"/>
        </w:rPr>
        <w:t xml:space="preserve"> </w:t>
      </w:r>
      <w:r w:rsidR="00201DD5" w:rsidRPr="00001A51">
        <w:rPr>
          <w:rFonts w:ascii="Arabic Transparent" w:hAnsi="Arabic Transparent" w:cs="Arabic Transparent"/>
          <w:sz w:val="28"/>
          <w:szCs w:val="28"/>
          <w:rtl/>
          <w:lang w:bidi="ar-JO"/>
        </w:rPr>
        <w:t>والتَّورُّق اصطلاحاً:</w:t>
      </w:r>
      <w:r w:rsidR="00201DD5" w:rsidRPr="00001A51">
        <w:rPr>
          <w:rFonts w:ascii="Arabic Transparent" w:hAnsi="Arabic Transparent" w:cs="Arabic Transparent"/>
          <w:b/>
          <w:bCs/>
          <w:sz w:val="28"/>
          <w:szCs w:val="28"/>
          <w:rtl/>
          <w:lang w:bidi="ar-JO"/>
        </w:rPr>
        <w:t xml:space="preserve"> </w:t>
      </w:r>
      <w:r w:rsidR="00201DD5" w:rsidRPr="00001A51">
        <w:rPr>
          <w:rFonts w:ascii="Arabic Transparent" w:hAnsi="Arabic Transparent" w:cs="Arabic Transparent"/>
          <w:sz w:val="28"/>
          <w:szCs w:val="28"/>
          <w:rtl/>
          <w:lang w:bidi="ar-JO"/>
        </w:rPr>
        <w:t>"أنَّ يشتري الرجل السلعة بثمن مؤجل، ثم يبيعها إلى آخر بثمن أقل مما اشتراها به"</w:t>
      </w:r>
      <w:r w:rsidR="00201DD5" w:rsidRPr="00001A51">
        <w:rPr>
          <w:rFonts w:ascii="Arabic Transparent" w:hAnsi="Arabic Transparent" w:cs="Arabic Transparent"/>
          <w:sz w:val="28"/>
          <w:szCs w:val="28"/>
          <w:vertAlign w:val="superscript"/>
          <w:rtl/>
          <w:lang w:bidi="ar-JO"/>
        </w:rPr>
        <w:t>(</w:t>
      </w:r>
      <w:r w:rsidR="00201DD5" w:rsidRPr="00001A51">
        <w:rPr>
          <w:rFonts w:ascii="Arabic Transparent" w:hAnsi="Arabic Transparent" w:cs="Arabic Transparent"/>
          <w:sz w:val="28"/>
          <w:szCs w:val="28"/>
          <w:vertAlign w:val="superscript"/>
          <w:rtl/>
          <w:lang w:bidi="ar-JO"/>
        </w:rPr>
        <w:footnoteReference w:id="701"/>
      </w:r>
      <w:r w:rsidR="00201DD5" w:rsidRPr="00001A51">
        <w:rPr>
          <w:rFonts w:ascii="Arabic Transparent" w:hAnsi="Arabic Transparent" w:cs="Arabic Transparent"/>
          <w:sz w:val="28"/>
          <w:szCs w:val="28"/>
          <w:vertAlign w:val="superscript"/>
          <w:rtl/>
          <w:lang w:bidi="ar-JO"/>
        </w:rPr>
        <w:t xml:space="preserve">) </w:t>
      </w:r>
      <w:r w:rsidR="00201DD5" w:rsidRPr="00001A51">
        <w:rPr>
          <w:rFonts w:ascii="Arabic Transparent" w:hAnsi="Arabic Transparent" w:cs="Arabic Transparent"/>
          <w:sz w:val="28"/>
          <w:szCs w:val="28"/>
          <w:rtl/>
          <w:lang w:bidi="ar-JO"/>
        </w:rPr>
        <w:t>وسميت بمسألة ‌التَّورُّق لأنَّ "المقصود منها طلب الوَرِق"</w:t>
      </w:r>
      <w:r w:rsidR="00201DD5" w:rsidRPr="00001A51">
        <w:rPr>
          <w:rFonts w:ascii="Arabic Transparent" w:hAnsi="Arabic Transparent" w:cs="Arabic Transparent"/>
          <w:sz w:val="28"/>
          <w:szCs w:val="28"/>
          <w:vertAlign w:val="superscript"/>
          <w:rtl/>
          <w:lang w:bidi="ar-JO"/>
        </w:rPr>
        <w:t>(</w:t>
      </w:r>
      <w:r w:rsidR="00201DD5" w:rsidRPr="00001A51">
        <w:rPr>
          <w:rFonts w:ascii="Arabic Transparent" w:hAnsi="Arabic Transparent" w:cs="Arabic Transparent"/>
          <w:sz w:val="28"/>
          <w:szCs w:val="28"/>
          <w:vertAlign w:val="superscript"/>
          <w:rtl/>
          <w:lang w:bidi="ar-JO"/>
        </w:rPr>
        <w:footnoteReference w:id="702"/>
      </w:r>
      <w:r w:rsidR="00201DD5" w:rsidRPr="00001A51">
        <w:rPr>
          <w:rFonts w:ascii="Arabic Transparent" w:hAnsi="Arabic Transparent" w:cs="Arabic Transparent"/>
          <w:sz w:val="28"/>
          <w:szCs w:val="28"/>
          <w:vertAlign w:val="superscript"/>
          <w:rtl/>
          <w:lang w:bidi="ar-JO"/>
        </w:rPr>
        <w:t>)</w:t>
      </w:r>
      <w:r w:rsidR="00201DD5" w:rsidRPr="00001A51">
        <w:rPr>
          <w:rFonts w:ascii="Arabic Transparent" w:hAnsi="Arabic Transparent" w:cs="Arabic Transparent"/>
          <w:sz w:val="28"/>
          <w:szCs w:val="28"/>
          <w:rtl/>
          <w:lang w:bidi="ar-JO"/>
        </w:rPr>
        <w:t>، النقود لا صورية البيع.</w:t>
      </w:r>
    </w:p>
    <w:p w14:paraId="264D92BE" w14:textId="55D65F54" w:rsidR="00201DD5" w:rsidRPr="00001A51" w:rsidRDefault="005D7B91"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201DD5" w:rsidRPr="00001A51">
        <w:rPr>
          <w:rFonts w:ascii="Arabic Transparent" w:hAnsi="Arabic Transparent" w:cs="Arabic Transparent"/>
          <w:sz w:val="28"/>
          <w:szCs w:val="28"/>
          <w:rtl/>
          <w:lang w:bidi="ar-JO"/>
        </w:rPr>
        <w:t>صورة التورّق: إنَّ المحتاج للسيولة يشتري سلعةً بثمنٍ مؤجَّل، ثم يبيع تلك السلعة بعد تملكها لطرفٍ آخر بثمنٍ معجل أقل غالبًا ليحصل على النقود فورًا، فتكون السلعة وسيلة للوصول إلى النقد لا مقصودة لذاتها</w:t>
      </w:r>
      <w:r w:rsidR="00201DD5" w:rsidRPr="00001A51">
        <w:rPr>
          <w:rFonts w:ascii="Arabic Transparent" w:hAnsi="Arabic Transparent" w:cs="Arabic Transparent"/>
          <w:sz w:val="28"/>
          <w:szCs w:val="28"/>
          <w:vertAlign w:val="superscript"/>
          <w:rtl/>
          <w:lang w:bidi="ar-JO"/>
        </w:rPr>
        <w:t>(</w:t>
      </w:r>
      <w:r w:rsidR="00201DD5" w:rsidRPr="00001A51">
        <w:rPr>
          <w:rFonts w:ascii="Arabic Transparent" w:hAnsi="Arabic Transparent" w:cs="Arabic Transparent"/>
          <w:sz w:val="28"/>
          <w:szCs w:val="28"/>
          <w:vertAlign w:val="superscript"/>
          <w:rtl/>
          <w:lang w:bidi="ar-JO"/>
        </w:rPr>
        <w:footnoteReference w:id="703"/>
      </w:r>
      <w:r w:rsidR="00201DD5" w:rsidRPr="00001A51">
        <w:rPr>
          <w:rFonts w:ascii="Arabic Transparent" w:hAnsi="Arabic Transparent" w:cs="Arabic Transparent"/>
          <w:sz w:val="28"/>
          <w:szCs w:val="28"/>
          <w:vertAlign w:val="superscript"/>
          <w:rtl/>
          <w:lang w:bidi="ar-JO"/>
        </w:rPr>
        <w:t>)</w:t>
      </w:r>
      <w:r w:rsidR="00201DD5" w:rsidRPr="00001A51">
        <w:rPr>
          <w:rFonts w:ascii="Arabic Transparent" w:hAnsi="Arabic Transparent" w:cs="Arabic Transparent"/>
          <w:sz w:val="28"/>
          <w:szCs w:val="28"/>
          <w:rtl/>
          <w:lang w:bidi="ar-JO"/>
        </w:rPr>
        <w:t>.</w:t>
      </w:r>
    </w:p>
    <w:p w14:paraId="5F4DF021" w14:textId="45EA0A88" w:rsidR="00201DD5" w:rsidRPr="00001A51" w:rsidRDefault="005D7B91" w:rsidP="00201DD5">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sz w:val="28"/>
          <w:szCs w:val="28"/>
          <w:rtl/>
          <w:lang w:bidi="ar-JO"/>
        </w:rPr>
        <w:t xml:space="preserve">     </w:t>
      </w:r>
      <w:r w:rsidR="00201DD5" w:rsidRPr="00001A51">
        <w:rPr>
          <w:rFonts w:ascii="Arabic Transparent" w:hAnsi="Arabic Transparent" w:cs="Arabic Transparent"/>
          <w:sz w:val="28"/>
          <w:szCs w:val="28"/>
          <w:rtl/>
          <w:lang w:bidi="ar-JO"/>
        </w:rPr>
        <w:t>طلب الوَرِق في أصله مباح</w:t>
      </w:r>
      <w:r w:rsidR="00201DD5" w:rsidRPr="00001A51">
        <w:rPr>
          <w:rFonts w:ascii="Arabic Transparent" w:hAnsi="Arabic Transparent" w:cs="Arabic Transparent"/>
          <w:sz w:val="28"/>
          <w:szCs w:val="28"/>
          <w:vertAlign w:val="superscript"/>
          <w:rtl/>
          <w:lang w:bidi="ar-JO"/>
        </w:rPr>
        <w:t>(</w:t>
      </w:r>
      <w:r w:rsidR="00201DD5" w:rsidRPr="00001A51">
        <w:rPr>
          <w:rFonts w:ascii="Arabic Transparent" w:hAnsi="Arabic Transparent" w:cs="Arabic Transparent"/>
          <w:sz w:val="28"/>
          <w:szCs w:val="28"/>
          <w:vertAlign w:val="superscript"/>
          <w:rtl/>
          <w:lang w:bidi="ar-JO"/>
        </w:rPr>
        <w:footnoteReference w:id="704"/>
      </w:r>
      <w:r w:rsidR="00201DD5" w:rsidRPr="00001A51">
        <w:rPr>
          <w:rFonts w:ascii="Arabic Transparent" w:hAnsi="Arabic Transparent" w:cs="Arabic Transparent"/>
          <w:sz w:val="28"/>
          <w:szCs w:val="28"/>
          <w:vertAlign w:val="superscript"/>
          <w:rtl/>
          <w:lang w:bidi="ar-JO"/>
        </w:rPr>
        <w:t>)</w:t>
      </w:r>
      <w:r w:rsidR="00201DD5" w:rsidRPr="00001A51">
        <w:rPr>
          <w:rFonts w:ascii="Arabic Transparent" w:hAnsi="Arabic Transparent" w:cs="Arabic Transparent"/>
          <w:sz w:val="28"/>
          <w:szCs w:val="28"/>
          <w:rtl/>
          <w:lang w:bidi="ar-JO"/>
        </w:rPr>
        <w:t xml:space="preserve">، وهو ما يفعله التُّجار عندما لا يجدون سيولة، حيث يقوموا بخفض الأسعار من أجل تصريف السلع، وجمع النقود بأسرع وقت، أما صورة التورِّق الفردي والمنظم مختلف بعض الشيء، ويمكن التعرَّف عليها بما يأتي: </w:t>
      </w:r>
      <w:r w:rsidR="00201DD5" w:rsidRPr="00001A51">
        <w:rPr>
          <w:rFonts w:ascii="Arabic Transparent" w:hAnsi="Arabic Transparent" w:cs="Arabic Transparent"/>
          <w:b/>
          <w:bCs/>
          <w:sz w:val="28"/>
          <w:szCs w:val="28"/>
          <w:rtl/>
          <w:lang w:bidi="ar-JO"/>
        </w:rPr>
        <w:br w:type="page"/>
      </w:r>
    </w:p>
    <w:p w14:paraId="4C021873" w14:textId="77777777" w:rsidR="00201DD5" w:rsidRPr="00001A51" w:rsidRDefault="00201DD5" w:rsidP="00201DD5">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 xml:space="preserve">ثانياً: تعريف المنظم: </w:t>
      </w:r>
    </w:p>
    <w:p w14:paraId="0770D44A" w14:textId="0756BF59" w:rsidR="00201DD5" w:rsidRPr="00201DD5" w:rsidRDefault="005D7B91" w:rsidP="00201DD5">
      <w:pPr>
        <w:widowControl w:val="0"/>
        <w:autoSpaceDE w:val="0"/>
        <w:autoSpaceDN w:val="0"/>
        <w:adjustRightInd w:val="0"/>
        <w:spacing w:after="0" w:line="360" w:lineRule="auto"/>
        <w:contextualSpacing/>
        <w:jc w:val="both"/>
        <w:rPr>
          <w:rFonts w:ascii="Arabic Transparent" w:hAnsi="Arabic Transparent" w:cs="Arabic Transparent"/>
          <w:sz w:val="28"/>
          <w:szCs w:val="28"/>
          <w:rtl/>
          <w:lang w:bidi="ar-JO"/>
        </w:rPr>
      </w:pPr>
      <w:r>
        <w:rPr>
          <w:rFonts w:ascii="Arabic Transparent" w:hAnsi="Arabic Transparent" w:cs="Arabic Transparent"/>
          <w:sz w:val="28"/>
          <w:szCs w:val="28"/>
          <w:rtl/>
        </w:rPr>
        <w:t xml:space="preserve">     </w:t>
      </w:r>
      <w:r w:rsidR="00201DD5" w:rsidRPr="00201DD5">
        <w:rPr>
          <w:rFonts w:ascii="Arabic Transparent" w:hAnsi="Arabic Transparent" w:cs="Arabic Transparent"/>
          <w:sz w:val="28"/>
          <w:szCs w:val="28"/>
          <w:rtl/>
        </w:rPr>
        <w:t>المنظَّم لغةً: أصلها نَظَمَ وهي "صفةٌ تدلُّ على تأليف شيءٍ، وترتيبه"</w:t>
      </w:r>
      <w:r w:rsidR="00201DD5" w:rsidRPr="00201DD5">
        <w:rPr>
          <w:rFonts w:ascii="Arabic Transparent" w:hAnsi="Arabic Transparent" w:cs="Arabic Transparent"/>
          <w:sz w:val="28"/>
          <w:szCs w:val="28"/>
          <w:vertAlign w:val="superscript"/>
          <w:rtl/>
          <w:lang w:bidi="ar-JO"/>
        </w:rPr>
        <w:t>(</w:t>
      </w:r>
      <w:r w:rsidR="00201DD5" w:rsidRPr="00201DD5">
        <w:rPr>
          <w:rFonts w:ascii="Arabic Transparent" w:hAnsi="Arabic Transparent" w:cs="Arabic Transparent"/>
          <w:sz w:val="28"/>
          <w:szCs w:val="28"/>
          <w:vertAlign w:val="superscript"/>
          <w:rtl/>
          <w:lang w:bidi="ar-JO"/>
        </w:rPr>
        <w:footnoteReference w:id="705"/>
      </w:r>
      <w:r w:rsidR="00201DD5" w:rsidRPr="00201DD5">
        <w:rPr>
          <w:rFonts w:ascii="Arabic Transparent" w:hAnsi="Arabic Transparent" w:cs="Arabic Transparent"/>
          <w:sz w:val="28"/>
          <w:szCs w:val="28"/>
          <w:vertAlign w:val="superscript"/>
          <w:rtl/>
          <w:lang w:bidi="ar-JO"/>
        </w:rPr>
        <w:t>)</w:t>
      </w:r>
      <w:r w:rsidR="00201DD5" w:rsidRPr="00201DD5">
        <w:rPr>
          <w:rFonts w:ascii="Arabic Transparent" w:hAnsi="Arabic Transparent" w:cs="Arabic Transparent"/>
          <w:b/>
          <w:bCs/>
          <w:sz w:val="28"/>
          <w:szCs w:val="28"/>
          <w:rtl/>
        </w:rPr>
        <w:t xml:space="preserve">، </w:t>
      </w:r>
      <w:r w:rsidR="00201DD5" w:rsidRPr="00201DD5">
        <w:rPr>
          <w:rFonts w:ascii="Arabic Transparent" w:hAnsi="Arabic Transparent" w:cs="Arabic Transparent"/>
          <w:sz w:val="28"/>
          <w:szCs w:val="28"/>
          <w:rtl/>
        </w:rPr>
        <w:t>والمنظَّم اصطلاحاً: لم يجد الباحث معنى المنظم اصطلاحاً، ويمكن تعريفه بما يناسب المعنى اللغوي السابق، إنه: "صفة تعني الترتيب والتهذيب لعملية معينة بين الأطراف"</w:t>
      </w:r>
      <w:r w:rsidR="00201DD5" w:rsidRPr="00201DD5">
        <w:rPr>
          <w:rFonts w:ascii="Arabic Transparent" w:hAnsi="Arabic Transparent" w:cs="Arabic Transparent"/>
          <w:sz w:val="28"/>
          <w:szCs w:val="28"/>
          <w:vertAlign w:val="superscript"/>
          <w:rtl/>
          <w:lang w:bidi="ar-JO"/>
        </w:rPr>
        <w:t>(</w:t>
      </w:r>
      <w:r w:rsidR="00201DD5" w:rsidRPr="00201DD5">
        <w:rPr>
          <w:rFonts w:ascii="Arabic Transparent" w:hAnsi="Arabic Transparent" w:cs="Arabic Transparent"/>
          <w:sz w:val="28"/>
          <w:szCs w:val="28"/>
          <w:vertAlign w:val="superscript"/>
          <w:rtl/>
          <w:lang w:bidi="ar-JO"/>
        </w:rPr>
        <w:footnoteReference w:id="706"/>
      </w:r>
      <w:r w:rsidR="00201DD5" w:rsidRPr="00201DD5">
        <w:rPr>
          <w:rFonts w:ascii="Arabic Transparent" w:hAnsi="Arabic Transparent" w:cs="Arabic Transparent"/>
          <w:sz w:val="28"/>
          <w:szCs w:val="28"/>
          <w:vertAlign w:val="superscript"/>
          <w:rtl/>
          <w:lang w:bidi="ar-JO"/>
        </w:rPr>
        <w:t>)</w:t>
      </w:r>
      <w:r w:rsidR="00201DD5" w:rsidRPr="00201DD5">
        <w:rPr>
          <w:rFonts w:ascii="Arabic Transparent" w:hAnsi="Arabic Transparent" w:cs="Arabic Transparent"/>
          <w:sz w:val="28"/>
          <w:szCs w:val="28"/>
          <w:rtl/>
        </w:rPr>
        <w:t xml:space="preserve">. </w:t>
      </w:r>
    </w:p>
    <w:p w14:paraId="0E8CCC90" w14:textId="1DFEE23E" w:rsidR="00201DD5" w:rsidRPr="00201DD5" w:rsidRDefault="00201DD5" w:rsidP="00201DD5">
      <w:pPr>
        <w:widowControl w:val="0"/>
        <w:autoSpaceDE w:val="0"/>
        <w:autoSpaceDN w:val="0"/>
        <w:adjustRightInd w:val="0"/>
        <w:spacing w:after="0" w:line="360" w:lineRule="auto"/>
        <w:contextualSpacing/>
        <w:jc w:val="both"/>
        <w:rPr>
          <w:rFonts w:ascii="Arabic Transparent" w:hAnsi="Arabic Transparent" w:cs="Arabic Transparent"/>
          <w:sz w:val="28"/>
          <w:szCs w:val="28"/>
          <w:rtl/>
        </w:rPr>
      </w:pPr>
      <w:r w:rsidRPr="00201DD5">
        <w:rPr>
          <w:rFonts w:ascii="Arabic Transparent" w:hAnsi="Arabic Transparent" w:cs="Arabic Transparent"/>
          <w:sz w:val="28"/>
          <w:szCs w:val="28"/>
          <w:rtl/>
          <w:lang w:bidi="ar-JO"/>
        </w:rPr>
        <w:t xml:space="preserve"> </w:t>
      </w:r>
      <w:r w:rsidR="00D9288F">
        <w:rPr>
          <w:rFonts w:ascii="Arabic Transparent" w:hAnsi="Arabic Transparent" w:cs="Arabic Transparent" w:hint="cs"/>
          <w:sz w:val="28"/>
          <w:szCs w:val="28"/>
          <w:rtl/>
          <w:lang w:bidi="ar-JO"/>
        </w:rPr>
        <w:t xml:space="preserve">    </w:t>
      </w:r>
      <w:r w:rsidRPr="00201DD5">
        <w:rPr>
          <w:rFonts w:ascii="Arabic Transparent" w:hAnsi="Arabic Transparent" w:cs="Arabic Transparent"/>
          <w:sz w:val="28"/>
          <w:szCs w:val="28"/>
          <w:rtl/>
          <w:lang w:bidi="ar-JO"/>
        </w:rPr>
        <w:t xml:space="preserve">ويمكن شرح التعريف؛ </w:t>
      </w:r>
      <w:r w:rsidRPr="00201DD5">
        <w:rPr>
          <w:rFonts w:ascii="Arabic Transparent" w:hAnsi="Arabic Transparent" w:cs="Arabic Transparent"/>
          <w:sz w:val="28"/>
          <w:szCs w:val="28"/>
          <w:rtl/>
        </w:rPr>
        <w:t>فيقال إنَّ هذه الصفة التي تلحق أي موصوف، فتكون من قبله أو من قبل غيره، وهكذا التَّورُّق المصرفي فهو مرتب من قبل المصرف لأطراف المعاملة.</w:t>
      </w:r>
    </w:p>
    <w:p w14:paraId="4A907432" w14:textId="77777777" w:rsidR="00201DD5" w:rsidRPr="00201DD5" w:rsidRDefault="00201DD5" w:rsidP="00201DD5">
      <w:pPr>
        <w:widowControl w:val="0"/>
        <w:autoSpaceDE w:val="0"/>
        <w:autoSpaceDN w:val="0"/>
        <w:adjustRightInd w:val="0"/>
        <w:spacing w:after="0" w:line="360" w:lineRule="auto"/>
        <w:contextualSpacing/>
        <w:jc w:val="both"/>
        <w:rPr>
          <w:rFonts w:ascii="Arabic Transparent" w:hAnsi="Arabic Transparent" w:cs="Arabic Transparent"/>
          <w:b/>
          <w:bCs/>
          <w:sz w:val="28"/>
          <w:szCs w:val="28"/>
          <w:rtl/>
        </w:rPr>
      </w:pPr>
      <w:r w:rsidRPr="00201DD5">
        <w:rPr>
          <w:rFonts w:ascii="Arabic Transparent" w:hAnsi="Arabic Transparent" w:cs="Arabic Transparent"/>
          <w:b/>
          <w:bCs/>
          <w:sz w:val="28"/>
          <w:szCs w:val="28"/>
          <w:rtl/>
        </w:rPr>
        <w:t xml:space="preserve">ثالثاً: تعريف التورُّق المصرفي: </w:t>
      </w:r>
    </w:p>
    <w:p w14:paraId="22C691BC" w14:textId="2285D6CF" w:rsidR="00201DD5" w:rsidRPr="00201DD5" w:rsidRDefault="005D7B91" w:rsidP="00201DD5">
      <w:pPr>
        <w:widowControl w:val="0"/>
        <w:autoSpaceDE w:val="0"/>
        <w:autoSpaceDN w:val="0"/>
        <w:adjustRightInd w:val="0"/>
        <w:spacing w:after="0" w:line="360" w:lineRule="auto"/>
        <w:contextualSpacing/>
        <w:jc w:val="both"/>
        <w:rPr>
          <w:rFonts w:ascii="Arabic Transparent" w:hAnsi="Arabic Transparent" w:cs="Arabic Transparent"/>
          <w:sz w:val="28"/>
          <w:szCs w:val="28"/>
          <w:rtl/>
        </w:rPr>
      </w:pPr>
      <w:r>
        <w:rPr>
          <w:rFonts w:ascii="Arabic Transparent" w:hAnsi="Arabic Transparent" w:cs="Arabic Transparent"/>
          <w:sz w:val="28"/>
          <w:szCs w:val="28"/>
          <w:rtl/>
        </w:rPr>
        <w:t xml:space="preserve">     </w:t>
      </w:r>
      <w:r w:rsidR="00201DD5" w:rsidRPr="00201DD5">
        <w:rPr>
          <w:rFonts w:ascii="Arabic Transparent" w:hAnsi="Arabic Transparent" w:cs="Arabic Transparent"/>
          <w:sz w:val="28"/>
          <w:szCs w:val="28"/>
          <w:rtl/>
        </w:rPr>
        <w:t xml:space="preserve">التَّورُّق نوعان، وهما: التَّورُّق الفردي، والتَّورُّق المنظَّم وعرّفت بما يأتي: </w:t>
      </w:r>
    </w:p>
    <w:p w14:paraId="36D19E88" w14:textId="77777777" w:rsidR="00201DD5" w:rsidRPr="00201DD5" w:rsidRDefault="00201DD5" w:rsidP="00201DD5">
      <w:pPr>
        <w:widowControl w:val="0"/>
        <w:autoSpaceDE w:val="0"/>
        <w:autoSpaceDN w:val="0"/>
        <w:adjustRightInd w:val="0"/>
        <w:spacing w:after="0" w:line="360" w:lineRule="auto"/>
        <w:contextualSpacing/>
        <w:jc w:val="both"/>
        <w:rPr>
          <w:rFonts w:ascii="Arabic Transparent" w:hAnsi="Arabic Transparent" w:cs="Arabic Transparent"/>
          <w:sz w:val="28"/>
          <w:szCs w:val="28"/>
        </w:rPr>
      </w:pPr>
      <w:r w:rsidRPr="00201DD5">
        <w:rPr>
          <w:rFonts w:ascii="Arabic Transparent" w:hAnsi="Arabic Transparent" w:cs="Arabic Transparent"/>
          <w:sz w:val="28"/>
          <w:szCs w:val="28"/>
          <w:rtl/>
        </w:rPr>
        <w:t>1- التَّورُّق المصرفي الفردي (الحقيقي): "هو أنَّ يشتري العميل السلعة من المصرف بالأَجَل، ثم يبيعها بنفسه إلى طرف ثالث بقصد الحصول على قيمتها نقدًا"</w:t>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vertAlign w:val="superscript"/>
          <w:rtl/>
          <w:lang w:bidi="ar-JO"/>
        </w:rPr>
        <w:footnoteReference w:id="707"/>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rtl/>
        </w:rPr>
        <w:t xml:space="preserve">. </w:t>
      </w:r>
    </w:p>
    <w:p w14:paraId="22BB9AF4" w14:textId="77777777" w:rsidR="00201DD5" w:rsidRPr="00201DD5" w:rsidRDefault="00201DD5" w:rsidP="00201DD5">
      <w:pPr>
        <w:widowControl w:val="0"/>
        <w:autoSpaceDE w:val="0"/>
        <w:autoSpaceDN w:val="0"/>
        <w:adjustRightInd w:val="0"/>
        <w:spacing w:after="0" w:line="360" w:lineRule="auto"/>
        <w:contextualSpacing/>
        <w:jc w:val="both"/>
        <w:rPr>
          <w:rFonts w:ascii="Arabic Transparent" w:hAnsi="Arabic Transparent" w:cs="Arabic Transparent"/>
          <w:sz w:val="28"/>
          <w:szCs w:val="28"/>
          <w:rtl/>
        </w:rPr>
      </w:pPr>
      <w:r w:rsidRPr="00201DD5">
        <w:rPr>
          <w:rFonts w:ascii="Arabic Transparent" w:hAnsi="Arabic Transparent" w:cs="Arabic Transparent"/>
          <w:sz w:val="28"/>
          <w:szCs w:val="28"/>
          <w:rtl/>
        </w:rPr>
        <w:t>2- التَّورُّق المصرفي المنظَّم: عرَّفه الزبيدي، بأنَّه: "شراء المستورق سلعةً من الأسواق المحليّة أو الدوليّة أو ما شابهها بثمنٍ مؤجَّلٍ يتولى البنك (المموِّل) ترتيب بيعها، إما بنفسه، أو بتوكيل غيره، أو بتواطؤ المستورِق مع البنك على ذلك، وذلك بثمنٍ حالٍّ أقلّ غالباً"</w:t>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vertAlign w:val="superscript"/>
          <w:rtl/>
          <w:lang w:bidi="ar-JO"/>
        </w:rPr>
        <w:footnoteReference w:id="708"/>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rtl/>
        </w:rPr>
        <w:t>.</w:t>
      </w:r>
    </w:p>
    <w:p w14:paraId="12344A6D" w14:textId="1C571868" w:rsidR="00201DD5" w:rsidRPr="00201DD5" w:rsidRDefault="005D7B91" w:rsidP="00201DD5">
      <w:pPr>
        <w:widowControl w:val="0"/>
        <w:autoSpaceDE w:val="0"/>
        <w:autoSpaceDN w:val="0"/>
        <w:adjustRightInd w:val="0"/>
        <w:spacing w:after="0" w:line="360" w:lineRule="auto"/>
        <w:contextualSpacing/>
        <w:jc w:val="both"/>
        <w:rPr>
          <w:rFonts w:ascii="Arabic Transparent" w:hAnsi="Arabic Transparent" w:cs="Arabic Transparent"/>
          <w:sz w:val="28"/>
          <w:szCs w:val="28"/>
          <w:rtl/>
        </w:rPr>
      </w:pPr>
      <w:r>
        <w:rPr>
          <w:rFonts w:ascii="Arabic Transparent" w:hAnsi="Arabic Transparent" w:cs="Arabic Transparent"/>
          <w:sz w:val="28"/>
          <w:szCs w:val="28"/>
          <w:rtl/>
        </w:rPr>
        <w:t xml:space="preserve">     </w:t>
      </w:r>
      <w:r w:rsidR="00201DD5" w:rsidRPr="00201DD5">
        <w:rPr>
          <w:rFonts w:ascii="Arabic Transparent" w:hAnsi="Arabic Transparent" w:cs="Arabic Transparent"/>
          <w:sz w:val="28"/>
          <w:szCs w:val="28"/>
          <w:rtl/>
        </w:rPr>
        <w:t>والفرق بين التَّورُّق المنظم والفردي والذي يسمى الحقيقي: أن العميل في المنظم لا يقبض السلعة قبضًا حقيقيًّا، ولا يتولى بيعها بنفسه، في حين أن العميل في الحقيقي بالخيار بين أن يحتفظ بالسلعة أو يبيعها بنفسه في السوق؛ لأنَّ قبضه لها قبضًا حقيقيًّا يُمَكِّنُه من التصرف فيها كما يشاء.</w:t>
      </w:r>
    </w:p>
    <w:p w14:paraId="7B17EB85" w14:textId="08213516" w:rsidR="00201DD5" w:rsidRPr="00201DD5" w:rsidRDefault="005D7B91" w:rsidP="00201DD5">
      <w:pPr>
        <w:widowControl w:val="0"/>
        <w:autoSpaceDE w:val="0"/>
        <w:autoSpaceDN w:val="0"/>
        <w:adjustRightInd w:val="0"/>
        <w:spacing w:after="0" w:line="360" w:lineRule="auto"/>
        <w:contextualSpacing/>
        <w:jc w:val="both"/>
        <w:rPr>
          <w:rFonts w:ascii="Arabic Transparent" w:hAnsi="Arabic Transparent" w:cs="Arabic Transparent"/>
          <w:sz w:val="28"/>
          <w:szCs w:val="28"/>
          <w:rtl/>
        </w:rPr>
      </w:pPr>
      <w:r>
        <w:rPr>
          <w:rFonts w:ascii="Arabic Transparent" w:hAnsi="Arabic Transparent" w:cs="Arabic Transparent"/>
          <w:sz w:val="28"/>
          <w:szCs w:val="28"/>
          <w:rtl/>
        </w:rPr>
        <w:t xml:space="preserve">     </w:t>
      </w:r>
      <w:r w:rsidR="009A0B33">
        <w:rPr>
          <w:rFonts w:ascii="Arabic Transparent" w:hAnsi="Arabic Transparent" w:cs="Arabic Transparent" w:hint="cs"/>
          <w:sz w:val="28"/>
          <w:szCs w:val="28"/>
          <w:rtl/>
        </w:rPr>
        <w:t>"</w:t>
      </w:r>
      <w:r w:rsidR="00201DD5" w:rsidRPr="00201DD5">
        <w:rPr>
          <w:rFonts w:ascii="Arabic Transparent" w:hAnsi="Arabic Transparent" w:cs="Arabic Transparent"/>
          <w:sz w:val="28"/>
          <w:szCs w:val="28"/>
          <w:rtl/>
        </w:rPr>
        <w:t>وقد تضع بعض البنوك خيارات متعددة للعميل في نماذج التَّورُّق المنظم؛ بأن تخيره بين قبض السلعة بنفسه، أو يوكل البنك، أو طرفًا ثالثًا له علاقة بالبنك ببيعها</w:t>
      </w:r>
      <w:r w:rsidR="009A0B33">
        <w:rPr>
          <w:rFonts w:ascii="Arabic Transparent" w:hAnsi="Arabic Transparent" w:cs="Arabic Transparent" w:hint="cs"/>
          <w:sz w:val="28"/>
          <w:szCs w:val="28"/>
          <w:rtl/>
        </w:rPr>
        <w:t>"</w:t>
      </w:r>
      <w:r w:rsidR="00201DD5" w:rsidRPr="00201DD5">
        <w:rPr>
          <w:rFonts w:ascii="Arabic Transparent" w:hAnsi="Arabic Transparent" w:cs="Arabic Transparent"/>
          <w:sz w:val="28"/>
          <w:szCs w:val="28"/>
          <w:vertAlign w:val="superscript"/>
          <w:rtl/>
          <w:lang w:bidi="ar-JO"/>
        </w:rPr>
        <w:t>(</w:t>
      </w:r>
      <w:r w:rsidR="00201DD5" w:rsidRPr="00201DD5">
        <w:rPr>
          <w:rFonts w:ascii="Arabic Transparent" w:hAnsi="Arabic Transparent" w:cs="Arabic Transparent"/>
          <w:sz w:val="28"/>
          <w:szCs w:val="28"/>
          <w:vertAlign w:val="superscript"/>
          <w:rtl/>
          <w:lang w:bidi="ar-JO"/>
        </w:rPr>
        <w:footnoteReference w:id="709"/>
      </w:r>
      <w:r w:rsidR="00201DD5" w:rsidRPr="00201DD5">
        <w:rPr>
          <w:rFonts w:ascii="Arabic Transparent" w:hAnsi="Arabic Transparent" w:cs="Arabic Transparent"/>
          <w:sz w:val="28"/>
          <w:szCs w:val="28"/>
          <w:vertAlign w:val="superscript"/>
          <w:rtl/>
          <w:lang w:bidi="ar-JO"/>
        </w:rPr>
        <w:t>)</w:t>
      </w:r>
      <w:r w:rsidR="00201DD5" w:rsidRPr="00201DD5">
        <w:rPr>
          <w:rFonts w:ascii="Arabic Transparent" w:hAnsi="Arabic Transparent" w:cs="Arabic Transparent"/>
          <w:sz w:val="28"/>
          <w:szCs w:val="28"/>
          <w:rtl/>
        </w:rPr>
        <w:t>.</w:t>
      </w:r>
    </w:p>
    <w:p w14:paraId="5FB348CC" w14:textId="77777777" w:rsidR="00201DD5" w:rsidRPr="00201DD5" w:rsidRDefault="00201DD5" w:rsidP="00201DD5">
      <w:pPr>
        <w:widowControl w:val="0"/>
        <w:autoSpaceDE w:val="0"/>
        <w:autoSpaceDN w:val="0"/>
        <w:adjustRightInd w:val="0"/>
        <w:spacing w:after="0" w:line="360" w:lineRule="auto"/>
        <w:contextualSpacing/>
        <w:jc w:val="both"/>
        <w:rPr>
          <w:rFonts w:ascii="Arabic Transparent" w:hAnsi="Arabic Transparent" w:cs="Arabic Transparent"/>
          <w:sz w:val="28"/>
          <w:szCs w:val="28"/>
          <w:rtl/>
        </w:rPr>
      </w:pPr>
      <w:r w:rsidRPr="00201DD5">
        <w:rPr>
          <w:rFonts w:ascii="Arabic Transparent" w:hAnsi="Arabic Transparent" w:cs="Arabic Transparent"/>
          <w:sz w:val="28"/>
          <w:szCs w:val="28"/>
          <w:rtl/>
        </w:rPr>
        <w:t xml:space="preserve"> </w:t>
      </w:r>
      <w:r w:rsidRPr="00201DD5">
        <w:rPr>
          <w:rFonts w:ascii="Arabic Transparent" w:hAnsi="Arabic Transparent" w:cs="Arabic Transparent"/>
          <w:sz w:val="28"/>
          <w:szCs w:val="28"/>
          <w:rtl/>
        </w:rPr>
        <w:br w:type="page"/>
      </w:r>
    </w:p>
    <w:p w14:paraId="7BFCA122" w14:textId="77777777" w:rsidR="00201DD5" w:rsidRPr="00201DD5" w:rsidRDefault="00201DD5" w:rsidP="00201DD5">
      <w:pPr>
        <w:widowControl w:val="0"/>
        <w:autoSpaceDE w:val="0"/>
        <w:autoSpaceDN w:val="0"/>
        <w:adjustRightInd w:val="0"/>
        <w:spacing w:after="0" w:line="360" w:lineRule="auto"/>
        <w:contextualSpacing/>
        <w:jc w:val="both"/>
        <w:rPr>
          <w:rFonts w:ascii="Arabic Transparent" w:hAnsi="Arabic Transparent" w:cs="Arabic Transparent"/>
          <w:b/>
          <w:bCs/>
          <w:sz w:val="28"/>
          <w:szCs w:val="28"/>
          <w:rtl/>
        </w:rPr>
      </w:pPr>
      <w:r w:rsidRPr="00201DD5">
        <w:rPr>
          <w:rFonts w:ascii="Arabic Transparent" w:hAnsi="Arabic Transparent" w:cs="Arabic Transparent"/>
          <w:b/>
          <w:bCs/>
          <w:sz w:val="28"/>
          <w:szCs w:val="28"/>
          <w:rtl/>
        </w:rPr>
        <w:t xml:space="preserve">الفرع الثاني: فتاوى التورق المنظم عرضاً وتحليلاً </w:t>
      </w:r>
    </w:p>
    <w:p w14:paraId="25BE8C31" w14:textId="77777777" w:rsidR="00201DD5" w:rsidRPr="00201DD5" w:rsidRDefault="00201DD5" w:rsidP="00201DD5">
      <w:pPr>
        <w:widowControl w:val="0"/>
        <w:autoSpaceDE w:val="0"/>
        <w:autoSpaceDN w:val="0"/>
        <w:adjustRightInd w:val="0"/>
        <w:spacing w:after="0" w:line="360" w:lineRule="auto"/>
        <w:contextualSpacing/>
        <w:jc w:val="both"/>
        <w:rPr>
          <w:rFonts w:ascii="Arabic Transparent" w:hAnsi="Arabic Transparent" w:cs="Arabic Transparent"/>
          <w:b/>
          <w:bCs/>
          <w:sz w:val="28"/>
          <w:szCs w:val="28"/>
          <w:rtl/>
        </w:rPr>
      </w:pPr>
      <w:r w:rsidRPr="00201DD5">
        <w:rPr>
          <w:rFonts w:ascii="Arabic Transparent" w:hAnsi="Arabic Transparent" w:cs="Arabic Transparent"/>
          <w:b/>
          <w:bCs/>
          <w:sz w:val="28"/>
          <w:szCs w:val="28"/>
          <w:rtl/>
        </w:rPr>
        <w:t>أولاً: فتاوى الإباحة بضوابط:</w:t>
      </w:r>
    </w:p>
    <w:p w14:paraId="1A14EA93" w14:textId="00998FB4" w:rsidR="00201DD5" w:rsidRPr="00201DD5" w:rsidRDefault="005D7B91" w:rsidP="00201DD5">
      <w:pPr>
        <w:widowControl w:val="0"/>
        <w:autoSpaceDE w:val="0"/>
        <w:autoSpaceDN w:val="0"/>
        <w:adjustRightInd w:val="0"/>
        <w:spacing w:after="0" w:line="360" w:lineRule="auto"/>
        <w:contextualSpacing/>
        <w:jc w:val="both"/>
        <w:rPr>
          <w:rFonts w:ascii="Arabic Transparent" w:hAnsi="Arabic Transparent" w:cs="Arabic Transparent"/>
          <w:b/>
          <w:bCs/>
          <w:sz w:val="28"/>
          <w:szCs w:val="28"/>
          <w:rtl/>
        </w:rPr>
      </w:pPr>
      <w:r>
        <w:rPr>
          <w:rFonts w:ascii="Arabic Transparent" w:hAnsi="Arabic Transparent" w:cs="Arabic Transparent"/>
          <w:b/>
          <w:bCs/>
          <w:sz w:val="28"/>
          <w:szCs w:val="28"/>
          <w:rtl/>
        </w:rPr>
        <w:t xml:space="preserve">     </w:t>
      </w:r>
      <w:r w:rsidR="00201DD5" w:rsidRPr="00201DD5">
        <w:rPr>
          <w:rFonts w:ascii="Arabic Transparent" w:hAnsi="Arabic Transparent" w:cs="Arabic Transparent"/>
          <w:sz w:val="28"/>
          <w:szCs w:val="28"/>
          <w:rtl/>
        </w:rPr>
        <w:t>ذهب ثلة من المجتهدين المعاصرين إلى جواز التورق الفردي والتورق المنظم مع ضرورة الأخذ بجملة من الضوابط وهم: دار الإفتاء المصرية</w:t>
      </w:r>
      <w:r w:rsidR="00201DD5" w:rsidRPr="00201DD5">
        <w:rPr>
          <w:rFonts w:ascii="Arabic Transparent" w:hAnsi="Arabic Transparent" w:cs="Arabic Transparent"/>
          <w:sz w:val="28"/>
          <w:szCs w:val="28"/>
          <w:vertAlign w:val="superscript"/>
          <w:rtl/>
          <w:lang w:bidi="ar-JO"/>
        </w:rPr>
        <w:t>(</w:t>
      </w:r>
      <w:r w:rsidR="00201DD5" w:rsidRPr="00201DD5">
        <w:rPr>
          <w:rFonts w:ascii="Arabic Transparent" w:hAnsi="Arabic Transparent" w:cs="Arabic Transparent"/>
          <w:sz w:val="28"/>
          <w:szCs w:val="28"/>
          <w:vertAlign w:val="superscript"/>
          <w:rtl/>
          <w:lang w:bidi="ar-JO"/>
        </w:rPr>
        <w:footnoteReference w:id="710"/>
      </w:r>
      <w:r w:rsidR="00201DD5" w:rsidRPr="00201DD5">
        <w:rPr>
          <w:rFonts w:ascii="Arabic Transparent" w:hAnsi="Arabic Transparent" w:cs="Arabic Transparent"/>
          <w:sz w:val="28"/>
          <w:szCs w:val="28"/>
          <w:vertAlign w:val="superscript"/>
          <w:rtl/>
          <w:lang w:bidi="ar-JO"/>
        </w:rPr>
        <w:t>)</w:t>
      </w:r>
      <w:r w:rsidR="00201DD5" w:rsidRPr="00201DD5">
        <w:rPr>
          <w:rFonts w:ascii="Arabic Transparent" w:hAnsi="Arabic Transparent" w:cs="Arabic Transparent"/>
          <w:sz w:val="28"/>
          <w:szCs w:val="28"/>
          <w:rtl/>
        </w:rPr>
        <w:t>، ومعايير هيئة المحاسبة والمراجعة للمؤسسات المالية الإسلامية</w:t>
      </w:r>
      <w:r w:rsidR="00201DD5" w:rsidRPr="00201DD5">
        <w:rPr>
          <w:rFonts w:ascii="Arabic Transparent" w:hAnsi="Arabic Transparent" w:cs="Arabic Transparent"/>
          <w:sz w:val="28"/>
          <w:szCs w:val="28"/>
          <w:vertAlign w:val="superscript"/>
          <w:rtl/>
          <w:lang w:bidi="ar-JO"/>
        </w:rPr>
        <w:t>(</w:t>
      </w:r>
      <w:r w:rsidR="00201DD5" w:rsidRPr="00201DD5">
        <w:rPr>
          <w:rFonts w:ascii="Arabic Transparent" w:hAnsi="Arabic Transparent" w:cs="Arabic Transparent"/>
          <w:sz w:val="28"/>
          <w:szCs w:val="28"/>
          <w:vertAlign w:val="superscript"/>
          <w:rtl/>
          <w:lang w:bidi="ar-JO"/>
        </w:rPr>
        <w:footnoteReference w:id="711"/>
      </w:r>
      <w:r w:rsidR="00201DD5" w:rsidRPr="00201DD5">
        <w:rPr>
          <w:rFonts w:ascii="Arabic Transparent" w:hAnsi="Arabic Transparent" w:cs="Arabic Transparent"/>
          <w:sz w:val="28"/>
          <w:szCs w:val="28"/>
          <w:vertAlign w:val="superscript"/>
          <w:rtl/>
          <w:lang w:bidi="ar-JO"/>
        </w:rPr>
        <w:t>)</w:t>
      </w:r>
      <w:r w:rsidR="00201DD5" w:rsidRPr="00201DD5">
        <w:rPr>
          <w:rFonts w:ascii="Arabic Transparent" w:hAnsi="Arabic Transparent" w:cs="Arabic Transparent"/>
          <w:sz w:val="28"/>
          <w:szCs w:val="28"/>
          <w:rtl/>
        </w:rPr>
        <w:t>، وزاهد وآخرون</w:t>
      </w:r>
      <w:r w:rsidR="00201DD5" w:rsidRPr="00201DD5">
        <w:rPr>
          <w:rFonts w:ascii="Arabic Transparent" w:hAnsi="Arabic Transparent" w:cs="Arabic Transparent"/>
          <w:sz w:val="28"/>
          <w:szCs w:val="28"/>
          <w:vertAlign w:val="superscript"/>
          <w:rtl/>
          <w:lang w:bidi="ar-JO"/>
        </w:rPr>
        <w:t>(</w:t>
      </w:r>
      <w:r w:rsidR="00201DD5" w:rsidRPr="00201DD5">
        <w:rPr>
          <w:rFonts w:ascii="Arabic Transparent" w:hAnsi="Arabic Transparent" w:cs="Arabic Transparent"/>
          <w:sz w:val="28"/>
          <w:szCs w:val="28"/>
          <w:vertAlign w:val="superscript"/>
          <w:rtl/>
          <w:lang w:bidi="ar-JO"/>
        </w:rPr>
        <w:footnoteReference w:id="712"/>
      </w:r>
      <w:r w:rsidR="00201DD5" w:rsidRPr="00201DD5">
        <w:rPr>
          <w:rFonts w:ascii="Arabic Transparent" w:hAnsi="Arabic Transparent" w:cs="Arabic Transparent"/>
          <w:sz w:val="28"/>
          <w:szCs w:val="28"/>
          <w:vertAlign w:val="superscript"/>
          <w:rtl/>
          <w:lang w:bidi="ar-JO"/>
        </w:rPr>
        <w:t>)</w:t>
      </w:r>
      <w:r w:rsidR="00201DD5" w:rsidRPr="00201DD5">
        <w:rPr>
          <w:rFonts w:ascii="Arabic Transparent" w:hAnsi="Arabic Transparent" w:cs="Arabic Transparent"/>
          <w:sz w:val="28"/>
          <w:szCs w:val="28"/>
          <w:rtl/>
        </w:rPr>
        <w:t>، والدكتور إبراهيم عثمان</w:t>
      </w:r>
      <w:r w:rsidR="00201DD5" w:rsidRPr="00201DD5">
        <w:rPr>
          <w:rFonts w:ascii="Arabic Transparent" w:hAnsi="Arabic Transparent" w:cs="Arabic Transparent"/>
          <w:sz w:val="28"/>
          <w:szCs w:val="28"/>
          <w:vertAlign w:val="superscript"/>
          <w:rtl/>
          <w:lang w:bidi="ar-JO"/>
        </w:rPr>
        <w:t>(</w:t>
      </w:r>
      <w:r w:rsidR="00201DD5" w:rsidRPr="00201DD5">
        <w:rPr>
          <w:rFonts w:ascii="Arabic Transparent" w:hAnsi="Arabic Transparent" w:cs="Arabic Transparent"/>
          <w:sz w:val="28"/>
          <w:szCs w:val="28"/>
          <w:vertAlign w:val="superscript"/>
          <w:rtl/>
          <w:lang w:bidi="ar-JO"/>
        </w:rPr>
        <w:footnoteReference w:id="713"/>
      </w:r>
      <w:r w:rsidR="00201DD5" w:rsidRPr="00201DD5">
        <w:rPr>
          <w:rFonts w:ascii="Arabic Transparent" w:hAnsi="Arabic Transparent" w:cs="Arabic Transparent"/>
          <w:sz w:val="28"/>
          <w:szCs w:val="28"/>
          <w:vertAlign w:val="superscript"/>
          <w:rtl/>
          <w:lang w:bidi="ar-JO"/>
        </w:rPr>
        <w:t>)</w:t>
      </w:r>
      <w:r w:rsidR="00201DD5" w:rsidRPr="00201DD5">
        <w:rPr>
          <w:rFonts w:ascii="Arabic Transparent" w:hAnsi="Arabic Transparent" w:cs="Arabic Transparent"/>
          <w:sz w:val="28"/>
          <w:szCs w:val="28"/>
          <w:rtl/>
        </w:rPr>
        <w:t>، والدكتور حسن الشاذلي</w:t>
      </w:r>
      <w:r w:rsidR="00201DD5" w:rsidRPr="00201DD5">
        <w:rPr>
          <w:rFonts w:ascii="Arabic Transparent" w:hAnsi="Arabic Transparent" w:cs="Arabic Transparent"/>
          <w:sz w:val="28"/>
          <w:szCs w:val="28"/>
          <w:vertAlign w:val="superscript"/>
          <w:rtl/>
          <w:lang w:bidi="ar-JO"/>
        </w:rPr>
        <w:t>(</w:t>
      </w:r>
      <w:r w:rsidR="00201DD5" w:rsidRPr="00201DD5">
        <w:rPr>
          <w:rFonts w:ascii="Arabic Transparent" w:hAnsi="Arabic Transparent" w:cs="Arabic Transparent"/>
          <w:sz w:val="28"/>
          <w:szCs w:val="28"/>
          <w:vertAlign w:val="superscript"/>
          <w:rtl/>
          <w:lang w:bidi="ar-JO"/>
        </w:rPr>
        <w:footnoteReference w:id="714"/>
      </w:r>
      <w:r w:rsidR="00201DD5" w:rsidRPr="00201DD5">
        <w:rPr>
          <w:rFonts w:ascii="Arabic Transparent" w:hAnsi="Arabic Transparent" w:cs="Arabic Transparent"/>
          <w:sz w:val="28"/>
          <w:szCs w:val="28"/>
          <w:vertAlign w:val="superscript"/>
          <w:rtl/>
          <w:lang w:bidi="ar-JO"/>
        </w:rPr>
        <w:t>)</w:t>
      </w:r>
      <w:r w:rsidR="00201DD5" w:rsidRPr="00201DD5">
        <w:rPr>
          <w:rFonts w:ascii="Arabic Transparent" w:hAnsi="Arabic Transparent" w:cs="Arabic Transparent"/>
          <w:sz w:val="28"/>
          <w:szCs w:val="28"/>
          <w:rtl/>
        </w:rPr>
        <w:t>، والدكتور نزيه حماد</w:t>
      </w:r>
      <w:r w:rsidR="00201DD5" w:rsidRPr="00201DD5">
        <w:rPr>
          <w:rFonts w:ascii="Arabic Transparent" w:hAnsi="Arabic Transparent" w:cs="Arabic Transparent"/>
          <w:sz w:val="28"/>
          <w:szCs w:val="28"/>
          <w:vertAlign w:val="superscript"/>
          <w:rtl/>
          <w:lang w:bidi="ar-JO"/>
        </w:rPr>
        <w:t>(</w:t>
      </w:r>
      <w:r w:rsidR="00201DD5" w:rsidRPr="00201DD5">
        <w:rPr>
          <w:rFonts w:ascii="Arabic Transparent" w:hAnsi="Arabic Transparent" w:cs="Arabic Transparent"/>
          <w:sz w:val="28"/>
          <w:szCs w:val="28"/>
          <w:vertAlign w:val="superscript"/>
          <w:rtl/>
          <w:lang w:bidi="ar-JO"/>
        </w:rPr>
        <w:footnoteReference w:id="715"/>
      </w:r>
      <w:r w:rsidR="00201DD5" w:rsidRPr="00201DD5">
        <w:rPr>
          <w:rFonts w:ascii="Arabic Transparent" w:hAnsi="Arabic Transparent" w:cs="Arabic Transparent"/>
          <w:sz w:val="28"/>
          <w:szCs w:val="28"/>
          <w:vertAlign w:val="superscript"/>
          <w:rtl/>
          <w:lang w:bidi="ar-JO"/>
        </w:rPr>
        <w:t>)</w:t>
      </w:r>
      <w:r w:rsidR="00201DD5" w:rsidRPr="00201DD5">
        <w:rPr>
          <w:rFonts w:ascii="Arabic Transparent" w:hAnsi="Arabic Transparent" w:cs="Arabic Transparent"/>
          <w:sz w:val="28"/>
          <w:szCs w:val="28"/>
          <w:rtl/>
        </w:rPr>
        <w:t>، والدكتور أحمد الحيد</w:t>
      </w:r>
      <w:r w:rsidR="00201DD5" w:rsidRPr="00201DD5">
        <w:rPr>
          <w:rFonts w:ascii="Arabic Transparent" w:hAnsi="Arabic Transparent" w:cs="Arabic Transparent"/>
          <w:sz w:val="28"/>
          <w:szCs w:val="28"/>
          <w:vertAlign w:val="superscript"/>
          <w:rtl/>
          <w:lang w:bidi="ar-JO"/>
        </w:rPr>
        <w:t>(</w:t>
      </w:r>
      <w:r w:rsidR="00201DD5" w:rsidRPr="00201DD5">
        <w:rPr>
          <w:rFonts w:ascii="Arabic Transparent" w:hAnsi="Arabic Transparent" w:cs="Arabic Transparent"/>
          <w:sz w:val="28"/>
          <w:szCs w:val="28"/>
          <w:vertAlign w:val="superscript"/>
          <w:rtl/>
          <w:lang w:bidi="ar-JO"/>
        </w:rPr>
        <w:footnoteReference w:id="716"/>
      </w:r>
      <w:r w:rsidR="00201DD5" w:rsidRPr="00201DD5">
        <w:rPr>
          <w:rFonts w:ascii="Arabic Transparent" w:hAnsi="Arabic Transparent" w:cs="Arabic Transparent"/>
          <w:sz w:val="28"/>
          <w:szCs w:val="28"/>
          <w:vertAlign w:val="superscript"/>
          <w:rtl/>
          <w:lang w:bidi="ar-JO"/>
        </w:rPr>
        <w:t>)</w:t>
      </w:r>
      <w:r w:rsidR="00201DD5" w:rsidRPr="00201DD5">
        <w:rPr>
          <w:rFonts w:ascii="Arabic Transparent" w:hAnsi="Arabic Transparent" w:cs="Arabic Transparent"/>
          <w:sz w:val="28"/>
          <w:szCs w:val="28"/>
          <w:rtl/>
        </w:rPr>
        <w:t>، وغيرهم</w:t>
      </w:r>
      <w:r w:rsidR="00201DD5" w:rsidRPr="00201DD5">
        <w:rPr>
          <w:rFonts w:ascii="Arabic Transparent" w:hAnsi="Arabic Transparent" w:cs="Arabic Transparent"/>
          <w:sz w:val="28"/>
          <w:szCs w:val="28"/>
          <w:vertAlign w:val="superscript"/>
          <w:rtl/>
          <w:lang w:bidi="ar-JO"/>
        </w:rPr>
        <w:t>(</w:t>
      </w:r>
      <w:r w:rsidR="00201DD5" w:rsidRPr="00201DD5">
        <w:rPr>
          <w:rFonts w:ascii="Arabic Transparent" w:hAnsi="Arabic Transparent" w:cs="Arabic Transparent"/>
          <w:sz w:val="28"/>
          <w:szCs w:val="28"/>
          <w:vertAlign w:val="superscript"/>
          <w:rtl/>
          <w:lang w:bidi="ar-JO"/>
        </w:rPr>
        <w:footnoteReference w:id="717"/>
      </w:r>
      <w:r w:rsidR="00201DD5" w:rsidRPr="00201DD5">
        <w:rPr>
          <w:rFonts w:ascii="Arabic Transparent" w:hAnsi="Arabic Transparent" w:cs="Arabic Transparent"/>
          <w:sz w:val="28"/>
          <w:szCs w:val="28"/>
          <w:vertAlign w:val="superscript"/>
          <w:rtl/>
          <w:lang w:bidi="ar-JO"/>
        </w:rPr>
        <w:t>)</w:t>
      </w:r>
      <w:r w:rsidR="00201DD5" w:rsidRPr="00201DD5">
        <w:rPr>
          <w:rFonts w:ascii="Arabic Transparent" w:hAnsi="Arabic Transparent" w:cs="Arabic Transparent"/>
          <w:sz w:val="28"/>
          <w:szCs w:val="28"/>
          <w:rtl/>
        </w:rPr>
        <w:t>.</w:t>
      </w:r>
    </w:p>
    <w:p w14:paraId="438B6722" w14:textId="4BE75C2A" w:rsidR="00201DD5" w:rsidRDefault="005D7B91" w:rsidP="00201DD5">
      <w:pPr>
        <w:widowControl w:val="0"/>
        <w:autoSpaceDE w:val="0"/>
        <w:autoSpaceDN w:val="0"/>
        <w:adjustRightInd w:val="0"/>
        <w:spacing w:after="0" w:line="360" w:lineRule="auto"/>
        <w:contextualSpacing/>
        <w:jc w:val="both"/>
        <w:rPr>
          <w:rFonts w:ascii="Arabic Transparent" w:hAnsi="Arabic Transparent" w:cs="Arabic Transparent"/>
          <w:sz w:val="28"/>
          <w:szCs w:val="28"/>
          <w:rtl/>
        </w:rPr>
      </w:pPr>
      <w:r>
        <w:rPr>
          <w:rFonts w:ascii="Arabic Transparent" w:hAnsi="Arabic Transparent" w:cs="Arabic Transparent"/>
          <w:sz w:val="28"/>
          <w:szCs w:val="28"/>
          <w:rtl/>
        </w:rPr>
        <w:t xml:space="preserve">     </w:t>
      </w:r>
      <w:r w:rsidR="00201DD5" w:rsidRPr="00201DD5">
        <w:rPr>
          <w:rFonts w:ascii="Arabic Transparent" w:hAnsi="Arabic Transparent" w:cs="Arabic Transparent"/>
          <w:sz w:val="28"/>
          <w:szCs w:val="28"/>
          <w:rtl/>
        </w:rPr>
        <w:t xml:space="preserve">قد توصلوا لهذا الحكم للأسباب الآتية: </w:t>
      </w:r>
    </w:p>
    <w:p w14:paraId="06C49642" w14:textId="3EC523C4" w:rsidR="009A0B33" w:rsidRDefault="00201DD5" w:rsidP="009A0B33">
      <w:pPr>
        <w:widowControl w:val="0"/>
        <w:autoSpaceDE w:val="0"/>
        <w:autoSpaceDN w:val="0"/>
        <w:adjustRightInd w:val="0"/>
        <w:spacing w:after="0" w:line="360" w:lineRule="auto"/>
        <w:contextualSpacing/>
        <w:jc w:val="both"/>
        <w:rPr>
          <w:rFonts w:ascii="Arabic Transparent" w:hAnsi="Arabic Transparent" w:cs="Arabic Transparent"/>
          <w:sz w:val="28"/>
          <w:szCs w:val="28"/>
          <w:rtl/>
        </w:rPr>
      </w:pPr>
      <w:r w:rsidRPr="00201DD5">
        <w:rPr>
          <w:rFonts w:ascii="Arabic Transparent" w:hAnsi="Arabic Transparent" w:cs="Arabic Transparent"/>
          <w:sz w:val="28"/>
          <w:szCs w:val="28"/>
          <w:rtl/>
        </w:rPr>
        <w:t>1-إن الأصل في المعاملات الإباحة</w:t>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vertAlign w:val="superscript"/>
          <w:rtl/>
          <w:lang w:bidi="ar-JO"/>
        </w:rPr>
        <w:footnoteReference w:id="718"/>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rtl/>
        </w:rPr>
        <w:t xml:space="preserve">، وإن الحكم الأصلي في التَّورُّق الفقهي الجواز، فإذا كان </w:t>
      </w:r>
      <w:r w:rsidRPr="00201DD5">
        <w:rPr>
          <w:rFonts w:ascii="Arabic Transparent" w:hAnsi="Arabic Transparent" w:cs="Arabic Transparent"/>
          <w:sz w:val="28"/>
          <w:szCs w:val="28"/>
          <w:rtl/>
        </w:rPr>
        <w:lastRenderedPageBreak/>
        <w:t xml:space="preserve">البنك مالكًا السلعة، ثم باعها لعميله، ثم قبضها العميل حقيقةً أو حكماً، ثم باعها عن طريق البنك </w:t>
      </w:r>
      <w:r w:rsidR="009A0B33">
        <w:rPr>
          <w:rFonts w:ascii="Arabic Transparent" w:hAnsi="Arabic Transparent" w:cs="Arabic Transparent"/>
          <w:sz w:val="28"/>
          <w:szCs w:val="28"/>
          <w:rtl/>
        </w:rPr>
        <w:br w:type="page"/>
      </w:r>
    </w:p>
    <w:p w14:paraId="31E800E9" w14:textId="77777777" w:rsidR="00201DD5" w:rsidRPr="00201DD5" w:rsidRDefault="00201DD5" w:rsidP="00201DD5">
      <w:pPr>
        <w:widowControl w:val="0"/>
        <w:autoSpaceDE w:val="0"/>
        <w:autoSpaceDN w:val="0"/>
        <w:adjustRightInd w:val="0"/>
        <w:spacing w:after="0" w:line="360" w:lineRule="auto"/>
        <w:contextualSpacing/>
        <w:jc w:val="both"/>
        <w:rPr>
          <w:rFonts w:ascii="Arabic Transparent" w:hAnsi="Arabic Transparent" w:cs="Arabic Transparent"/>
          <w:sz w:val="28"/>
          <w:szCs w:val="28"/>
          <w:rtl/>
        </w:rPr>
      </w:pPr>
      <w:r w:rsidRPr="00201DD5">
        <w:rPr>
          <w:rFonts w:ascii="Arabic Transparent" w:hAnsi="Arabic Transparent" w:cs="Arabic Transparent"/>
          <w:sz w:val="28"/>
          <w:szCs w:val="28"/>
          <w:rtl/>
        </w:rPr>
        <w:t xml:space="preserve"> فلا إشكال في ذلك، وإذا وكل البنكَ ليقبض له فلا حرج أيضًا بناءً على الصحيح من مذهب الحنابلة: "أنه يجوز توكيل المشتري البائعَ في قبض المبيع"</w:t>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vertAlign w:val="superscript"/>
          <w:rtl/>
          <w:lang w:bidi="ar-JO"/>
        </w:rPr>
        <w:footnoteReference w:id="719"/>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rtl/>
        </w:rPr>
        <w:t>، بل إنه يجوز للبنك بيعها عن العميل بعد أن يوكله العميل في قبض السلعة عنه، وقد قرر فقهاء الشافعية "جواز اتحاد الموجب والقابل في مثل هذه الصور"</w:t>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vertAlign w:val="superscript"/>
          <w:rtl/>
          <w:lang w:bidi="ar-JO"/>
        </w:rPr>
        <w:footnoteReference w:id="720"/>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rtl/>
        </w:rPr>
        <w:t>.</w:t>
      </w:r>
    </w:p>
    <w:p w14:paraId="2C77B4E6" w14:textId="77777777" w:rsidR="00201DD5" w:rsidRPr="00201DD5" w:rsidRDefault="00201DD5" w:rsidP="00201DD5">
      <w:pPr>
        <w:widowControl w:val="0"/>
        <w:autoSpaceDE w:val="0"/>
        <w:autoSpaceDN w:val="0"/>
        <w:adjustRightInd w:val="0"/>
        <w:spacing w:after="0" w:line="360" w:lineRule="auto"/>
        <w:contextualSpacing/>
        <w:jc w:val="both"/>
        <w:rPr>
          <w:rFonts w:ascii="Arabic Transparent" w:hAnsi="Arabic Transparent" w:cs="Arabic Transparent"/>
          <w:sz w:val="28"/>
          <w:szCs w:val="28"/>
          <w:rtl/>
        </w:rPr>
      </w:pPr>
      <w:r w:rsidRPr="00201DD5">
        <w:rPr>
          <w:rFonts w:ascii="Arabic Transparent" w:hAnsi="Arabic Transparent" w:cs="Arabic Transparent"/>
          <w:sz w:val="28"/>
          <w:szCs w:val="28"/>
          <w:rtl/>
        </w:rPr>
        <w:t xml:space="preserve"> 2- إن التَّورُّق المنظم عقد اشتمل على الأركان والشروط الظاهرية المعتبرة في عقد البيع، ولأن العينة المحرمة محل اختلاف، وكذالك حديث بيع العرايا</w:t>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vertAlign w:val="superscript"/>
          <w:rtl/>
          <w:lang w:bidi="ar-JO"/>
        </w:rPr>
        <w:footnoteReference w:id="721"/>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rtl/>
        </w:rPr>
        <w:t>، حيث خلصت الفتاوى إلى أن العبرة في العقود للألفاظ دون المعاني، وعليه فالمعتد في ذلك هو صيغة العقد وصورته، وليس النيات والبواعث، وإذا ثبتت صحة العقد فالأصل أنه يَلزم مِن الصحة الجواز.</w:t>
      </w:r>
    </w:p>
    <w:p w14:paraId="696F4694" w14:textId="3EE0F1F6" w:rsidR="00201DD5" w:rsidRDefault="00201DD5" w:rsidP="004E02F5">
      <w:pPr>
        <w:widowControl w:val="0"/>
        <w:autoSpaceDE w:val="0"/>
        <w:autoSpaceDN w:val="0"/>
        <w:adjustRightInd w:val="0"/>
        <w:spacing w:after="0" w:line="360" w:lineRule="auto"/>
        <w:contextualSpacing/>
        <w:jc w:val="both"/>
        <w:rPr>
          <w:rFonts w:ascii="Arabic Transparent" w:hAnsi="Arabic Transparent" w:cs="Arabic Transparent"/>
          <w:sz w:val="28"/>
          <w:szCs w:val="28"/>
          <w:rtl/>
          <w:lang w:bidi="ar-JO"/>
        </w:rPr>
      </w:pPr>
      <w:r w:rsidRPr="00201DD5">
        <w:rPr>
          <w:rFonts w:ascii="Arabic Transparent" w:hAnsi="Arabic Transparent" w:cs="Arabic Transparent"/>
          <w:sz w:val="28"/>
          <w:szCs w:val="28"/>
          <w:rtl/>
        </w:rPr>
        <w:t xml:space="preserve">3- من أجازه مع الأخذ </w:t>
      </w:r>
      <w:r w:rsidRPr="00201DD5">
        <w:rPr>
          <w:rFonts w:ascii="Arabic Transparent" w:hAnsi="Arabic Transparent" w:cs="Arabic Transparent"/>
          <w:sz w:val="28"/>
          <w:szCs w:val="28"/>
          <w:rtl/>
          <w:lang w:bidi="ar-JO"/>
        </w:rPr>
        <w:t>بجملة من الضوابط وهي: "تحقق الشروط الشرعية لعقد الشراء بالثمن الآجل، مثل: وجود السلعة حقيقة، وأن لا تكون من الذهب أو الفضة أو العملات، ثم وجوب تعيين السلعة لتنتفي الجهالة، ثم إذا لم تكن السلعة حاضرة عند العقد يجب وصفها وصفاً حقيقاً، ثم التأكد من القبض إما حقيقةً وإما حكماً، والتأكد من وجود طرف ثالث لتنجب صورة العينة المحرمة، ثم عدم الربط بين العقود وجعلها منفصلة، ثم لا تحدد المؤسسة وكيل البيع وللعميل أن يختار البيع بنفسه أو من خلال وكيل، وأن تسهل المؤسسة بالإفصاح عن البيانات اللازمة"</w:t>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vertAlign w:val="superscript"/>
          <w:rtl/>
          <w:lang w:bidi="ar-JO"/>
        </w:rPr>
        <w:footnoteReference w:id="722"/>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rtl/>
          <w:lang w:bidi="ar-JO"/>
        </w:rPr>
        <w:t>.</w:t>
      </w:r>
    </w:p>
    <w:p w14:paraId="173B54FA" w14:textId="522B94F2" w:rsidR="004E02F5" w:rsidRDefault="00201DD5" w:rsidP="00201DD5">
      <w:pPr>
        <w:widowControl w:val="0"/>
        <w:autoSpaceDE w:val="0"/>
        <w:autoSpaceDN w:val="0"/>
        <w:adjustRightInd w:val="0"/>
        <w:spacing w:after="0" w:line="360" w:lineRule="auto"/>
        <w:contextualSpacing/>
        <w:jc w:val="both"/>
        <w:rPr>
          <w:rFonts w:ascii="Arabic Transparent" w:hAnsi="Arabic Transparent" w:cs="Arabic Transparent"/>
          <w:sz w:val="28"/>
          <w:szCs w:val="28"/>
          <w:rtl/>
        </w:rPr>
      </w:pPr>
      <w:r w:rsidRPr="00201DD5">
        <w:rPr>
          <w:rFonts w:ascii="Arabic Transparent" w:hAnsi="Arabic Transparent" w:cs="Arabic Transparent"/>
          <w:sz w:val="28"/>
          <w:szCs w:val="28"/>
          <w:rtl/>
        </w:rPr>
        <w:t>4- قالوا: "إذا كان هناك تحريماً حقيقياً فيكون بسبب عارض"</w:t>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vertAlign w:val="superscript"/>
          <w:rtl/>
          <w:lang w:bidi="ar-JO"/>
        </w:rPr>
        <w:footnoteReference w:id="723"/>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rtl/>
        </w:rPr>
        <w:t>، فيحرم في التورّق الأسباب والوسائل الممنوعة، والأخطاء في التطبيق، ولم يحرم التورق تحريماً قاطعاً، كما في دراسة الحيد، حيث قال: "إذا</w:t>
      </w:r>
      <w:r w:rsidRPr="00001A51">
        <w:rPr>
          <w:rFonts w:ascii="Aptos" w:hAnsi="Aptos"/>
          <w:rtl/>
        </w:rPr>
        <w:t xml:space="preserve"> </w:t>
      </w:r>
      <w:r w:rsidRPr="00201DD5">
        <w:rPr>
          <w:rFonts w:ascii="Arabic Transparent" w:hAnsi="Arabic Transparent" w:cs="Arabic Transparent"/>
          <w:sz w:val="28"/>
          <w:szCs w:val="28"/>
          <w:rtl/>
        </w:rPr>
        <w:t>أمكن ضبط التورق على وجه تنتفي معه الأوصاف المحرمة، وتزول المحاذير الواردة عليه، كصورة التَّورُّق بالأسهم الذي تجريه بعض البنوك والذي يخلو من المحاذير التي توجد في التَّورُّق الفردي والمنظم"</w:t>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vertAlign w:val="superscript"/>
          <w:rtl/>
          <w:lang w:bidi="ar-JO"/>
        </w:rPr>
        <w:footnoteReference w:id="724"/>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rtl/>
        </w:rPr>
        <w:t>.</w:t>
      </w:r>
    </w:p>
    <w:p w14:paraId="13EE8043" w14:textId="77777777" w:rsidR="004E02F5" w:rsidRDefault="004E02F5">
      <w:pPr>
        <w:bidi w:val="0"/>
        <w:spacing w:after="0" w:line="240" w:lineRule="auto"/>
        <w:rPr>
          <w:rFonts w:ascii="Arabic Transparent" w:hAnsi="Arabic Transparent" w:cs="Arabic Transparent"/>
          <w:sz w:val="28"/>
          <w:szCs w:val="28"/>
          <w:rtl/>
        </w:rPr>
      </w:pPr>
      <w:r>
        <w:rPr>
          <w:rFonts w:ascii="Arabic Transparent" w:hAnsi="Arabic Transparent" w:cs="Arabic Transparent"/>
          <w:sz w:val="28"/>
          <w:szCs w:val="28"/>
          <w:rtl/>
        </w:rPr>
        <w:br w:type="page"/>
      </w:r>
    </w:p>
    <w:p w14:paraId="5A37C7D8" w14:textId="77777777" w:rsidR="00201DD5" w:rsidRPr="00201DD5" w:rsidRDefault="00201DD5" w:rsidP="00201DD5">
      <w:pPr>
        <w:widowControl w:val="0"/>
        <w:autoSpaceDE w:val="0"/>
        <w:autoSpaceDN w:val="0"/>
        <w:adjustRightInd w:val="0"/>
        <w:spacing w:after="0" w:line="360" w:lineRule="auto"/>
        <w:contextualSpacing/>
        <w:jc w:val="both"/>
        <w:rPr>
          <w:rFonts w:ascii="Arabic Transparent" w:hAnsi="Arabic Transparent" w:cs="Arabic Transparent"/>
          <w:b/>
          <w:bCs/>
          <w:sz w:val="28"/>
          <w:szCs w:val="28"/>
          <w:rtl/>
        </w:rPr>
      </w:pPr>
      <w:r w:rsidRPr="00201DD5">
        <w:rPr>
          <w:rFonts w:ascii="Arabic Transparent" w:hAnsi="Arabic Transparent" w:cs="Arabic Transparent"/>
          <w:b/>
          <w:bCs/>
          <w:sz w:val="28"/>
          <w:szCs w:val="28"/>
          <w:rtl/>
        </w:rPr>
        <w:t>ثانياً: فتاوى التحريم مطلقاً:</w:t>
      </w:r>
    </w:p>
    <w:p w14:paraId="28FA9F2F" w14:textId="3DFB643A" w:rsidR="00201DD5" w:rsidRPr="00201DD5" w:rsidRDefault="005D7B91" w:rsidP="00201DD5">
      <w:pPr>
        <w:widowControl w:val="0"/>
        <w:autoSpaceDE w:val="0"/>
        <w:autoSpaceDN w:val="0"/>
        <w:adjustRightInd w:val="0"/>
        <w:spacing w:after="0" w:line="360" w:lineRule="auto"/>
        <w:contextualSpacing/>
        <w:jc w:val="both"/>
        <w:rPr>
          <w:rFonts w:ascii="Arabic Transparent" w:hAnsi="Arabic Transparent" w:cs="Arabic Transparent"/>
          <w:sz w:val="28"/>
          <w:szCs w:val="28"/>
          <w:rtl/>
        </w:rPr>
      </w:pPr>
      <w:r>
        <w:rPr>
          <w:rFonts w:ascii="Arabic Transparent" w:hAnsi="Arabic Transparent" w:cs="Arabic Transparent"/>
          <w:sz w:val="28"/>
          <w:szCs w:val="28"/>
          <w:rtl/>
        </w:rPr>
        <w:t xml:space="preserve">     </w:t>
      </w:r>
      <w:r w:rsidR="00201DD5" w:rsidRPr="00201DD5">
        <w:rPr>
          <w:rFonts w:ascii="Arabic Transparent" w:hAnsi="Arabic Transparent" w:cs="Arabic Transparent"/>
          <w:sz w:val="28"/>
          <w:szCs w:val="28"/>
          <w:rtl/>
        </w:rPr>
        <w:t xml:space="preserve">ذهب مجموعة من المجتهدين المعاصرين إلى كراهة التورّق الفردي، وحرمة التورّق المنظم الذي تجريه المصارف الإسلامية بكل صوره، وهم: المجمع الفقهي الإسلامي التابع لرابطة العالم </w:t>
      </w:r>
    </w:p>
    <w:p w14:paraId="2B7E0A12" w14:textId="77777777" w:rsidR="009A0B33" w:rsidRDefault="00201DD5" w:rsidP="004E02F5">
      <w:pPr>
        <w:widowControl w:val="0"/>
        <w:autoSpaceDE w:val="0"/>
        <w:autoSpaceDN w:val="0"/>
        <w:adjustRightInd w:val="0"/>
        <w:spacing w:after="0" w:line="360" w:lineRule="auto"/>
        <w:contextualSpacing/>
        <w:jc w:val="both"/>
        <w:rPr>
          <w:rFonts w:ascii="Arabic Transparent" w:hAnsi="Arabic Transparent" w:cs="Arabic Transparent"/>
          <w:sz w:val="28"/>
          <w:szCs w:val="28"/>
          <w:rtl/>
          <w:lang w:bidi="ar-JO"/>
        </w:rPr>
      </w:pPr>
      <w:r w:rsidRPr="00201DD5">
        <w:rPr>
          <w:rFonts w:ascii="Arabic Transparent" w:hAnsi="Arabic Transparent" w:cs="Arabic Transparent"/>
          <w:sz w:val="28"/>
          <w:szCs w:val="28"/>
          <w:rtl/>
        </w:rPr>
        <w:t>الإسلامي</w:t>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vertAlign w:val="superscript"/>
          <w:rtl/>
          <w:lang w:bidi="ar-JO"/>
        </w:rPr>
        <w:footnoteReference w:id="725"/>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rtl/>
        </w:rPr>
        <w:t>، ومجمع الفقه الإسلامي الدولي</w:t>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vertAlign w:val="superscript"/>
          <w:rtl/>
          <w:lang w:bidi="ar-JO"/>
        </w:rPr>
        <w:footnoteReference w:id="726"/>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rtl/>
        </w:rPr>
        <w:t>، والمجلس الأوروبي للإفتاء والبحوث</w:t>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vertAlign w:val="superscript"/>
          <w:rtl/>
          <w:lang w:bidi="ar-JO"/>
        </w:rPr>
        <w:footnoteReference w:id="727"/>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rtl/>
        </w:rPr>
        <w:t>، ومجلس الإفتاء</w:t>
      </w:r>
      <w:r w:rsidRPr="00201DD5">
        <w:rPr>
          <w:rFonts w:ascii="Arabic Transparent" w:hAnsi="Arabic Transparent" w:cs="Arabic Transparent"/>
          <w:sz w:val="28"/>
          <w:szCs w:val="28"/>
          <w:vertAlign w:val="superscript"/>
          <w:rtl/>
          <w:lang w:bidi="ar-JO"/>
        </w:rPr>
        <w:t xml:space="preserve"> </w:t>
      </w:r>
      <w:r w:rsidRPr="00201DD5">
        <w:rPr>
          <w:rFonts w:ascii="Arabic Transparent" w:hAnsi="Arabic Transparent" w:cs="Arabic Transparent"/>
          <w:sz w:val="28"/>
          <w:szCs w:val="28"/>
          <w:rtl/>
        </w:rPr>
        <w:t>الأردني</w:t>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vertAlign w:val="superscript"/>
          <w:rtl/>
          <w:lang w:bidi="ar-JO"/>
        </w:rPr>
        <w:footnoteReference w:id="728"/>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rtl/>
        </w:rPr>
        <w:t>، والدكتور إبراهيم الدبو</w:t>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vertAlign w:val="superscript"/>
          <w:rtl/>
          <w:lang w:bidi="ar-JO"/>
        </w:rPr>
        <w:footnoteReference w:id="729"/>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rtl/>
        </w:rPr>
        <w:t>، والدكتور أحمد الحداد</w:t>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vertAlign w:val="superscript"/>
          <w:rtl/>
          <w:lang w:bidi="ar-JO"/>
        </w:rPr>
        <w:footnoteReference w:id="730"/>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rtl/>
        </w:rPr>
        <w:t>، والدكتور حسين حسان</w:t>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vertAlign w:val="superscript"/>
          <w:rtl/>
          <w:lang w:bidi="ar-JO"/>
        </w:rPr>
        <w:footnoteReference w:id="731"/>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rtl/>
          <w:lang w:bidi="ar-JO"/>
        </w:rPr>
        <w:t>، والدكتور سامي سويلم</w:t>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vertAlign w:val="superscript"/>
          <w:rtl/>
          <w:lang w:bidi="ar-JO"/>
        </w:rPr>
        <w:footnoteReference w:id="732"/>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rtl/>
          <w:lang w:bidi="ar-JO"/>
        </w:rPr>
        <w:t>، والدكتور سعيد أبو هراوة</w:t>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vertAlign w:val="superscript"/>
          <w:rtl/>
          <w:lang w:bidi="ar-JO"/>
        </w:rPr>
        <w:footnoteReference w:id="733"/>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rtl/>
          <w:lang w:bidi="ar-JO"/>
        </w:rPr>
        <w:t>، والدكتور علي السالوس</w:t>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vertAlign w:val="superscript"/>
          <w:rtl/>
          <w:lang w:bidi="ar-JO"/>
        </w:rPr>
        <w:footnoteReference w:id="734"/>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rtl/>
          <w:lang w:bidi="ar-JO"/>
        </w:rPr>
        <w:t xml:space="preserve">، والدكتور محمد </w:t>
      </w:r>
    </w:p>
    <w:p w14:paraId="655D2DE1" w14:textId="77777777" w:rsidR="009A0B33" w:rsidRDefault="009A0B33">
      <w:pPr>
        <w:bidi w:val="0"/>
        <w:spacing w:after="0" w:line="240" w:lineRule="auto"/>
        <w:rPr>
          <w:rFonts w:ascii="Arabic Transparent" w:hAnsi="Arabic Transparent" w:cs="Arabic Transparent"/>
          <w:sz w:val="28"/>
          <w:szCs w:val="28"/>
          <w:rtl/>
          <w:lang w:bidi="ar-JO"/>
        </w:rPr>
      </w:pPr>
      <w:r>
        <w:rPr>
          <w:rFonts w:ascii="Arabic Transparent" w:hAnsi="Arabic Transparent" w:cs="Arabic Transparent"/>
          <w:sz w:val="28"/>
          <w:szCs w:val="28"/>
          <w:rtl/>
          <w:lang w:bidi="ar-JO"/>
        </w:rPr>
        <w:br w:type="page"/>
      </w:r>
    </w:p>
    <w:p w14:paraId="36B9D83B" w14:textId="1D551D99" w:rsidR="00201DD5" w:rsidRPr="00201DD5" w:rsidRDefault="00201DD5" w:rsidP="004E02F5">
      <w:pPr>
        <w:widowControl w:val="0"/>
        <w:autoSpaceDE w:val="0"/>
        <w:autoSpaceDN w:val="0"/>
        <w:adjustRightInd w:val="0"/>
        <w:spacing w:after="0" w:line="360" w:lineRule="auto"/>
        <w:contextualSpacing/>
        <w:jc w:val="both"/>
        <w:rPr>
          <w:rFonts w:ascii="Arabic Transparent" w:hAnsi="Arabic Transparent" w:cs="Arabic Transparent"/>
          <w:sz w:val="28"/>
          <w:szCs w:val="28"/>
          <w:rtl/>
          <w:lang w:bidi="ar-JO"/>
        </w:rPr>
      </w:pPr>
      <w:r w:rsidRPr="00201DD5">
        <w:rPr>
          <w:rFonts w:ascii="Arabic Transparent" w:hAnsi="Arabic Transparent" w:cs="Arabic Transparent"/>
          <w:sz w:val="28"/>
          <w:szCs w:val="28"/>
          <w:rtl/>
          <w:lang w:bidi="ar-JO"/>
        </w:rPr>
        <w:t>شبير</w:t>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vertAlign w:val="superscript"/>
          <w:rtl/>
          <w:lang w:bidi="ar-JO"/>
        </w:rPr>
        <w:footnoteReference w:id="735"/>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rtl/>
          <w:lang w:bidi="ar-JO"/>
        </w:rPr>
        <w:t>، والدكتور حسين فهمي</w:t>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vertAlign w:val="superscript"/>
          <w:rtl/>
          <w:lang w:bidi="ar-JO"/>
        </w:rPr>
        <w:footnoteReference w:id="736"/>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rtl/>
          <w:lang w:bidi="ar-JO"/>
        </w:rPr>
        <w:t>.</w:t>
      </w:r>
    </w:p>
    <w:p w14:paraId="12A90F93" w14:textId="0432DCA1" w:rsidR="00201DD5" w:rsidRPr="00201DD5" w:rsidRDefault="005D7B91" w:rsidP="00201DD5">
      <w:pPr>
        <w:widowControl w:val="0"/>
        <w:autoSpaceDE w:val="0"/>
        <w:autoSpaceDN w:val="0"/>
        <w:adjustRightInd w:val="0"/>
        <w:spacing w:after="0" w:line="360" w:lineRule="auto"/>
        <w:contextualSpacing/>
        <w:jc w:val="both"/>
        <w:rPr>
          <w:rFonts w:ascii="Arabic Transparent" w:hAnsi="Arabic Transparent" w:cs="Arabic Transparent"/>
          <w:sz w:val="28"/>
          <w:szCs w:val="28"/>
          <w:rtl/>
          <w:lang w:bidi="ar-JO"/>
        </w:rPr>
      </w:pPr>
      <w:r>
        <w:rPr>
          <w:rFonts w:ascii="Arabic Transparent" w:hAnsi="Arabic Transparent" w:cs="Arabic Transparent"/>
          <w:sz w:val="28"/>
          <w:szCs w:val="28"/>
          <w:rtl/>
          <w:lang w:bidi="ar-JO"/>
        </w:rPr>
        <w:t xml:space="preserve">     </w:t>
      </w:r>
      <w:r w:rsidR="00201DD5" w:rsidRPr="00201DD5">
        <w:rPr>
          <w:rFonts w:ascii="Arabic Transparent" w:hAnsi="Arabic Transparent" w:cs="Arabic Transparent"/>
          <w:sz w:val="28"/>
          <w:szCs w:val="28"/>
          <w:rtl/>
          <w:lang w:bidi="ar-JO"/>
        </w:rPr>
        <w:t>قد توصلوا لهذا الحكم للأسباب الآتية:</w:t>
      </w:r>
    </w:p>
    <w:p w14:paraId="4492B901" w14:textId="65BB2B60" w:rsidR="00201DD5" w:rsidRDefault="00201DD5" w:rsidP="004E02F5">
      <w:pPr>
        <w:widowControl w:val="0"/>
        <w:autoSpaceDE w:val="0"/>
        <w:autoSpaceDN w:val="0"/>
        <w:adjustRightInd w:val="0"/>
        <w:spacing w:after="0" w:line="360" w:lineRule="auto"/>
        <w:contextualSpacing/>
        <w:jc w:val="both"/>
        <w:rPr>
          <w:rFonts w:ascii="Arabic Transparent" w:hAnsi="Arabic Transparent" w:cs="Arabic Transparent"/>
          <w:sz w:val="28"/>
          <w:szCs w:val="28"/>
          <w:rtl/>
          <w:lang w:bidi="ar-JO"/>
        </w:rPr>
      </w:pPr>
      <w:r w:rsidRPr="00201DD5">
        <w:rPr>
          <w:rFonts w:ascii="Arabic Transparent" w:hAnsi="Arabic Transparent" w:cs="Arabic Transparent"/>
          <w:sz w:val="28"/>
          <w:szCs w:val="28"/>
          <w:rtl/>
          <w:lang w:bidi="ar-JO"/>
        </w:rPr>
        <w:t>1- "إن في التورق الفردي والمنظم تواطؤًا بين الممول والمستورق، صراحة أو ضمنًا أو عرفًا، تحايلا لتحصيل النقد الحاضر بأكثر منه في الذمة، وهو ربا"</w:t>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vertAlign w:val="superscript"/>
          <w:rtl/>
          <w:lang w:bidi="ar-JO"/>
        </w:rPr>
        <w:footnoteReference w:id="737"/>
      </w:r>
      <w:r w:rsidRPr="00201DD5">
        <w:rPr>
          <w:rFonts w:ascii="Arabic Transparent" w:hAnsi="Arabic Transparent" w:cs="Arabic Transparent"/>
          <w:sz w:val="28"/>
          <w:szCs w:val="28"/>
          <w:vertAlign w:val="superscript"/>
          <w:rtl/>
          <w:lang w:bidi="ar-JO"/>
        </w:rPr>
        <w:t>)</w:t>
      </w:r>
      <w:r>
        <w:rPr>
          <w:rFonts w:ascii="Arabic Transparent" w:hAnsi="Arabic Transparent" w:cs="Arabic Transparent" w:hint="cs"/>
          <w:sz w:val="28"/>
          <w:szCs w:val="28"/>
          <w:rtl/>
          <w:lang w:bidi="ar-JO"/>
        </w:rPr>
        <w:t xml:space="preserve">، </w:t>
      </w:r>
    </w:p>
    <w:p w14:paraId="7AC74075" w14:textId="5AFD5AD6" w:rsidR="00201DD5" w:rsidRPr="00201DD5" w:rsidRDefault="00201DD5" w:rsidP="00201DD5">
      <w:pPr>
        <w:widowControl w:val="0"/>
        <w:autoSpaceDE w:val="0"/>
        <w:autoSpaceDN w:val="0"/>
        <w:adjustRightInd w:val="0"/>
        <w:spacing w:after="0" w:line="360" w:lineRule="auto"/>
        <w:contextualSpacing/>
        <w:jc w:val="both"/>
        <w:rPr>
          <w:rFonts w:ascii="Arabic Transparent" w:hAnsi="Arabic Transparent" w:cs="Arabic Transparent"/>
          <w:sz w:val="28"/>
          <w:szCs w:val="28"/>
          <w:rtl/>
          <w:lang w:bidi="ar-JO"/>
        </w:rPr>
      </w:pPr>
      <w:r w:rsidRPr="00201DD5">
        <w:rPr>
          <w:rFonts w:ascii="Arabic Transparent" w:hAnsi="Arabic Transparent" w:cs="Arabic Transparent"/>
          <w:sz w:val="28"/>
          <w:szCs w:val="28"/>
          <w:rtl/>
          <w:lang w:bidi="ar-JO"/>
        </w:rPr>
        <w:t>وهي صورة شبيهة بالعينة الثلاثية الممنوعة شرعاً، وبه إخلال بشرط القبض الشرعي في كثير من الأحوال، وصورية المعاملة وهدف البنك الحصول على الربح من الزيادة التي يدفعها المستورق وليس التجارة بالسلع الحقيقية، فالسلعة ليست مقصودة لذاتها</w:t>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vertAlign w:val="superscript"/>
          <w:rtl/>
          <w:lang w:bidi="ar-JO"/>
        </w:rPr>
        <w:footnoteReference w:id="738"/>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rtl/>
          <w:lang w:bidi="ar-JO"/>
        </w:rPr>
        <w:t>.</w:t>
      </w:r>
    </w:p>
    <w:p w14:paraId="4900C256" w14:textId="77777777" w:rsidR="00201DD5" w:rsidRPr="00201DD5" w:rsidRDefault="00201DD5" w:rsidP="00201DD5">
      <w:pPr>
        <w:widowControl w:val="0"/>
        <w:autoSpaceDE w:val="0"/>
        <w:autoSpaceDN w:val="0"/>
        <w:adjustRightInd w:val="0"/>
        <w:spacing w:after="0" w:line="360" w:lineRule="auto"/>
        <w:contextualSpacing/>
        <w:jc w:val="both"/>
        <w:rPr>
          <w:rFonts w:ascii="Arabic Transparent" w:hAnsi="Arabic Transparent" w:cs="Arabic Transparent"/>
          <w:sz w:val="28"/>
          <w:szCs w:val="28"/>
          <w:rtl/>
        </w:rPr>
      </w:pPr>
      <w:r w:rsidRPr="00201DD5">
        <w:rPr>
          <w:rFonts w:ascii="Arabic Transparent" w:hAnsi="Arabic Transparent" w:cs="Arabic Transparent"/>
          <w:sz w:val="28"/>
          <w:szCs w:val="28"/>
          <w:rtl/>
        </w:rPr>
        <w:t>2- "إنَّ معيار التواطؤ أو الترتيب في المعاملة حداً فاصلاً لتعريف التَّورُّق المنظم، سواء أكان التواطؤ ضمنياً أم صريحاً، أم صار عرفاً وعادة ممارسة، واعتبر وجود التواطؤ مما يصير المعاملة رباً محضاً"</w:t>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vertAlign w:val="superscript"/>
          <w:rtl/>
          <w:lang w:bidi="ar-JO"/>
        </w:rPr>
        <w:footnoteReference w:id="739"/>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rtl/>
        </w:rPr>
        <w:t>.</w:t>
      </w:r>
    </w:p>
    <w:p w14:paraId="3D2C4492" w14:textId="77777777" w:rsidR="00201DD5" w:rsidRPr="00201DD5" w:rsidRDefault="00201DD5" w:rsidP="00201DD5">
      <w:pPr>
        <w:widowControl w:val="0"/>
        <w:autoSpaceDE w:val="0"/>
        <w:autoSpaceDN w:val="0"/>
        <w:adjustRightInd w:val="0"/>
        <w:spacing w:after="0" w:line="360" w:lineRule="auto"/>
        <w:contextualSpacing/>
        <w:jc w:val="both"/>
        <w:rPr>
          <w:rFonts w:ascii="Arabic Transparent" w:hAnsi="Arabic Transparent" w:cs="Arabic Transparent"/>
          <w:sz w:val="28"/>
          <w:szCs w:val="28"/>
          <w:rtl/>
        </w:rPr>
      </w:pPr>
      <w:r w:rsidRPr="00201DD5">
        <w:rPr>
          <w:rFonts w:ascii="Arabic Transparent" w:hAnsi="Arabic Transparent" w:cs="Arabic Transparent"/>
          <w:sz w:val="28"/>
          <w:szCs w:val="28"/>
          <w:rtl/>
        </w:rPr>
        <w:t xml:space="preserve">3- يحرم التورق سداً لذريعة التحايل على الربا، وخوفاً من جعل الفرق بين البنوك الإسلامية والبنوك التقليدية فرقاً شكلياً، كما أن أثر التَّورُّق المصرفي المنظم على الاقتصاد الإسلامي سيكون </w:t>
      </w:r>
    </w:p>
    <w:p w14:paraId="0D63C1AF" w14:textId="33C257A3" w:rsidR="00201DD5" w:rsidRPr="00201DD5" w:rsidRDefault="00201DD5" w:rsidP="00201DD5">
      <w:pPr>
        <w:widowControl w:val="0"/>
        <w:autoSpaceDE w:val="0"/>
        <w:autoSpaceDN w:val="0"/>
        <w:adjustRightInd w:val="0"/>
        <w:spacing w:after="0" w:line="360" w:lineRule="auto"/>
        <w:contextualSpacing/>
        <w:jc w:val="both"/>
        <w:rPr>
          <w:rFonts w:ascii="Arabic Transparent" w:hAnsi="Arabic Transparent" w:cs="Arabic Transparent"/>
          <w:sz w:val="28"/>
          <w:szCs w:val="28"/>
          <w:rtl/>
        </w:rPr>
      </w:pPr>
      <w:r w:rsidRPr="00201DD5">
        <w:rPr>
          <w:rFonts w:ascii="Arabic Transparent" w:hAnsi="Arabic Transparent" w:cs="Arabic Transparent"/>
          <w:sz w:val="28"/>
          <w:szCs w:val="28"/>
          <w:rtl/>
        </w:rPr>
        <w:t xml:space="preserve">سلبياً، مما ينشأ عنه التضخم وتغير قيمة العملات على المدى البعيد. </w:t>
      </w:r>
    </w:p>
    <w:p w14:paraId="6EB19E06" w14:textId="0419643C" w:rsidR="002D0FD0" w:rsidRDefault="00201DD5" w:rsidP="00201DD5">
      <w:pPr>
        <w:widowControl w:val="0"/>
        <w:autoSpaceDE w:val="0"/>
        <w:autoSpaceDN w:val="0"/>
        <w:adjustRightInd w:val="0"/>
        <w:spacing w:after="0" w:line="360" w:lineRule="auto"/>
        <w:contextualSpacing/>
        <w:jc w:val="both"/>
        <w:rPr>
          <w:rFonts w:ascii="Arabic Transparent" w:hAnsi="Arabic Transparent" w:cs="Arabic Transparent"/>
          <w:sz w:val="28"/>
          <w:szCs w:val="28"/>
          <w:rtl/>
        </w:rPr>
      </w:pPr>
      <w:r w:rsidRPr="00201DD5">
        <w:rPr>
          <w:rFonts w:ascii="Arabic Transparent" w:hAnsi="Arabic Transparent" w:cs="Arabic Transparent"/>
          <w:sz w:val="28"/>
          <w:szCs w:val="28"/>
          <w:rtl/>
        </w:rPr>
        <w:t xml:space="preserve">4- لا يتفق عقد التورق مع المقاصد الشرعية للمعاملات، وذلك من خلال تسجيل العديد من المخالفات، مثل: </w:t>
      </w:r>
      <w:r w:rsidR="002D0FD0">
        <w:rPr>
          <w:rFonts w:ascii="Arabic Transparent" w:hAnsi="Arabic Transparent" w:cs="Arabic Transparent" w:hint="cs"/>
          <w:sz w:val="28"/>
          <w:szCs w:val="28"/>
          <w:rtl/>
        </w:rPr>
        <w:t>"</w:t>
      </w:r>
      <w:r w:rsidRPr="00201DD5">
        <w:rPr>
          <w:rFonts w:ascii="Arabic Transparent" w:hAnsi="Arabic Transparent" w:cs="Arabic Transparent"/>
          <w:sz w:val="28"/>
          <w:szCs w:val="28"/>
          <w:rtl/>
        </w:rPr>
        <w:t xml:space="preserve">عدم دخول السلعة في ضمان العميل، وعدم التزام المؤسسة بشروط القبض </w:t>
      </w:r>
    </w:p>
    <w:p w14:paraId="6BB7C54F" w14:textId="77777777" w:rsidR="002D0FD0" w:rsidRDefault="002D0FD0">
      <w:pPr>
        <w:bidi w:val="0"/>
        <w:spacing w:after="0" w:line="240" w:lineRule="auto"/>
        <w:rPr>
          <w:rFonts w:ascii="Arabic Transparent" w:hAnsi="Arabic Transparent" w:cs="Arabic Transparent"/>
          <w:sz w:val="28"/>
          <w:szCs w:val="28"/>
          <w:rtl/>
        </w:rPr>
      </w:pPr>
      <w:r>
        <w:rPr>
          <w:rFonts w:ascii="Arabic Transparent" w:hAnsi="Arabic Transparent" w:cs="Arabic Transparent"/>
          <w:sz w:val="28"/>
          <w:szCs w:val="28"/>
          <w:rtl/>
        </w:rPr>
        <w:br w:type="page"/>
      </w:r>
    </w:p>
    <w:p w14:paraId="470A1B82" w14:textId="5D270113" w:rsidR="00201DD5" w:rsidRPr="00201DD5" w:rsidRDefault="00201DD5" w:rsidP="00201DD5">
      <w:pPr>
        <w:widowControl w:val="0"/>
        <w:autoSpaceDE w:val="0"/>
        <w:autoSpaceDN w:val="0"/>
        <w:adjustRightInd w:val="0"/>
        <w:spacing w:after="0" w:line="360" w:lineRule="auto"/>
        <w:contextualSpacing/>
        <w:jc w:val="both"/>
        <w:rPr>
          <w:rFonts w:ascii="Arabic Transparent" w:hAnsi="Arabic Transparent" w:cs="Arabic Transparent"/>
          <w:sz w:val="28"/>
          <w:szCs w:val="28"/>
          <w:rtl/>
        </w:rPr>
      </w:pPr>
      <w:r w:rsidRPr="00201DD5">
        <w:rPr>
          <w:rFonts w:ascii="Arabic Transparent" w:hAnsi="Arabic Transparent" w:cs="Arabic Transparent"/>
          <w:sz w:val="28"/>
          <w:szCs w:val="28"/>
          <w:rtl/>
        </w:rPr>
        <w:t>الشرعية، حضور صورة الربا بالحصول على نقد حاضر مقابل زيادة مؤجلة</w:t>
      </w:r>
      <w:r w:rsidR="002D0FD0">
        <w:rPr>
          <w:rFonts w:ascii="Arabic Transparent" w:hAnsi="Arabic Transparent" w:cs="Arabic Transparent" w:hint="cs"/>
          <w:sz w:val="28"/>
          <w:szCs w:val="28"/>
          <w:rtl/>
        </w:rPr>
        <w:t>"</w:t>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vertAlign w:val="superscript"/>
          <w:rtl/>
          <w:lang w:bidi="ar-JO"/>
        </w:rPr>
        <w:footnoteReference w:id="740"/>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rtl/>
        </w:rPr>
        <w:t>.</w:t>
      </w:r>
    </w:p>
    <w:p w14:paraId="774AEBB3" w14:textId="762F34F4" w:rsidR="00201DD5" w:rsidRDefault="00201DD5" w:rsidP="004E02F5">
      <w:pPr>
        <w:widowControl w:val="0"/>
        <w:autoSpaceDE w:val="0"/>
        <w:autoSpaceDN w:val="0"/>
        <w:adjustRightInd w:val="0"/>
        <w:spacing w:after="0" w:line="360" w:lineRule="auto"/>
        <w:contextualSpacing/>
        <w:jc w:val="both"/>
        <w:rPr>
          <w:rFonts w:ascii="Arabic Transparent" w:hAnsi="Arabic Transparent" w:cs="Arabic Transparent"/>
          <w:sz w:val="28"/>
          <w:szCs w:val="28"/>
          <w:rtl/>
        </w:rPr>
      </w:pPr>
      <w:r w:rsidRPr="00201DD5">
        <w:rPr>
          <w:rFonts w:ascii="Arabic Transparent" w:hAnsi="Arabic Transparent" w:cs="Arabic Transparent"/>
          <w:sz w:val="28"/>
          <w:szCs w:val="28"/>
          <w:rtl/>
        </w:rPr>
        <w:t xml:space="preserve">5- ذكرت بعض الأبحاث التي قدمت لمجلة مجمع الفقه الإسلامي حرمة التورق المنظم؛ </w:t>
      </w:r>
      <w:r w:rsidR="002D0FD0">
        <w:rPr>
          <w:rFonts w:ascii="Arabic Transparent" w:hAnsi="Arabic Transparent" w:cs="Arabic Transparent" w:hint="cs"/>
          <w:sz w:val="28"/>
          <w:szCs w:val="28"/>
          <w:rtl/>
        </w:rPr>
        <w:t>"</w:t>
      </w:r>
      <w:r w:rsidRPr="00201DD5">
        <w:rPr>
          <w:rFonts w:ascii="Arabic Transparent" w:hAnsi="Arabic Transparent" w:cs="Arabic Transparent"/>
          <w:sz w:val="28"/>
          <w:szCs w:val="28"/>
          <w:rtl/>
        </w:rPr>
        <w:t>لأنه أشبه ما يكون ببيع العينة المحرم، وأنه ملفق من جملة من رخص المذاهب التي هي من التلفيق المذموم، والحيل والمخارج المحرمة في الشريعة الإسلامية</w:t>
      </w:r>
      <w:r w:rsidR="002D0FD0">
        <w:rPr>
          <w:rFonts w:ascii="Arabic Transparent" w:hAnsi="Arabic Transparent" w:cs="Arabic Transparent" w:hint="cs"/>
          <w:sz w:val="28"/>
          <w:szCs w:val="28"/>
          <w:rtl/>
        </w:rPr>
        <w:t>"</w:t>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vertAlign w:val="superscript"/>
          <w:rtl/>
          <w:lang w:bidi="ar-JO"/>
        </w:rPr>
        <w:footnoteReference w:id="741"/>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rtl/>
        </w:rPr>
        <w:t>.</w:t>
      </w:r>
    </w:p>
    <w:p w14:paraId="24EB6A9B" w14:textId="35078C5B" w:rsidR="00201DD5" w:rsidRPr="00201DD5" w:rsidRDefault="00201DD5" w:rsidP="00201DD5">
      <w:pPr>
        <w:widowControl w:val="0"/>
        <w:autoSpaceDE w:val="0"/>
        <w:autoSpaceDN w:val="0"/>
        <w:adjustRightInd w:val="0"/>
        <w:spacing w:after="0" w:line="360" w:lineRule="auto"/>
        <w:contextualSpacing/>
        <w:jc w:val="both"/>
        <w:rPr>
          <w:rFonts w:ascii="Arabic Transparent" w:hAnsi="Arabic Transparent" w:cs="Arabic Transparent"/>
          <w:b/>
          <w:bCs/>
          <w:sz w:val="28"/>
          <w:szCs w:val="28"/>
          <w:rtl/>
        </w:rPr>
      </w:pPr>
      <w:r w:rsidRPr="00201DD5">
        <w:rPr>
          <w:rFonts w:ascii="Arabic Transparent" w:hAnsi="Arabic Transparent" w:cs="Arabic Transparent"/>
          <w:b/>
          <w:bCs/>
          <w:sz w:val="28"/>
          <w:szCs w:val="28"/>
          <w:rtl/>
        </w:rPr>
        <w:t>ثالثاً: تحليل الفتاوى السابقة وتنقيح المناط العام:</w:t>
      </w:r>
    </w:p>
    <w:p w14:paraId="76659518" w14:textId="10413455" w:rsidR="00201DD5" w:rsidRPr="00201DD5" w:rsidRDefault="00201DD5" w:rsidP="00201DD5">
      <w:pPr>
        <w:widowControl w:val="0"/>
        <w:autoSpaceDE w:val="0"/>
        <w:autoSpaceDN w:val="0"/>
        <w:adjustRightInd w:val="0"/>
        <w:spacing w:after="0" w:line="360" w:lineRule="auto"/>
        <w:contextualSpacing/>
        <w:jc w:val="both"/>
        <w:rPr>
          <w:rFonts w:ascii="Arabic Transparent" w:hAnsi="Arabic Transparent" w:cs="Arabic Transparent"/>
          <w:sz w:val="28"/>
          <w:szCs w:val="28"/>
          <w:rtl/>
        </w:rPr>
      </w:pPr>
      <w:r w:rsidRPr="00201DD5">
        <w:rPr>
          <w:rFonts w:ascii="Arabic Transparent" w:hAnsi="Arabic Transparent" w:cs="Arabic Transparent"/>
          <w:sz w:val="28"/>
          <w:szCs w:val="28"/>
          <w:rtl/>
        </w:rPr>
        <w:t xml:space="preserve"> 1- تحليل الفتاوى السابقة: بعد التعرف على حقيقة التَّورُّق المنظم وعرض الفتاوى المتعلقة به وأسبابها، يرى الباحث أن الفتاوى تتفاوت في تحقيق المناط وتنزيل الحكم الشرعي على محله على اتجاهين اثنين، الأول: منع كل صور التورق وتحريمه تحريم مقاصد، وهو الاتجاه الأكبر، والثاني: وقف على تجاوزات محرمة تجريها بعض المصارف فحرمت المعاملة تحريم أسباب ووسائل، واقترح حلولاً وتصحيحات شرعية يمكن أن تصبح المعاملة شرعية كما هو الحال بالتمويل بالمرابحة للآمر بالشراء، والإجارة المنتهية بالتمليك، والاتجاه الثالث هو الذي راعى التفاوت عند تحقيق المناط الخاص، ولم يراعِ قواعد الاجتهاد التنزيلي الذي يجب معه أن يقف على صور محرمة ومباحة، وهو الأكثر انضباطا ومراعاةً للتفاوت عند تحقيق المناط الخاص</w:t>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vertAlign w:val="superscript"/>
          <w:rtl/>
          <w:lang w:bidi="ar-JO"/>
        </w:rPr>
        <w:footnoteReference w:id="742"/>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rtl/>
        </w:rPr>
        <w:t>.</w:t>
      </w:r>
    </w:p>
    <w:p w14:paraId="3215C34A" w14:textId="47909C0C" w:rsidR="002D0FD0" w:rsidRDefault="00201DD5" w:rsidP="00201DD5">
      <w:pPr>
        <w:widowControl w:val="0"/>
        <w:autoSpaceDE w:val="0"/>
        <w:autoSpaceDN w:val="0"/>
        <w:adjustRightInd w:val="0"/>
        <w:spacing w:after="0" w:line="360" w:lineRule="auto"/>
        <w:contextualSpacing/>
        <w:jc w:val="both"/>
        <w:rPr>
          <w:rFonts w:ascii="Arabic Transparent" w:hAnsi="Arabic Transparent" w:cs="Arabic Transparent"/>
          <w:sz w:val="28"/>
          <w:szCs w:val="28"/>
          <w:rtl/>
        </w:rPr>
      </w:pPr>
      <w:r w:rsidRPr="00201DD5">
        <w:rPr>
          <w:rFonts w:ascii="Arabic Transparent" w:hAnsi="Arabic Transparent" w:cs="Arabic Transparent"/>
          <w:sz w:val="28"/>
          <w:szCs w:val="28"/>
          <w:rtl/>
        </w:rPr>
        <w:t xml:space="preserve"> 2- تنقيح المناط العام</w:t>
      </w:r>
      <w:r w:rsidR="005D7B91">
        <w:rPr>
          <w:rFonts w:ascii="Arabic Transparent" w:hAnsi="Arabic Transparent" w:cs="Arabic Transparent"/>
          <w:sz w:val="28"/>
          <w:szCs w:val="28"/>
          <w:rtl/>
        </w:rPr>
        <w:t xml:space="preserve">: </w:t>
      </w:r>
      <w:r w:rsidRPr="00201DD5">
        <w:rPr>
          <w:rFonts w:ascii="Arabic Transparent" w:hAnsi="Arabic Transparent" w:cs="Arabic Transparent"/>
          <w:sz w:val="28"/>
          <w:szCs w:val="28"/>
          <w:rtl/>
        </w:rPr>
        <w:t>فإن المناط الرئيس للنظر في هذه المعاملة التي أصلها الإباحة كما في سائر المعاملات</w:t>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vertAlign w:val="superscript"/>
          <w:rtl/>
          <w:lang w:bidi="ar-JO"/>
        </w:rPr>
        <w:footnoteReference w:id="743"/>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rtl/>
        </w:rPr>
        <w:t xml:space="preserve"> هو مدى تحقق صورة البيع الحقيقي والقبض والتملك بشروطه، مع انتفاء قصد التحايل على الربا ظاهراً، وسلامة المعاملة من التواطؤ الظاهر داخل العقد، مع فصل العقود ودخول السعلة في ضمان مالكها حقيقة أو حكماً.</w:t>
      </w:r>
    </w:p>
    <w:p w14:paraId="11BF636F" w14:textId="77777777" w:rsidR="002D0FD0" w:rsidRDefault="002D0FD0">
      <w:pPr>
        <w:bidi w:val="0"/>
        <w:spacing w:after="0" w:line="240" w:lineRule="auto"/>
        <w:rPr>
          <w:rFonts w:ascii="Arabic Transparent" w:hAnsi="Arabic Transparent" w:cs="Arabic Transparent"/>
          <w:sz w:val="28"/>
          <w:szCs w:val="28"/>
          <w:rtl/>
        </w:rPr>
      </w:pPr>
      <w:r>
        <w:rPr>
          <w:rFonts w:ascii="Arabic Transparent" w:hAnsi="Arabic Transparent" w:cs="Arabic Transparent"/>
          <w:sz w:val="28"/>
          <w:szCs w:val="28"/>
          <w:rtl/>
        </w:rPr>
        <w:br w:type="page"/>
      </w:r>
    </w:p>
    <w:p w14:paraId="07F1B43F" w14:textId="77777777" w:rsidR="00201DD5" w:rsidRPr="00201DD5" w:rsidRDefault="00201DD5" w:rsidP="00201DD5">
      <w:pPr>
        <w:widowControl w:val="0"/>
        <w:autoSpaceDE w:val="0"/>
        <w:autoSpaceDN w:val="0"/>
        <w:adjustRightInd w:val="0"/>
        <w:spacing w:after="0" w:line="360" w:lineRule="auto"/>
        <w:contextualSpacing/>
        <w:jc w:val="both"/>
        <w:rPr>
          <w:rFonts w:ascii="Arabic Transparent" w:hAnsi="Arabic Transparent" w:cs="Arabic Transparent"/>
          <w:b/>
          <w:bCs/>
          <w:sz w:val="28"/>
          <w:szCs w:val="28"/>
          <w:rtl/>
        </w:rPr>
      </w:pPr>
      <w:r w:rsidRPr="00201DD5">
        <w:rPr>
          <w:rFonts w:ascii="Arabic Transparent" w:hAnsi="Arabic Transparent" w:cs="Arabic Transparent"/>
          <w:b/>
          <w:bCs/>
          <w:sz w:val="28"/>
          <w:szCs w:val="28"/>
          <w:rtl/>
        </w:rPr>
        <w:t>الفرع الثالث: وجه التفاوت في تحقيق المناط الخاص:</w:t>
      </w:r>
    </w:p>
    <w:p w14:paraId="5E9C7781" w14:textId="140854FB" w:rsidR="00201DD5" w:rsidRPr="00201DD5" w:rsidRDefault="005D7B91" w:rsidP="004E02F5">
      <w:pPr>
        <w:widowControl w:val="0"/>
        <w:autoSpaceDE w:val="0"/>
        <w:autoSpaceDN w:val="0"/>
        <w:adjustRightInd w:val="0"/>
        <w:spacing w:after="0" w:line="360" w:lineRule="auto"/>
        <w:contextualSpacing/>
        <w:jc w:val="both"/>
        <w:rPr>
          <w:rFonts w:ascii="Arabic Transparent" w:hAnsi="Arabic Transparent" w:cs="Arabic Transparent"/>
          <w:sz w:val="28"/>
          <w:szCs w:val="28"/>
          <w:rtl/>
        </w:rPr>
      </w:pPr>
      <w:r>
        <w:rPr>
          <w:rFonts w:ascii="Arabic Transparent" w:hAnsi="Arabic Transparent" w:cs="Arabic Transparent"/>
          <w:sz w:val="28"/>
          <w:szCs w:val="28"/>
          <w:rtl/>
        </w:rPr>
        <w:t xml:space="preserve">     </w:t>
      </w:r>
      <w:r w:rsidR="00201DD5" w:rsidRPr="00201DD5">
        <w:rPr>
          <w:rFonts w:ascii="Arabic Transparent" w:hAnsi="Arabic Transparent" w:cs="Arabic Transparent"/>
          <w:sz w:val="28"/>
          <w:szCs w:val="28"/>
          <w:rtl/>
        </w:rPr>
        <w:t>المراد من وجه التفاوت: هو السبب المحدد للتفاوت الذي أدى إلى تغيير الحكم من مناطه العام الإباحة ( للمعاملات) إلى المناط الخاص، وهو الحرمة بالنسبة للفتاوى ذات الموضوع الواحد</w:t>
      </w:r>
      <w:r w:rsidR="00201DD5" w:rsidRPr="00201DD5">
        <w:rPr>
          <w:rFonts w:ascii="Arabic Transparent" w:hAnsi="Arabic Transparent" w:cs="Arabic Transparent"/>
          <w:sz w:val="28"/>
          <w:szCs w:val="28"/>
          <w:vertAlign w:val="superscript"/>
          <w:rtl/>
          <w:lang w:bidi="ar-JO"/>
        </w:rPr>
        <w:t>(</w:t>
      </w:r>
      <w:r w:rsidR="00201DD5" w:rsidRPr="00201DD5">
        <w:rPr>
          <w:rFonts w:ascii="Arabic Transparent" w:hAnsi="Arabic Transparent" w:cs="Arabic Transparent"/>
          <w:sz w:val="28"/>
          <w:szCs w:val="28"/>
          <w:vertAlign w:val="superscript"/>
          <w:rtl/>
          <w:lang w:bidi="ar-JO"/>
        </w:rPr>
        <w:footnoteReference w:id="744"/>
      </w:r>
      <w:r w:rsidR="00201DD5" w:rsidRPr="00201DD5">
        <w:rPr>
          <w:rFonts w:ascii="Arabic Transparent" w:hAnsi="Arabic Transparent" w:cs="Arabic Transparent"/>
          <w:sz w:val="28"/>
          <w:szCs w:val="28"/>
          <w:vertAlign w:val="superscript"/>
          <w:rtl/>
          <w:lang w:bidi="ar-JO"/>
        </w:rPr>
        <w:t>)</w:t>
      </w:r>
      <w:r w:rsidR="00201DD5" w:rsidRPr="00201DD5">
        <w:rPr>
          <w:rFonts w:ascii="Arabic Transparent" w:hAnsi="Arabic Transparent" w:cs="Arabic Transparent"/>
          <w:sz w:val="28"/>
          <w:szCs w:val="28"/>
          <w:rtl/>
        </w:rPr>
        <w:t>، حيث يمكن حصر وجه التفاوت من جهة المجتهد، أو الواقعة، أو</w:t>
      </w:r>
      <w:r w:rsidR="0067036C">
        <w:rPr>
          <w:rFonts w:ascii="Arabic Transparent" w:hAnsi="Arabic Transparent" w:cs="Arabic Transparent" w:hint="cs"/>
          <w:sz w:val="28"/>
          <w:szCs w:val="28"/>
          <w:rtl/>
        </w:rPr>
        <w:t xml:space="preserve"> </w:t>
      </w:r>
      <w:r w:rsidR="00201DD5" w:rsidRPr="00201DD5">
        <w:rPr>
          <w:rFonts w:ascii="Arabic Transparent" w:hAnsi="Arabic Transparent" w:cs="Arabic Transparent"/>
          <w:sz w:val="28"/>
          <w:szCs w:val="28"/>
          <w:rtl/>
        </w:rPr>
        <w:t>أطراف العقد في فتاوى وأبحاث التَّورُّق المنظم في الإجابة عن السؤال: هل المناط المتحقق هو مناط البيع الحقيقي (المناط العام) أم أنه حيلة على الربا لتحصيل النقد الحاضر بزيادة دين مؤجل (فيأخذ حكماً جديداً بتحقيق المناط الخاص)؟ بالمثال الآتي يتضح البيان، حيث يعلن المصرف الإسلامي المعين عن عمله بضوابط إجراء معاملة التورق الشرعية، وعند التحقق من المعاملة بشكل خاص يظهر أن هناك مخالفات شرعية طارئة تستوجب القول بتحريم المنتج بهذا المصرف المعين.</w:t>
      </w:r>
    </w:p>
    <w:p w14:paraId="33A1668E" w14:textId="2492EBA6" w:rsidR="00201DD5" w:rsidRPr="00201DD5" w:rsidRDefault="00201DD5" w:rsidP="00201DD5">
      <w:pPr>
        <w:widowControl w:val="0"/>
        <w:autoSpaceDE w:val="0"/>
        <w:autoSpaceDN w:val="0"/>
        <w:adjustRightInd w:val="0"/>
        <w:spacing w:after="0" w:line="360" w:lineRule="auto"/>
        <w:contextualSpacing/>
        <w:jc w:val="both"/>
        <w:rPr>
          <w:rFonts w:ascii="Arabic Transparent" w:hAnsi="Arabic Transparent" w:cs="Arabic Transparent"/>
          <w:b/>
          <w:bCs/>
          <w:sz w:val="28"/>
          <w:szCs w:val="28"/>
          <w:rtl/>
        </w:rPr>
      </w:pPr>
      <w:r w:rsidRPr="00201DD5">
        <w:rPr>
          <w:rFonts w:ascii="Arabic Transparent" w:hAnsi="Arabic Transparent" w:cs="Arabic Transparent"/>
          <w:b/>
          <w:bCs/>
          <w:sz w:val="28"/>
          <w:szCs w:val="28"/>
          <w:rtl/>
        </w:rPr>
        <w:t>أولاً: تفاوت في الحكم يعود للواقعة</w:t>
      </w:r>
      <w:r w:rsidR="00151AED">
        <w:rPr>
          <w:rFonts w:ascii="Arabic Transparent" w:hAnsi="Arabic Transparent" w:cs="Arabic Transparent"/>
          <w:b/>
          <w:bCs/>
          <w:sz w:val="28"/>
          <w:szCs w:val="28"/>
          <w:rtl/>
        </w:rPr>
        <w:t xml:space="preserve">: </w:t>
      </w:r>
    </w:p>
    <w:p w14:paraId="51E8357E" w14:textId="10A78F14" w:rsidR="00201DD5" w:rsidRPr="00201DD5" w:rsidRDefault="005D7B91" w:rsidP="00201DD5">
      <w:pPr>
        <w:widowControl w:val="0"/>
        <w:autoSpaceDE w:val="0"/>
        <w:autoSpaceDN w:val="0"/>
        <w:adjustRightInd w:val="0"/>
        <w:spacing w:after="0" w:line="360" w:lineRule="auto"/>
        <w:contextualSpacing/>
        <w:jc w:val="both"/>
        <w:rPr>
          <w:rFonts w:ascii="Arabic Transparent" w:hAnsi="Arabic Transparent" w:cs="Arabic Transparent"/>
          <w:sz w:val="28"/>
          <w:szCs w:val="28"/>
          <w:rtl/>
        </w:rPr>
      </w:pPr>
      <w:r>
        <w:rPr>
          <w:rFonts w:ascii="Arabic Transparent" w:hAnsi="Arabic Transparent" w:cs="Arabic Transparent"/>
          <w:b/>
          <w:bCs/>
          <w:sz w:val="28"/>
          <w:szCs w:val="28"/>
          <w:rtl/>
        </w:rPr>
        <w:t xml:space="preserve">     </w:t>
      </w:r>
      <w:r w:rsidR="00201DD5" w:rsidRPr="00201DD5">
        <w:rPr>
          <w:rFonts w:ascii="Arabic Transparent" w:hAnsi="Arabic Transparent" w:cs="Arabic Transparent"/>
          <w:sz w:val="28"/>
          <w:szCs w:val="28"/>
          <w:rtl/>
        </w:rPr>
        <w:t>من التفاوت الذي يؤثر في الحكم ما يعود إلى الواقعة، وهو كما يأتي:</w:t>
      </w:r>
    </w:p>
    <w:p w14:paraId="12BFB128" w14:textId="337E5A5B" w:rsidR="00201DD5" w:rsidRPr="00201DD5" w:rsidRDefault="00201DD5" w:rsidP="00201DD5">
      <w:pPr>
        <w:widowControl w:val="0"/>
        <w:autoSpaceDE w:val="0"/>
        <w:autoSpaceDN w:val="0"/>
        <w:adjustRightInd w:val="0"/>
        <w:spacing w:after="0" w:line="360" w:lineRule="auto"/>
        <w:contextualSpacing/>
        <w:jc w:val="both"/>
        <w:rPr>
          <w:rFonts w:ascii="Arabic Transparent" w:hAnsi="Arabic Transparent" w:cs="Arabic Transparent"/>
          <w:sz w:val="28"/>
          <w:szCs w:val="28"/>
          <w:rtl/>
        </w:rPr>
      </w:pPr>
      <w:r w:rsidRPr="00201DD5">
        <w:rPr>
          <w:rFonts w:ascii="Arabic Transparent" w:hAnsi="Arabic Transparent" w:cs="Arabic Transparent"/>
          <w:sz w:val="28"/>
          <w:szCs w:val="28"/>
          <w:rtl/>
        </w:rPr>
        <w:t>1- تردد مناط الواقعة بين الإثبات والنفي: بسبب الخفاء الذي يُشكل على المجتهد عند تحديد مناط الواقعة، فمن اختار أنها من الربا، أو ذريعة للربا، قال: بالتحريم، ومن قال: إنها بيع بصورة جديدة؛ ألحق حكمها بحكم البيع المطلق، أو التَّورُّق الفردي الذي أجيز مع الكراهة</w:t>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vertAlign w:val="superscript"/>
          <w:rtl/>
          <w:lang w:bidi="ar-JO"/>
        </w:rPr>
        <w:footnoteReference w:id="745"/>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rtl/>
        </w:rPr>
        <w:t>، ولا يتجلى الخفاء إلا من خلال استعمال مسلك تحقيق المناط الخاص، بدراسة الجزئيات والصور الحديثة للوقوف على الحكم الشرعي، وإنّ كثيراً ممن يدعي عدم التملك الحقيقي من قبل المصرف للسلعة، أو المشتري يظهر أنَّه يتكلم دون أن يطلع على جزئيات المسألة وعقودها، ولم يتأكد من مدى تملك المصرف للسلعة سواء بالتملك الحقيقي أو الحكمي</w:t>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vertAlign w:val="superscript"/>
          <w:rtl/>
          <w:lang w:bidi="ar-JO"/>
        </w:rPr>
        <w:footnoteReference w:id="746"/>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rtl/>
        </w:rPr>
        <w:t>.</w:t>
      </w:r>
    </w:p>
    <w:p w14:paraId="1B624941" w14:textId="77777777" w:rsidR="002D0FD0" w:rsidRDefault="00201DD5" w:rsidP="004E02F5">
      <w:pPr>
        <w:widowControl w:val="0"/>
        <w:autoSpaceDE w:val="0"/>
        <w:autoSpaceDN w:val="0"/>
        <w:adjustRightInd w:val="0"/>
        <w:spacing w:after="0" w:line="360" w:lineRule="auto"/>
        <w:contextualSpacing/>
        <w:jc w:val="both"/>
        <w:rPr>
          <w:rFonts w:ascii="Arabic Transparent" w:hAnsi="Arabic Transparent" w:cs="Arabic Transparent"/>
          <w:sz w:val="28"/>
          <w:szCs w:val="28"/>
          <w:rtl/>
        </w:rPr>
      </w:pPr>
      <w:r w:rsidRPr="00201DD5">
        <w:rPr>
          <w:rFonts w:ascii="Arabic Transparent" w:hAnsi="Arabic Transparent" w:cs="Arabic Transparent"/>
          <w:sz w:val="28"/>
          <w:szCs w:val="28"/>
          <w:rtl/>
        </w:rPr>
        <w:t>2-</w:t>
      </w:r>
      <w:r w:rsidRPr="00201DD5">
        <w:rPr>
          <w:rFonts w:ascii="Arabic Transparent" w:hAnsi="Arabic Transparent" w:cs="Arabic Transparent"/>
          <w:b/>
          <w:bCs/>
          <w:sz w:val="28"/>
          <w:szCs w:val="28"/>
          <w:rtl/>
        </w:rPr>
        <w:t xml:space="preserve"> </w:t>
      </w:r>
      <w:r w:rsidRPr="00201DD5">
        <w:rPr>
          <w:rFonts w:ascii="Arabic Transparent" w:hAnsi="Arabic Transparent" w:cs="Arabic Transparent"/>
          <w:sz w:val="28"/>
          <w:szCs w:val="28"/>
          <w:rtl/>
        </w:rPr>
        <w:t xml:space="preserve">تردد الواقعة بين أكثر من أصل شرعي، فالاعتراضات الواردة على أدلة كلا الفريقين تمنع القطع بحكم عام للتورّق، حيث: "ورد الاختلاف في حكم بيع العينة، والاختلاف في تصحيح </w:t>
      </w:r>
    </w:p>
    <w:p w14:paraId="50B6E360" w14:textId="77777777" w:rsidR="002D0FD0" w:rsidRDefault="002D0FD0">
      <w:pPr>
        <w:bidi w:val="0"/>
        <w:spacing w:after="0" w:line="240" w:lineRule="auto"/>
        <w:rPr>
          <w:rFonts w:ascii="Arabic Transparent" w:hAnsi="Arabic Transparent" w:cs="Arabic Transparent"/>
          <w:sz w:val="28"/>
          <w:szCs w:val="28"/>
          <w:rtl/>
        </w:rPr>
      </w:pPr>
      <w:r>
        <w:rPr>
          <w:rFonts w:ascii="Arabic Transparent" w:hAnsi="Arabic Transparent" w:cs="Arabic Transparent"/>
          <w:sz w:val="28"/>
          <w:szCs w:val="28"/>
          <w:rtl/>
        </w:rPr>
        <w:br w:type="page"/>
      </w:r>
    </w:p>
    <w:p w14:paraId="12344102" w14:textId="24A107D9" w:rsidR="00201DD5" w:rsidRDefault="00201DD5" w:rsidP="004E02F5">
      <w:pPr>
        <w:widowControl w:val="0"/>
        <w:autoSpaceDE w:val="0"/>
        <w:autoSpaceDN w:val="0"/>
        <w:adjustRightInd w:val="0"/>
        <w:spacing w:after="0" w:line="360" w:lineRule="auto"/>
        <w:contextualSpacing/>
        <w:jc w:val="both"/>
        <w:rPr>
          <w:rFonts w:ascii="Arabic Transparent" w:hAnsi="Arabic Transparent" w:cs="Arabic Transparent"/>
          <w:sz w:val="28"/>
          <w:szCs w:val="28"/>
          <w:rtl/>
        </w:rPr>
      </w:pPr>
      <w:r w:rsidRPr="00201DD5">
        <w:rPr>
          <w:rFonts w:ascii="Arabic Transparent" w:hAnsi="Arabic Transparent" w:cs="Arabic Transparent"/>
          <w:sz w:val="28"/>
          <w:szCs w:val="28"/>
          <w:rtl/>
        </w:rPr>
        <w:t>وتضعيف أحاديث تحريم العينة، والفرق بين بيع العينة والتَّورُّق"</w:t>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vertAlign w:val="superscript"/>
          <w:rtl/>
          <w:lang w:bidi="ar-JO"/>
        </w:rPr>
        <w:footnoteReference w:id="747"/>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rtl/>
        </w:rPr>
        <w:t>، والاعتراض والردود الواردة على تركيب العقود ودمجها، وغيرها من الاعتراضات التي وردت في كتابات جمع من العلماء المعاصرين</w:t>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vertAlign w:val="superscript"/>
          <w:rtl/>
          <w:lang w:bidi="ar-JO"/>
        </w:rPr>
        <w:footnoteReference w:id="748"/>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rtl/>
        </w:rPr>
        <w:t xml:space="preserve">، والتي تمنع القطع بالتحريم، للتورق الذي له العديد من الصور والتي تجريها البنوك بإجراءات متجددة. </w:t>
      </w:r>
    </w:p>
    <w:p w14:paraId="0597F436" w14:textId="77777777" w:rsidR="00201DD5" w:rsidRPr="00201DD5" w:rsidRDefault="00201DD5" w:rsidP="00201DD5">
      <w:pPr>
        <w:widowControl w:val="0"/>
        <w:autoSpaceDE w:val="0"/>
        <w:autoSpaceDN w:val="0"/>
        <w:adjustRightInd w:val="0"/>
        <w:spacing w:after="0" w:line="360" w:lineRule="auto"/>
        <w:contextualSpacing/>
        <w:jc w:val="both"/>
        <w:rPr>
          <w:rFonts w:ascii="Arabic Transparent" w:hAnsi="Arabic Transparent" w:cs="Arabic Transparent"/>
          <w:sz w:val="28"/>
          <w:szCs w:val="28"/>
          <w:rtl/>
        </w:rPr>
      </w:pPr>
      <w:r w:rsidRPr="00201DD5">
        <w:rPr>
          <w:rFonts w:ascii="Arabic Transparent" w:hAnsi="Arabic Transparent" w:cs="Arabic Transparent"/>
          <w:sz w:val="28"/>
          <w:szCs w:val="28"/>
          <w:rtl/>
        </w:rPr>
        <w:t xml:space="preserve">3- تغير الواقعة بتبدل الأوصاف المؤثرة فيها، يلزم معه حكمٌ جديدٌ، فتغير الزمان والمكان، </w:t>
      </w:r>
    </w:p>
    <w:p w14:paraId="3180704B" w14:textId="77777777" w:rsidR="00201DD5" w:rsidRPr="00201DD5" w:rsidRDefault="00201DD5" w:rsidP="00201DD5">
      <w:pPr>
        <w:widowControl w:val="0"/>
        <w:autoSpaceDE w:val="0"/>
        <w:autoSpaceDN w:val="0"/>
        <w:adjustRightInd w:val="0"/>
        <w:spacing w:after="0" w:line="360" w:lineRule="auto"/>
        <w:contextualSpacing/>
        <w:jc w:val="both"/>
        <w:rPr>
          <w:rFonts w:ascii="Arabic Transparent" w:hAnsi="Arabic Transparent" w:cs="Arabic Transparent"/>
          <w:sz w:val="28"/>
          <w:szCs w:val="28"/>
          <w:rtl/>
        </w:rPr>
      </w:pPr>
      <w:r w:rsidRPr="00201DD5">
        <w:rPr>
          <w:rFonts w:ascii="Arabic Transparent" w:hAnsi="Arabic Transparent" w:cs="Arabic Transparent"/>
          <w:sz w:val="28"/>
          <w:szCs w:val="28"/>
          <w:rtl/>
        </w:rPr>
        <w:t>والعادة، وحال المستفتي كلها عوامل مؤثرة في الحكم، والناظر في الفتاوى يجد أنََّ أول فتوى جماعية حول التَّورُّق كانت في 2003م</w:t>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vertAlign w:val="superscript"/>
          <w:rtl/>
          <w:lang w:bidi="ar-JO"/>
        </w:rPr>
        <w:footnoteReference w:id="749"/>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rtl/>
          <w:lang w:bidi="ar-JO"/>
        </w:rPr>
        <w:t>،</w:t>
      </w:r>
      <w:r w:rsidRPr="00201DD5">
        <w:rPr>
          <w:rFonts w:ascii="Arabic Transparent" w:hAnsi="Arabic Transparent" w:cs="Arabic Transparent"/>
          <w:sz w:val="28"/>
          <w:szCs w:val="28"/>
          <w:rtl/>
        </w:rPr>
        <w:t xml:space="preserve"> ومن ذلك الوقت إلى يومنا هذا وبعض هيئات الفتوى تلتزم الحكم بتحريم التَّورُّق المنظم حرمةً قاطعة، ومن جانب آخر قامت بعض المصارف بمراعاة الضوابط والشروط ووضع صور للتمويل من خلال بيع مرابحة الأسهم والذي يمكِّن العميل من الاحتفاظ بها أو بيعها والحصول على النقد</w:t>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vertAlign w:val="superscript"/>
          <w:rtl/>
          <w:lang w:bidi="ar-JO"/>
        </w:rPr>
        <w:footnoteReference w:id="750"/>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rtl/>
        </w:rPr>
        <w:t xml:space="preserve">، ومع ذلك لم تحظَ هذه الصورة بموافقة العديد من هيئات الفتوى الجماعية، والتي يجدر بها أن تعيد النظر بها؛ لتغير الواقعة بتغير الأوصاف المؤثرة فيها. </w:t>
      </w:r>
    </w:p>
    <w:p w14:paraId="2760BB53" w14:textId="23AEA44E" w:rsidR="00201DD5" w:rsidRPr="00201DD5" w:rsidRDefault="00201DD5" w:rsidP="00201DD5">
      <w:pPr>
        <w:widowControl w:val="0"/>
        <w:autoSpaceDE w:val="0"/>
        <w:autoSpaceDN w:val="0"/>
        <w:adjustRightInd w:val="0"/>
        <w:spacing w:after="0" w:line="360" w:lineRule="auto"/>
        <w:contextualSpacing/>
        <w:jc w:val="both"/>
        <w:rPr>
          <w:rFonts w:ascii="Arabic Transparent" w:hAnsi="Arabic Transparent" w:cs="Arabic Transparent"/>
          <w:b/>
          <w:bCs/>
          <w:sz w:val="28"/>
          <w:szCs w:val="28"/>
          <w:rtl/>
        </w:rPr>
      </w:pPr>
      <w:r w:rsidRPr="00201DD5">
        <w:rPr>
          <w:rFonts w:ascii="Arabic Transparent" w:hAnsi="Arabic Transparent" w:cs="Arabic Transparent"/>
          <w:b/>
          <w:bCs/>
          <w:sz w:val="28"/>
          <w:szCs w:val="28"/>
          <w:rtl/>
        </w:rPr>
        <w:t>ثانياً: تفاوت في الحكم يعود للاجتهاد ومناهجه</w:t>
      </w:r>
      <w:r w:rsidR="005D7B91">
        <w:rPr>
          <w:rFonts w:ascii="Arabic Transparent" w:hAnsi="Arabic Transparent" w:cs="Arabic Transparent"/>
          <w:b/>
          <w:bCs/>
          <w:sz w:val="28"/>
          <w:szCs w:val="28"/>
          <w:rtl/>
        </w:rPr>
        <w:t xml:space="preserve">: </w:t>
      </w:r>
    </w:p>
    <w:p w14:paraId="44FF1CF8" w14:textId="3F5105D7" w:rsidR="00201DD5" w:rsidRPr="00201DD5" w:rsidRDefault="005D7B91" w:rsidP="00201DD5">
      <w:pPr>
        <w:widowControl w:val="0"/>
        <w:autoSpaceDE w:val="0"/>
        <w:autoSpaceDN w:val="0"/>
        <w:adjustRightInd w:val="0"/>
        <w:spacing w:after="0" w:line="360" w:lineRule="auto"/>
        <w:contextualSpacing/>
        <w:jc w:val="both"/>
        <w:rPr>
          <w:rFonts w:ascii="Arabic Transparent" w:hAnsi="Arabic Transparent" w:cs="Arabic Transparent"/>
          <w:sz w:val="28"/>
          <w:szCs w:val="28"/>
          <w:rtl/>
        </w:rPr>
      </w:pPr>
      <w:r>
        <w:rPr>
          <w:rFonts w:ascii="Arabic Transparent" w:hAnsi="Arabic Transparent" w:cs="Arabic Transparent"/>
          <w:b/>
          <w:bCs/>
          <w:sz w:val="28"/>
          <w:szCs w:val="28"/>
          <w:rtl/>
        </w:rPr>
        <w:t xml:space="preserve">     </w:t>
      </w:r>
      <w:r w:rsidR="00201DD5" w:rsidRPr="00201DD5">
        <w:rPr>
          <w:rFonts w:ascii="Arabic Transparent" w:hAnsi="Arabic Transparent" w:cs="Arabic Transparent"/>
          <w:sz w:val="28"/>
          <w:szCs w:val="28"/>
          <w:rtl/>
        </w:rPr>
        <w:t>من التفاوت الذي يؤثر في الحكم ما يعود إلى الاجتهاد ومناهجه، وهو كما يأتي:</w:t>
      </w:r>
    </w:p>
    <w:p w14:paraId="238C9CBA" w14:textId="5722555B" w:rsidR="002D0FD0" w:rsidRDefault="00201DD5" w:rsidP="00201DD5">
      <w:pPr>
        <w:widowControl w:val="0"/>
        <w:autoSpaceDE w:val="0"/>
        <w:autoSpaceDN w:val="0"/>
        <w:adjustRightInd w:val="0"/>
        <w:spacing w:after="0" w:line="360" w:lineRule="auto"/>
        <w:contextualSpacing/>
        <w:jc w:val="both"/>
        <w:rPr>
          <w:rFonts w:ascii="Arabic Transparent" w:hAnsi="Arabic Transparent" w:cs="Arabic Transparent"/>
          <w:sz w:val="28"/>
          <w:szCs w:val="28"/>
          <w:rtl/>
        </w:rPr>
      </w:pPr>
      <w:r w:rsidRPr="00201DD5">
        <w:rPr>
          <w:rFonts w:ascii="Arabic Transparent" w:hAnsi="Arabic Transparent" w:cs="Arabic Transparent"/>
          <w:b/>
          <w:bCs/>
          <w:sz w:val="28"/>
          <w:szCs w:val="28"/>
          <w:rtl/>
        </w:rPr>
        <w:t>1-</w:t>
      </w:r>
      <w:r w:rsidRPr="00201DD5">
        <w:rPr>
          <w:rFonts w:ascii="Arabic Transparent" w:hAnsi="Arabic Transparent" w:cs="Arabic Transparent"/>
          <w:sz w:val="28"/>
          <w:szCs w:val="28"/>
          <w:rtl/>
        </w:rPr>
        <w:t xml:space="preserve"> ينكر بعض المعاصرين على من يقوم باستعمال منهج التلفيق وتركيب العقود من أجل "التوصل إلى صور ظاهرها الإباحة والقصد إليها ممنوع</w:t>
      </w:r>
      <w:r w:rsidR="002D0FD0">
        <w:rPr>
          <w:rFonts w:ascii="Arabic Transparent" w:hAnsi="Arabic Transparent" w:cs="Arabic Transparent" w:hint="cs"/>
          <w:sz w:val="28"/>
          <w:szCs w:val="28"/>
          <w:rtl/>
        </w:rPr>
        <w:t>"</w:t>
      </w:r>
      <w:r w:rsidR="002D0FD0" w:rsidRPr="00201DD5">
        <w:rPr>
          <w:rFonts w:ascii="Arabic Transparent" w:hAnsi="Arabic Transparent" w:cs="Arabic Transparent"/>
          <w:sz w:val="28"/>
          <w:szCs w:val="28"/>
          <w:vertAlign w:val="superscript"/>
          <w:rtl/>
          <w:lang w:bidi="ar-JO"/>
        </w:rPr>
        <w:t xml:space="preserve"> </w:t>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vertAlign w:val="superscript"/>
          <w:rtl/>
          <w:lang w:bidi="ar-JO"/>
        </w:rPr>
        <w:footnoteReference w:id="751"/>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rtl/>
        </w:rPr>
        <w:t>، والمطلع على منهج الفقهاء يرى أن منهجهم: "أنَّ العمل بالدليل الظاهر هو ‌الأصل ‌في ‌المعاملات دفعا للضرر عن العباد"</w:t>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vertAlign w:val="superscript"/>
          <w:rtl/>
          <w:lang w:bidi="ar-JO"/>
        </w:rPr>
        <w:footnoteReference w:id="752"/>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rtl/>
        </w:rPr>
        <w:t xml:space="preserve">فنحن غير مطالبين بالكشف عن بواطن التصرفات التي يحاسب الله الناس عليها، ويطالب المجتهد بدراسة حالة العقود الظاهرة؛ لأنها صورة محددة  واضحة ويقوم بتحقيق المناط من خلال تأكده </w:t>
      </w:r>
      <w:r w:rsidRPr="00201DD5">
        <w:rPr>
          <w:rFonts w:ascii="Arabic Transparent" w:hAnsi="Arabic Transparent" w:cs="Arabic Transparent"/>
          <w:sz w:val="28"/>
          <w:szCs w:val="28"/>
          <w:rtl/>
        </w:rPr>
        <w:lastRenderedPageBreak/>
        <w:t>من جريان ما هو معلن من ضوابط وشروط على الواقع العملي، أو يقوم بتقديم ضوابط مقترحة لجواز المعاملة.</w:t>
      </w:r>
    </w:p>
    <w:p w14:paraId="5B3158E0" w14:textId="77777777" w:rsidR="002D0FD0" w:rsidRDefault="002D0FD0">
      <w:pPr>
        <w:bidi w:val="0"/>
        <w:spacing w:after="0" w:line="240" w:lineRule="auto"/>
        <w:rPr>
          <w:rFonts w:ascii="Arabic Transparent" w:hAnsi="Arabic Transparent" w:cs="Arabic Transparent"/>
          <w:sz w:val="28"/>
          <w:szCs w:val="28"/>
          <w:rtl/>
        </w:rPr>
      </w:pPr>
      <w:r>
        <w:rPr>
          <w:rFonts w:ascii="Arabic Transparent" w:hAnsi="Arabic Transparent" w:cs="Arabic Transparent"/>
          <w:sz w:val="28"/>
          <w:szCs w:val="28"/>
          <w:rtl/>
        </w:rPr>
        <w:br w:type="page"/>
      </w:r>
    </w:p>
    <w:p w14:paraId="20BC8125" w14:textId="7CE9B93F" w:rsidR="00201DD5" w:rsidRPr="00201DD5" w:rsidRDefault="00201DD5" w:rsidP="004E02F5">
      <w:pPr>
        <w:widowControl w:val="0"/>
        <w:autoSpaceDE w:val="0"/>
        <w:autoSpaceDN w:val="0"/>
        <w:adjustRightInd w:val="0"/>
        <w:spacing w:after="0" w:line="360" w:lineRule="auto"/>
        <w:contextualSpacing/>
        <w:jc w:val="both"/>
        <w:rPr>
          <w:rFonts w:ascii="Arabic Transparent" w:hAnsi="Arabic Transparent" w:cs="Arabic Transparent"/>
          <w:sz w:val="28"/>
          <w:szCs w:val="28"/>
          <w:rtl/>
        </w:rPr>
      </w:pPr>
      <w:r w:rsidRPr="00201DD5">
        <w:rPr>
          <w:rFonts w:ascii="Arabic Transparent" w:hAnsi="Arabic Transparent" w:cs="Arabic Transparent"/>
          <w:sz w:val="28"/>
          <w:szCs w:val="28"/>
          <w:rtl/>
        </w:rPr>
        <w:t>2- إنَّ المصرفية الإسلامية لا تقوم لها قائمة من غير استعمال التلفيق لهندسة وتركيب العقود مع الفصل بينها عند التعاقد</w:t>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vertAlign w:val="superscript"/>
          <w:rtl/>
          <w:lang w:bidi="ar-JO"/>
        </w:rPr>
        <w:footnoteReference w:id="753"/>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rtl/>
        </w:rPr>
        <w:t>، الذي هو "الاختيار من أقوال الفقهاء المجتهدين ما تصح معه المعاملة"</w:t>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vertAlign w:val="superscript"/>
          <w:rtl/>
          <w:lang w:bidi="ar-JO"/>
        </w:rPr>
        <w:footnoteReference w:id="754"/>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rtl/>
        </w:rPr>
        <w:t>، فالتلفيق ضرورة بالنسبة للبنوك الإسلامية وكذلك الحيل التي هي بمعنى: "المخارج الشرعية التي أجازها المجتهدون للتوسعة على المكلفين"</w:t>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vertAlign w:val="superscript"/>
          <w:rtl/>
          <w:lang w:bidi="ar-JO"/>
        </w:rPr>
        <w:footnoteReference w:id="755"/>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rtl/>
        </w:rPr>
        <w:t>، تحديداً في جوانب المعاملات المالية التي ترفع الحرج والضيق عن الناس في تعاملاتهم التي يحتاجونها بشكل مستمر</w:t>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vertAlign w:val="superscript"/>
          <w:rtl/>
          <w:lang w:bidi="ar-JO"/>
        </w:rPr>
        <w:footnoteReference w:id="756"/>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rtl/>
        </w:rPr>
        <w:t>.</w:t>
      </w:r>
    </w:p>
    <w:p w14:paraId="253A33EE" w14:textId="588E030C" w:rsidR="00201DD5" w:rsidRPr="00201DD5" w:rsidRDefault="00201DD5" w:rsidP="00201DD5">
      <w:pPr>
        <w:widowControl w:val="0"/>
        <w:autoSpaceDE w:val="0"/>
        <w:autoSpaceDN w:val="0"/>
        <w:adjustRightInd w:val="0"/>
        <w:spacing w:after="0" w:line="360" w:lineRule="auto"/>
        <w:contextualSpacing/>
        <w:jc w:val="both"/>
        <w:rPr>
          <w:rFonts w:ascii="Arabic Transparent" w:hAnsi="Arabic Transparent" w:cs="Arabic Transparent"/>
          <w:sz w:val="28"/>
          <w:szCs w:val="28"/>
          <w:rtl/>
        </w:rPr>
      </w:pPr>
      <w:r w:rsidRPr="00201DD5">
        <w:rPr>
          <w:rFonts w:ascii="Arabic Transparent" w:hAnsi="Arabic Transparent" w:cs="Arabic Transparent"/>
          <w:sz w:val="28"/>
          <w:szCs w:val="28"/>
          <w:rtl/>
        </w:rPr>
        <w:t>3- لا اعتبار للتفاوت، ولا لتحقيق المناط الخاص مع الإصرار على التحريم القاطع لعدد من فتاوى التورق المنظم بكل صوره، دون وجود استثناء لبعض الصور؛ كونه في نظرهم ذريعة من ذرائع الربا المحرّم، وهذا المنهج ذاته الذي يستعمله أتباع المنهج المقاصدي: الذين اعتبروا الباعث الخفي مؤثراً في الحكم، فتحرّم المعاملة ويبطل التعاقد بها، ويأثم فاعلها في الآخرة</w:t>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vertAlign w:val="superscript"/>
          <w:rtl/>
          <w:lang w:bidi="ar-JO"/>
        </w:rPr>
        <w:footnoteReference w:id="757"/>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rtl/>
        </w:rPr>
        <w:t xml:space="preserve">، فقالوا: بسد الذريعة منعاً للباعث الخفي الذي لا يطلع عليه أحدٌ من الناس؛ لأن القصد فيه التوصل للتمويل بطريقة غير مشروعة، بيد أن الدكتور حسين فهمي يرى </w:t>
      </w:r>
      <w:r w:rsidR="001D5402">
        <w:rPr>
          <w:rFonts w:ascii="Arabic Transparent" w:hAnsi="Arabic Transparent" w:cs="Arabic Transparent" w:hint="cs"/>
          <w:sz w:val="28"/>
          <w:szCs w:val="28"/>
          <w:rtl/>
        </w:rPr>
        <w:t>"</w:t>
      </w:r>
      <w:r w:rsidRPr="00201DD5">
        <w:rPr>
          <w:rFonts w:ascii="Arabic Transparent" w:hAnsi="Arabic Transparent" w:cs="Arabic Transparent"/>
          <w:sz w:val="28"/>
          <w:szCs w:val="28"/>
          <w:rtl/>
        </w:rPr>
        <w:t>أن جميع منتجات التمويل الاستهلاكي في البنوك الإسلامية تتجه لتقديم النقد تحت مسمى البيع، أو الإجارة، والبنوك الإسلامية لا تتملك معارض لبيع السلع وإنما تقوم بتمويل المشتري، وغاية المشتري الحصول على التمويل، لذلك كل هذه المنتجات تساهم في حدوث التضخم العام على الأسعار، وليس كما هو الحال في المنتجات التي تعزز الاقتصاد الإسلامي، مثل: المشاركات، والأوقاف، والتبرعات، والاستثمار الإنتاجي</w:t>
      </w:r>
      <w:r w:rsidR="001D5402">
        <w:rPr>
          <w:rFonts w:ascii="Arabic Transparent" w:hAnsi="Arabic Transparent" w:cs="Arabic Transparent" w:hint="cs"/>
          <w:sz w:val="28"/>
          <w:szCs w:val="28"/>
          <w:rtl/>
        </w:rPr>
        <w:t>"</w:t>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vertAlign w:val="superscript"/>
          <w:rtl/>
          <w:lang w:bidi="ar-JO"/>
        </w:rPr>
        <w:footnoteReference w:id="758"/>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rtl/>
        </w:rPr>
        <w:t>.</w:t>
      </w:r>
    </w:p>
    <w:p w14:paraId="2F2A0811" w14:textId="7A844F10" w:rsidR="001D5402" w:rsidRDefault="00201DD5" w:rsidP="001D5402">
      <w:pPr>
        <w:widowControl w:val="0"/>
        <w:autoSpaceDE w:val="0"/>
        <w:autoSpaceDN w:val="0"/>
        <w:adjustRightInd w:val="0"/>
        <w:spacing w:after="0" w:line="360" w:lineRule="auto"/>
        <w:contextualSpacing/>
        <w:jc w:val="both"/>
        <w:rPr>
          <w:rFonts w:ascii="Arabic Transparent" w:hAnsi="Arabic Transparent" w:cs="Arabic Transparent"/>
          <w:sz w:val="28"/>
          <w:szCs w:val="28"/>
          <w:rtl/>
        </w:rPr>
      </w:pPr>
      <w:r w:rsidRPr="00201DD5">
        <w:rPr>
          <w:rFonts w:ascii="Arabic Transparent" w:hAnsi="Arabic Transparent" w:cs="Arabic Transparent"/>
          <w:sz w:val="28"/>
          <w:szCs w:val="28"/>
          <w:rtl/>
        </w:rPr>
        <w:t xml:space="preserve">4- بعض العلماء المعاصرين الذين حرَّموا التَّورُّق، والمنكرين على من أجاز بيع التَّورُّق بضوابطه، والذين قالوا عنهم: "إنَّ بنوكهم إسلامية بالاسم فقط والحقيقة أنها تستعمل المعاملات </w:t>
      </w:r>
      <w:r w:rsidRPr="00201DD5">
        <w:rPr>
          <w:rFonts w:ascii="Arabic Transparent" w:hAnsi="Arabic Transparent" w:cs="Arabic Transparent"/>
          <w:sz w:val="28"/>
          <w:szCs w:val="28"/>
          <w:rtl/>
        </w:rPr>
        <w:lastRenderedPageBreak/>
        <w:t>الربوية</w:t>
      </w:r>
      <w:r w:rsidRPr="00F8716C">
        <w:rPr>
          <w:rFonts w:ascii="Arabic Transparent" w:hAnsi="Arabic Transparent" w:cs="Arabic Transparent"/>
          <w:sz w:val="28"/>
          <w:szCs w:val="28"/>
          <w:rtl/>
          <w:lang w:bidi="ar-JO"/>
        </w:rPr>
        <w:t>"</w:t>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vertAlign w:val="superscript"/>
          <w:rtl/>
          <w:lang w:bidi="ar-JO"/>
        </w:rPr>
        <w:footnoteReference w:id="759"/>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rtl/>
        </w:rPr>
        <w:t xml:space="preserve">، </w:t>
      </w:r>
      <w:r w:rsidR="001D5402">
        <w:rPr>
          <w:rFonts w:ascii="Arabic Transparent" w:hAnsi="Arabic Transparent" w:cs="Arabic Transparent"/>
          <w:sz w:val="28"/>
          <w:szCs w:val="28"/>
          <w:rtl/>
        </w:rPr>
        <w:br w:type="page"/>
      </w:r>
    </w:p>
    <w:p w14:paraId="6CC39080" w14:textId="44F61254" w:rsidR="00201DD5" w:rsidRPr="00201DD5" w:rsidRDefault="00201DD5" w:rsidP="004E02F5">
      <w:pPr>
        <w:widowControl w:val="0"/>
        <w:autoSpaceDE w:val="0"/>
        <w:autoSpaceDN w:val="0"/>
        <w:adjustRightInd w:val="0"/>
        <w:spacing w:after="0" w:line="360" w:lineRule="auto"/>
        <w:contextualSpacing/>
        <w:jc w:val="both"/>
        <w:rPr>
          <w:rFonts w:ascii="Arabic Transparent" w:hAnsi="Arabic Transparent" w:cs="Arabic Transparent"/>
          <w:sz w:val="28"/>
          <w:szCs w:val="28"/>
          <w:rtl/>
        </w:rPr>
      </w:pPr>
      <w:r w:rsidRPr="00201DD5">
        <w:rPr>
          <w:rFonts w:ascii="Arabic Transparent" w:hAnsi="Arabic Transparent" w:cs="Arabic Transparent"/>
          <w:sz w:val="28"/>
          <w:szCs w:val="28"/>
          <w:rtl/>
        </w:rPr>
        <w:t>حيث قامت بعد مدة من الزمن البنوك التي يعملون في هيئتها الشرعية باستحداث منتجات تمويل تعتمد على التَّورُّق، كالأسهم وغيرها من المنتجات، ورست عليها صبغة الشرعية بمصادقة وتوقيع الأعضاء الذين أنكروا على من تعامل بالتَّورُّق سابقاً، وعلى الباحثين الذين أجازوه بضوابط وشروط</w:t>
      </w:r>
      <w:r w:rsidRPr="00201DD5">
        <w:rPr>
          <w:rFonts w:ascii="Arabic Transparent" w:hAnsi="Arabic Transparent" w:cs="Arabic Transparent"/>
          <w:sz w:val="28"/>
          <w:szCs w:val="28"/>
          <w:vertAlign w:val="superscript"/>
          <w:rtl/>
          <w:lang w:bidi="ar-JO"/>
        </w:rPr>
        <w:t xml:space="preserve"> </w:t>
      </w:r>
      <w:r w:rsidRPr="00201DD5">
        <w:rPr>
          <w:rFonts w:ascii="Arabic Transparent" w:hAnsi="Arabic Transparent" w:cs="Arabic Transparent"/>
          <w:sz w:val="28"/>
          <w:szCs w:val="28"/>
          <w:rtl/>
          <w:lang w:bidi="ar-JO"/>
        </w:rPr>
        <w:t>محددة</w:t>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vertAlign w:val="superscript"/>
          <w:rtl/>
          <w:lang w:bidi="ar-JO"/>
        </w:rPr>
        <w:footnoteReference w:id="760"/>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rtl/>
        </w:rPr>
        <w:t>.</w:t>
      </w:r>
    </w:p>
    <w:p w14:paraId="258B5DD0" w14:textId="77777777" w:rsidR="00201DD5" w:rsidRPr="00201DD5" w:rsidRDefault="00201DD5" w:rsidP="00201DD5">
      <w:pPr>
        <w:widowControl w:val="0"/>
        <w:autoSpaceDE w:val="0"/>
        <w:autoSpaceDN w:val="0"/>
        <w:adjustRightInd w:val="0"/>
        <w:spacing w:after="0" w:line="360" w:lineRule="auto"/>
        <w:contextualSpacing/>
        <w:jc w:val="both"/>
        <w:rPr>
          <w:rFonts w:ascii="Arabic Transparent" w:hAnsi="Arabic Transparent" w:cs="Arabic Transparent"/>
          <w:sz w:val="28"/>
          <w:szCs w:val="28"/>
          <w:rtl/>
        </w:rPr>
      </w:pPr>
      <w:r w:rsidRPr="00201DD5">
        <w:rPr>
          <w:rFonts w:ascii="Arabic Transparent" w:hAnsi="Arabic Transparent" w:cs="Arabic Transparent"/>
          <w:sz w:val="28"/>
          <w:szCs w:val="28"/>
          <w:rtl/>
        </w:rPr>
        <w:t>5- عدم تصور المجتهد الواقعة لإعطائها التكييف الفقهي المناسب، إّن بعض الفتاوى والأبحاث اعتمدوا على رأي وتصور مجامع الإفتاء الجماعي كمستند لهم، وقالوا بتحريم التَّورُّق المنظم "اعتماداً على قرار المجامع الفقهية التي نصت على تحريم التَّورُّق"</w:t>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vertAlign w:val="superscript"/>
          <w:rtl/>
          <w:lang w:bidi="ar-JO"/>
        </w:rPr>
        <w:footnoteReference w:id="761"/>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rtl/>
          <w:lang w:bidi="ar-JO"/>
        </w:rPr>
        <w:t>، بالرغم من أن الكثير من المفتين والمجتهدين المعاصرين قالوا بجوازه مع الأخذ بجملة من الضوابط، فإن خلا من الضوابط قالوا: بالتحريم، لتكون المعاملة محرمة لغيرها لا لذاتها</w:t>
      </w:r>
      <w:r w:rsidRPr="00201DD5">
        <w:rPr>
          <w:rFonts w:ascii="Arabic Transparent" w:hAnsi="Arabic Transparent" w:cs="Arabic Transparent"/>
          <w:sz w:val="28"/>
          <w:szCs w:val="28"/>
          <w:vertAlign w:val="superscript"/>
          <w:rtl/>
          <w:lang w:bidi="ar-JO"/>
        </w:rPr>
        <w:footnoteReference w:id="762"/>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rtl/>
          <w:lang w:bidi="ar-JO"/>
        </w:rPr>
        <w:t>.</w:t>
      </w:r>
      <w:r w:rsidRPr="00201DD5">
        <w:rPr>
          <w:rFonts w:ascii="Arabic Transparent" w:hAnsi="Arabic Transparent" w:cs="Arabic Transparent"/>
          <w:sz w:val="28"/>
          <w:szCs w:val="28"/>
          <w:rtl/>
        </w:rPr>
        <w:t xml:space="preserve"> </w:t>
      </w:r>
    </w:p>
    <w:p w14:paraId="3E725634" w14:textId="77777777" w:rsidR="00201DD5" w:rsidRPr="00201DD5" w:rsidRDefault="00201DD5" w:rsidP="00201DD5">
      <w:pPr>
        <w:widowControl w:val="0"/>
        <w:autoSpaceDE w:val="0"/>
        <w:autoSpaceDN w:val="0"/>
        <w:adjustRightInd w:val="0"/>
        <w:spacing w:after="0" w:line="360" w:lineRule="auto"/>
        <w:contextualSpacing/>
        <w:jc w:val="both"/>
        <w:rPr>
          <w:rFonts w:ascii="Arabic Transparent" w:hAnsi="Arabic Transparent" w:cs="Arabic Transparent"/>
          <w:sz w:val="28"/>
          <w:szCs w:val="28"/>
          <w:rtl/>
          <w:lang w:bidi="ar-JO"/>
        </w:rPr>
      </w:pPr>
      <w:r w:rsidRPr="00201DD5">
        <w:rPr>
          <w:rFonts w:ascii="Arabic Transparent" w:hAnsi="Arabic Transparent" w:cs="Arabic Transparent"/>
          <w:b/>
          <w:bCs/>
          <w:sz w:val="28"/>
          <w:szCs w:val="28"/>
          <w:rtl/>
          <w:lang w:bidi="ar-JO"/>
        </w:rPr>
        <w:t>الفرع الرابع: مراعاة أصول ضبط التفاوت</w:t>
      </w:r>
      <w:r w:rsidRPr="00201DD5">
        <w:rPr>
          <w:rFonts w:ascii="Arabic Transparent" w:hAnsi="Arabic Transparent" w:cs="Arabic Transparent"/>
          <w:sz w:val="28"/>
          <w:szCs w:val="28"/>
          <w:rtl/>
          <w:lang w:bidi="ar-JO"/>
        </w:rPr>
        <w:t xml:space="preserve">: </w:t>
      </w:r>
    </w:p>
    <w:p w14:paraId="4361CC40" w14:textId="6C6FDA94" w:rsidR="00201DD5" w:rsidRPr="00201DD5" w:rsidRDefault="005D7B91" w:rsidP="00201DD5">
      <w:pPr>
        <w:widowControl w:val="0"/>
        <w:autoSpaceDE w:val="0"/>
        <w:autoSpaceDN w:val="0"/>
        <w:adjustRightInd w:val="0"/>
        <w:spacing w:after="0" w:line="360" w:lineRule="auto"/>
        <w:contextualSpacing/>
        <w:jc w:val="both"/>
        <w:rPr>
          <w:rFonts w:ascii="Arabic Transparent" w:hAnsi="Arabic Transparent" w:cs="Arabic Transparent"/>
          <w:sz w:val="28"/>
          <w:szCs w:val="28"/>
          <w:rtl/>
          <w:lang w:bidi="ar-JO"/>
        </w:rPr>
      </w:pPr>
      <w:r>
        <w:rPr>
          <w:rFonts w:ascii="Arabic Transparent" w:hAnsi="Arabic Transparent" w:cs="Arabic Transparent"/>
          <w:sz w:val="28"/>
          <w:szCs w:val="28"/>
          <w:rtl/>
          <w:lang w:bidi="ar-JO"/>
        </w:rPr>
        <w:t xml:space="preserve">     </w:t>
      </w:r>
      <w:r w:rsidR="00201DD5" w:rsidRPr="00201DD5">
        <w:rPr>
          <w:rFonts w:ascii="Arabic Transparent" w:hAnsi="Arabic Transparent" w:cs="Arabic Transparent"/>
          <w:sz w:val="28"/>
          <w:szCs w:val="28"/>
          <w:rtl/>
          <w:lang w:bidi="ar-JO"/>
        </w:rPr>
        <w:t>عند مراعاة أصول ضبط التفاوت التي تم الحديث عنها في الفصل السابق</w:t>
      </w:r>
      <w:r w:rsidR="00201DD5" w:rsidRPr="00201DD5">
        <w:rPr>
          <w:rFonts w:ascii="Arabic Transparent" w:hAnsi="Arabic Transparent" w:cs="Arabic Transparent"/>
          <w:sz w:val="28"/>
          <w:szCs w:val="28"/>
          <w:vertAlign w:val="superscript"/>
          <w:rtl/>
          <w:lang w:bidi="ar-JO"/>
        </w:rPr>
        <w:t>(</w:t>
      </w:r>
      <w:r w:rsidR="00201DD5" w:rsidRPr="00201DD5">
        <w:rPr>
          <w:rFonts w:ascii="Arabic Transparent" w:hAnsi="Arabic Transparent" w:cs="Arabic Transparent"/>
          <w:sz w:val="28"/>
          <w:szCs w:val="28"/>
          <w:vertAlign w:val="superscript"/>
          <w:rtl/>
          <w:lang w:bidi="ar-JO"/>
        </w:rPr>
        <w:footnoteReference w:id="763"/>
      </w:r>
      <w:r w:rsidR="00201DD5" w:rsidRPr="00201DD5">
        <w:rPr>
          <w:rFonts w:ascii="Arabic Transparent" w:hAnsi="Arabic Transparent" w:cs="Arabic Transparent"/>
          <w:sz w:val="28"/>
          <w:szCs w:val="28"/>
          <w:vertAlign w:val="superscript"/>
          <w:rtl/>
          <w:lang w:bidi="ar-JO"/>
        </w:rPr>
        <w:t>)</w:t>
      </w:r>
      <w:r w:rsidR="00201DD5" w:rsidRPr="00201DD5">
        <w:rPr>
          <w:rFonts w:ascii="Arabic Transparent" w:hAnsi="Arabic Transparent" w:cs="Arabic Transparent"/>
          <w:sz w:val="28"/>
          <w:szCs w:val="28"/>
          <w:rtl/>
          <w:lang w:bidi="ar-JO"/>
        </w:rPr>
        <w:t>، والتي تساهم في ضبط التفاوت في الحكم الذي ينسب للواقعة أو للاجتهاد، يتبين للباحث ما يأتي:</w:t>
      </w:r>
    </w:p>
    <w:p w14:paraId="19E59868" w14:textId="75112CB8" w:rsidR="001D5402" w:rsidRDefault="00201DD5" w:rsidP="004E02F5">
      <w:pPr>
        <w:widowControl w:val="0"/>
        <w:autoSpaceDE w:val="0"/>
        <w:autoSpaceDN w:val="0"/>
        <w:adjustRightInd w:val="0"/>
        <w:spacing w:after="0" w:line="360" w:lineRule="auto"/>
        <w:contextualSpacing/>
        <w:jc w:val="both"/>
        <w:rPr>
          <w:rFonts w:ascii="Arabic Transparent" w:hAnsi="Arabic Transparent" w:cs="Arabic Transparent"/>
          <w:sz w:val="28"/>
          <w:szCs w:val="28"/>
          <w:rtl/>
          <w:lang w:bidi="ar-JO"/>
        </w:rPr>
      </w:pPr>
      <w:r w:rsidRPr="00201DD5">
        <w:rPr>
          <w:rFonts w:ascii="Arabic Transparent" w:hAnsi="Arabic Transparent" w:cs="Arabic Transparent"/>
          <w:b/>
          <w:sz w:val="28"/>
          <w:szCs w:val="28"/>
          <w:rtl/>
          <w:lang w:bidi="ar-JO"/>
        </w:rPr>
        <w:t>1-</w:t>
      </w:r>
      <w:r w:rsidRPr="00201DD5">
        <w:rPr>
          <w:rFonts w:ascii="Arabic Transparent" w:hAnsi="Arabic Transparent" w:cs="Arabic Transparent"/>
          <w:sz w:val="28"/>
          <w:szCs w:val="28"/>
          <w:rtl/>
          <w:lang w:bidi="ar-JO"/>
        </w:rPr>
        <w:t xml:space="preserve"> بعد تحليل الفتاوى والدراسات السابقة في موضوع التَّورُّق المنظم، وتحليل وجه التفاوت بينهما تبين للباحث أن الفتاوى والأبحاث التي درست حالات معينة هي الأكثر موضوعيةً ومراعاةً للأوصاف المتغيرة، والتي تتفاوت من بنك إلى آخر</w:t>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vertAlign w:val="superscript"/>
          <w:rtl/>
          <w:lang w:bidi="ar-JO"/>
        </w:rPr>
        <w:footnoteReference w:id="764"/>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rtl/>
          <w:lang w:bidi="ar-JO"/>
        </w:rPr>
        <w:t xml:space="preserve">، فجلّ الدراسات التي درست التَّورُّق المنظم بشكل عام، قامت بإطلاق الحكم عليه بالتحريم سداً للذريعة، باعتباره ذريعة من ذرائع الوصول إلى الربا، مثل: بيع العينة، والذي يراجع معاني بيع العينة وهو: "كل حيلة يتوصل بها إلى </w:t>
      </w:r>
      <w:r w:rsidRPr="00201DD5">
        <w:rPr>
          <w:rFonts w:ascii="Arabic Transparent" w:hAnsi="Arabic Transparent" w:cs="Arabic Transparent"/>
          <w:sz w:val="28"/>
          <w:szCs w:val="28"/>
          <w:rtl/>
          <w:lang w:bidi="ar-JO"/>
        </w:rPr>
        <w:lastRenderedPageBreak/>
        <w:t>الربا"</w:t>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vertAlign w:val="superscript"/>
          <w:rtl/>
          <w:lang w:bidi="ar-JO"/>
        </w:rPr>
        <w:footnoteReference w:id="765"/>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rtl/>
          <w:lang w:bidi="ar-JO"/>
        </w:rPr>
        <w:t xml:space="preserve">، كما عرّفه ابن القيم، وللحكم عليه بدقة يجب أن يتم بدراسة كل حالة تورق مصرفية على انفراد، </w:t>
      </w:r>
    </w:p>
    <w:p w14:paraId="2EED7F2A" w14:textId="77777777" w:rsidR="001D5402" w:rsidRDefault="001D5402">
      <w:pPr>
        <w:bidi w:val="0"/>
        <w:spacing w:after="0" w:line="240" w:lineRule="auto"/>
        <w:rPr>
          <w:rFonts w:ascii="Arabic Transparent" w:hAnsi="Arabic Transparent" w:cs="Arabic Transparent"/>
          <w:sz w:val="28"/>
          <w:szCs w:val="28"/>
          <w:rtl/>
          <w:lang w:bidi="ar-JO"/>
        </w:rPr>
      </w:pPr>
      <w:r>
        <w:rPr>
          <w:rFonts w:ascii="Arabic Transparent" w:hAnsi="Arabic Transparent" w:cs="Arabic Transparent"/>
          <w:sz w:val="28"/>
          <w:szCs w:val="28"/>
          <w:rtl/>
          <w:lang w:bidi="ar-JO"/>
        </w:rPr>
        <w:br w:type="page"/>
      </w:r>
    </w:p>
    <w:p w14:paraId="18148980" w14:textId="77777777" w:rsidR="00201DD5" w:rsidRPr="00201DD5" w:rsidRDefault="00201DD5" w:rsidP="00201DD5">
      <w:pPr>
        <w:widowControl w:val="0"/>
        <w:autoSpaceDE w:val="0"/>
        <w:autoSpaceDN w:val="0"/>
        <w:adjustRightInd w:val="0"/>
        <w:spacing w:after="0" w:line="360" w:lineRule="auto"/>
        <w:contextualSpacing/>
        <w:jc w:val="both"/>
        <w:rPr>
          <w:rFonts w:ascii="Arabic Transparent" w:hAnsi="Arabic Transparent" w:cs="Arabic Transparent"/>
          <w:sz w:val="28"/>
          <w:szCs w:val="28"/>
          <w:rtl/>
          <w:lang w:bidi="ar-JO"/>
        </w:rPr>
      </w:pPr>
      <w:r w:rsidRPr="00201DD5">
        <w:rPr>
          <w:rFonts w:ascii="Arabic Transparent" w:hAnsi="Arabic Transparent" w:cs="Arabic Transparent"/>
          <w:sz w:val="28"/>
          <w:szCs w:val="28"/>
          <w:rtl/>
          <w:lang w:bidi="ar-JO"/>
        </w:rPr>
        <w:t>والتأكد من كونها أشبه بالبيع فتأخذ حكمه، أو أشبه بالربا فتأخذ حكمه</w:t>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vertAlign w:val="superscript"/>
          <w:rtl/>
          <w:lang w:bidi="ar-JO"/>
        </w:rPr>
        <w:footnoteReference w:id="766"/>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rtl/>
          <w:lang w:bidi="ar-JO"/>
        </w:rPr>
        <w:t>.</w:t>
      </w:r>
    </w:p>
    <w:p w14:paraId="66EBC46C" w14:textId="77777777" w:rsidR="00201DD5" w:rsidRPr="00201DD5" w:rsidRDefault="00201DD5" w:rsidP="00201DD5">
      <w:pPr>
        <w:widowControl w:val="0"/>
        <w:autoSpaceDE w:val="0"/>
        <w:autoSpaceDN w:val="0"/>
        <w:adjustRightInd w:val="0"/>
        <w:spacing w:after="0" w:line="360" w:lineRule="auto"/>
        <w:contextualSpacing/>
        <w:jc w:val="both"/>
        <w:rPr>
          <w:rFonts w:ascii="Arabic Transparent" w:hAnsi="Arabic Transparent" w:cs="Arabic Transparent"/>
          <w:sz w:val="28"/>
          <w:szCs w:val="28"/>
          <w:rtl/>
        </w:rPr>
      </w:pPr>
      <w:r w:rsidRPr="00201DD5">
        <w:rPr>
          <w:rFonts w:ascii="Arabic Transparent" w:hAnsi="Arabic Transparent" w:cs="Arabic Transparent"/>
          <w:sz w:val="28"/>
          <w:szCs w:val="28"/>
          <w:rtl/>
        </w:rPr>
        <w:t>2- المجتهدون الذين قاموا بالمقاربة بين التَّورُّق الفردي والمنظم، وقالوا بجواز التورّق المنظم للحاجة الشديدة إلى النقد، هم أكثر انتظاماً واستعمالاً لأصول ضبط المعاملات المعاصرة؛ لأن الكثير من الاعتراضات التي وُجهت للتَّورُّق المنظم، يمكن أن توجّه لبعض صور التَّورُّق الفردي من عقود المرابحة، والمساومة، والإجارة المنتهية بالتمليك، وذلك عندما يكون هناك تواطؤ مع طرف آخر، حيث ثبت توِّجه بعض من يحتاج للسيولة ولا يريد استعمال التورق المنظم، قيامه بالشراء من خلال منتج المرابحة مقابل بيع السلعة لنفس التاجر الذي اشترى منه، والحصول على المال الحال، فيدفع الزيادة مرتين بالمرابحة للمصرف وعند البيع للتاجر</w:t>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vertAlign w:val="superscript"/>
          <w:rtl/>
          <w:lang w:bidi="ar-JO"/>
        </w:rPr>
        <w:footnoteReference w:id="767"/>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rtl/>
        </w:rPr>
        <w:t>.</w:t>
      </w:r>
    </w:p>
    <w:p w14:paraId="5FBFC831" w14:textId="53054CF0" w:rsidR="00201DD5" w:rsidRPr="00201DD5" w:rsidRDefault="00201DD5" w:rsidP="004E02F5">
      <w:pPr>
        <w:widowControl w:val="0"/>
        <w:autoSpaceDE w:val="0"/>
        <w:autoSpaceDN w:val="0"/>
        <w:adjustRightInd w:val="0"/>
        <w:spacing w:after="0" w:line="360" w:lineRule="auto"/>
        <w:contextualSpacing/>
        <w:jc w:val="both"/>
        <w:rPr>
          <w:rFonts w:ascii="Arabic Transparent" w:hAnsi="Arabic Transparent" w:cs="Arabic Transparent"/>
          <w:sz w:val="28"/>
          <w:szCs w:val="28"/>
          <w:rtl/>
        </w:rPr>
      </w:pPr>
      <w:r w:rsidRPr="00201DD5">
        <w:rPr>
          <w:rFonts w:ascii="Arabic Transparent" w:hAnsi="Arabic Transparent" w:cs="Arabic Transparent"/>
          <w:sz w:val="28"/>
          <w:szCs w:val="28"/>
          <w:rtl/>
        </w:rPr>
        <w:t>3-</w:t>
      </w:r>
      <w:r w:rsidRPr="00201DD5">
        <w:rPr>
          <w:rFonts w:ascii="Arabic Transparent" w:hAnsi="Arabic Transparent" w:cs="Arabic Transparent"/>
          <w:b/>
          <w:bCs/>
          <w:sz w:val="28"/>
          <w:szCs w:val="28"/>
          <w:rtl/>
        </w:rPr>
        <w:t xml:space="preserve"> </w:t>
      </w:r>
      <w:r w:rsidRPr="00201DD5">
        <w:rPr>
          <w:rFonts w:ascii="Arabic Transparent" w:hAnsi="Arabic Transparent" w:cs="Arabic Transparent"/>
          <w:sz w:val="28"/>
          <w:szCs w:val="28"/>
          <w:rtl/>
        </w:rPr>
        <w:t xml:space="preserve">يتفق جميع الذين ذهبوا لتحريم التَّورُّق المنظم على جوازه للمضطر، </w:t>
      </w:r>
      <w:r w:rsidR="00B154EE" w:rsidRPr="00201DD5">
        <w:rPr>
          <w:rFonts w:ascii="Arabic Transparent" w:hAnsi="Arabic Transparent" w:cs="Arabic Transparent" w:hint="cs"/>
          <w:sz w:val="28"/>
          <w:szCs w:val="28"/>
          <w:rtl/>
        </w:rPr>
        <w:t xml:space="preserve">عند </w:t>
      </w:r>
      <w:r w:rsidR="00DA3039" w:rsidRPr="00201DD5">
        <w:rPr>
          <w:rFonts w:ascii="Arabic Transparent" w:hAnsi="Arabic Transparent" w:cs="Arabic Transparent" w:hint="cs"/>
          <w:sz w:val="28"/>
          <w:szCs w:val="28"/>
          <w:rtl/>
        </w:rPr>
        <w:t>حاجته للنقد</w:t>
      </w:r>
      <w:r w:rsidRPr="00201DD5">
        <w:rPr>
          <w:rFonts w:ascii="Arabic Transparent" w:hAnsi="Arabic Transparent" w:cs="Arabic Transparent"/>
          <w:sz w:val="28"/>
          <w:szCs w:val="28"/>
          <w:rtl/>
        </w:rPr>
        <w:t xml:space="preserve"> وعدم وجود بديل عنه، حيث قامت بعض المصارف بماليزيا بالسماح به لمن يحتاج النقد لسداد الديون المتعثرة، وقضاء الحاجات الضرورية</w:t>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vertAlign w:val="superscript"/>
          <w:rtl/>
          <w:lang w:bidi="ar-JO"/>
        </w:rPr>
        <w:footnoteReference w:id="768"/>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rtl/>
        </w:rPr>
        <w:t>، وإنّ من قال بتحريم بيع الذهب بالنقد المؤجل صحح المعاملة عند وجود شروط الصرف</w:t>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vertAlign w:val="superscript"/>
          <w:rtl/>
          <w:lang w:bidi="ar-JO"/>
        </w:rPr>
        <w:footnoteReference w:id="769"/>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rtl/>
        </w:rPr>
        <w:t xml:space="preserve">، فكل معاملة محرمة لها تصحيح تعود معه إلى </w:t>
      </w:r>
      <w:r w:rsidR="00B154EE" w:rsidRPr="00201DD5">
        <w:rPr>
          <w:rFonts w:ascii="Arabic Transparent" w:hAnsi="Arabic Transparent" w:cs="Arabic Transparent" w:hint="cs"/>
          <w:sz w:val="28"/>
          <w:szCs w:val="28"/>
          <w:rtl/>
        </w:rPr>
        <w:t>الإباحة</w:t>
      </w:r>
      <w:r w:rsidR="00B154EE" w:rsidRPr="00201DD5">
        <w:rPr>
          <w:rFonts w:ascii="Arabic Transparent" w:hAnsi="Arabic Transparent" w:cs="Arabic Transparent" w:hint="eastAsia"/>
          <w:sz w:val="28"/>
          <w:szCs w:val="28"/>
          <w:rtl/>
        </w:rPr>
        <w:t>،</w:t>
      </w:r>
      <w:r w:rsidRPr="00201DD5">
        <w:rPr>
          <w:rFonts w:ascii="Arabic Transparent" w:hAnsi="Arabic Transparent" w:cs="Arabic Transparent"/>
          <w:sz w:val="28"/>
          <w:szCs w:val="28"/>
          <w:rtl/>
        </w:rPr>
        <w:t xml:space="preserve"> ولكن لم ينص المجتهدون الذي حرموا التورق تحريماً قاطعاً على جواز المعاملة إذا وجدت بعض الضوابط التي تجعل المعاملة أشبه بالبيع مما هي عليه من الشبه بالعينة المحرمة في نظرهم</w:t>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vertAlign w:val="superscript"/>
          <w:rtl/>
          <w:lang w:bidi="ar-JO"/>
        </w:rPr>
        <w:footnoteReference w:id="770"/>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rtl/>
        </w:rPr>
        <w:t>.</w:t>
      </w:r>
    </w:p>
    <w:p w14:paraId="6B6A1A35" w14:textId="06118093" w:rsidR="008D31AC" w:rsidRDefault="00201DD5" w:rsidP="008D31AC">
      <w:pPr>
        <w:widowControl w:val="0"/>
        <w:autoSpaceDE w:val="0"/>
        <w:autoSpaceDN w:val="0"/>
        <w:adjustRightInd w:val="0"/>
        <w:spacing w:after="0" w:line="360" w:lineRule="auto"/>
        <w:contextualSpacing/>
        <w:jc w:val="both"/>
        <w:rPr>
          <w:rFonts w:ascii="Arabic Transparent" w:hAnsi="Arabic Transparent" w:cs="Arabic Transparent"/>
          <w:sz w:val="28"/>
          <w:szCs w:val="28"/>
          <w:rtl/>
        </w:rPr>
      </w:pPr>
      <w:r w:rsidRPr="00201DD5">
        <w:rPr>
          <w:rFonts w:ascii="Arabic Transparent" w:hAnsi="Arabic Transparent" w:cs="Arabic Transparent"/>
          <w:sz w:val="28"/>
          <w:szCs w:val="28"/>
          <w:rtl/>
        </w:rPr>
        <w:t xml:space="preserve"> 4- إن كان هناك استثناءٌ شرعي فيما اتفق العلماء على حرمته وقامت الأدلة صريحة على تحريمه، فإنه يرفع مؤقتاً عند تحقيق المناط الخاص في بعض الصور؛ لوجود ضرورة آنية يجوز معها رفع حكم المحظور ورفع الحرج عن المكلفين، ومن قواعد ضبط التفاوت عدم إطلاق الحكم على جميع الصور، بل دراسة كل صورة على حدة، ووضع الضوابط والحدود لرفع الأوصاف </w:t>
      </w:r>
      <w:r w:rsidR="008D31AC">
        <w:rPr>
          <w:rFonts w:ascii="Arabic Transparent" w:hAnsi="Arabic Transparent" w:cs="Arabic Transparent" w:hint="cs"/>
          <w:sz w:val="28"/>
          <w:szCs w:val="28"/>
          <w:rtl/>
        </w:rPr>
        <w:t xml:space="preserve"> </w:t>
      </w:r>
      <w:r w:rsidRPr="00201DD5">
        <w:rPr>
          <w:rFonts w:ascii="Arabic Transparent" w:hAnsi="Arabic Transparent" w:cs="Arabic Transparent"/>
          <w:sz w:val="28"/>
          <w:szCs w:val="28"/>
          <w:rtl/>
        </w:rPr>
        <w:t xml:space="preserve">الإضافية التي تجعل البيع يؤول إلى الربا، أو ذريعة للربا، كما فعلت المعايير الشرعية (أيوفي) في معيار التورق، </w:t>
      </w:r>
    </w:p>
    <w:p w14:paraId="687E412B" w14:textId="77777777" w:rsidR="008D31AC" w:rsidRDefault="008D31AC">
      <w:pPr>
        <w:bidi w:val="0"/>
        <w:spacing w:after="0" w:line="240" w:lineRule="auto"/>
        <w:rPr>
          <w:rFonts w:ascii="Arabic Transparent" w:hAnsi="Arabic Transparent" w:cs="Arabic Transparent"/>
          <w:sz w:val="28"/>
          <w:szCs w:val="28"/>
          <w:rtl/>
        </w:rPr>
      </w:pPr>
      <w:r>
        <w:rPr>
          <w:rFonts w:ascii="Arabic Transparent" w:hAnsi="Arabic Transparent" w:cs="Arabic Transparent"/>
          <w:sz w:val="28"/>
          <w:szCs w:val="28"/>
          <w:rtl/>
        </w:rPr>
        <w:br w:type="page"/>
      </w:r>
    </w:p>
    <w:p w14:paraId="7016968E" w14:textId="353FCB61" w:rsidR="00201DD5" w:rsidRPr="00201DD5" w:rsidRDefault="00201DD5" w:rsidP="008D31AC">
      <w:pPr>
        <w:widowControl w:val="0"/>
        <w:autoSpaceDE w:val="0"/>
        <w:autoSpaceDN w:val="0"/>
        <w:adjustRightInd w:val="0"/>
        <w:spacing w:after="0" w:line="360" w:lineRule="auto"/>
        <w:contextualSpacing/>
        <w:jc w:val="both"/>
        <w:rPr>
          <w:rFonts w:ascii="Arabic Transparent" w:hAnsi="Arabic Transparent" w:cs="Arabic Transparent"/>
          <w:sz w:val="28"/>
          <w:szCs w:val="28"/>
          <w:rtl/>
        </w:rPr>
      </w:pPr>
      <w:r w:rsidRPr="00201DD5">
        <w:rPr>
          <w:rFonts w:ascii="Arabic Transparent" w:hAnsi="Arabic Transparent" w:cs="Arabic Transparent"/>
          <w:sz w:val="28"/>
          <w:szCs w:val="28"/>
          <w:rtl/>
        </w:rPr>
        <w:t>الذي وضعت له جملة من الضوابط والقيود التي تجعل المعاملة خاليةً من أسباب التحريم</w:t>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vertAlign w:val="superscript"/>
          <w:rtl/>
          <w:lang w:bidi="ar-JO"/>
        </w:rPr>
        <w:footnoteReference w:id="771"/>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rtl/>
        </w:rPr>
        <w:t>.</w:t>
      </w:r>
    </w:p>
    <w:p w14:paraId="53210B4D" w14:textId="5814F3B4" w:rsidR="00201DD5" w:rsidRPr="00201DD5" w:rsidRDefault="00201DD5" w:rsidP="00201DD5">
      <w:pPr>
        <w:widowControl w:val="0"/>
        <w:autoSpaceDE w:val="0"/>
        <w:autoSpaceDN w:val="0"/>
        <w:adjustRightInd w:val="0"/>
        <w:spacing w:after="0" w:line="360" w:lineRule="auto"/>
        <w:contextualSpacing/>
        <w:jc w:val="both"/>
        <w:rPr>
          <w:rFonts w:ascii="Arabic Transparent" w:hAnsi="Arabic Transparent" w:cs="Arabic Transparent"/>
          <w:sz w:val="28"/>
          <w:szCs w:val="28"/>
          <w:vertAlign w:val="superscript"/>
          <w:rtl/>
          <w:lang w:bidi="ar-JO"/>
        </w:rPr>
      </w:pPr>
      <w:r w:rsidRPr="00201DD5">
        <w:rPr>
          <w:rFonts w:ascii="Arabic Transparent" w:hAnsi="Arabic Transparent" w:cs="Arabic Transparent"/>
          <w:sz w:val="28"/>
          <w:szCs w:val="28"/>
          <w:rtl/>
        </w:rPr>
        <w:t>5</w:t>
      </w:r>
      <w:r w:rsidRPr="00201DD5">
        <w:rPr>
          <w:rFonts w:ascii="Arabic Transparent" w:hAnsi="Arabic Transparent" w:cs="Arabic Transparent"/>
          <w:b/>
          <w:bCs/>
          <w:sz w:val="28"/>
          <w:szCs w:val="28"/>
          <w:rtl/>
        </w:rPr>
        <w:t xml:space="preserve">- </w:t>
      </w:r>
      <w:r w:rsidRPr="00201DD5">
        <w:rPr>
          <w:rFonts w:ascii="Arabic Transparent" w:hAnsi="Arabic Transparent" w:cs="Arabic Transparent"/>
          <w:sz w:val="28"/>
          <w:szCs w:val="28"/>
          <w:rtl/>
        </w:rPr>
        <w:t>عند مراعاة أصول ضبط التفاوت، يؤخذ بعين الاعتبار ما كان الأصل فيه الإباحة، وتعرض لأوصاف عارضة بالتحريم، فيزول التحريم بزوال الأوصاف العارضة، التي تتعلق بالواقعة، أو بالسائل، ويظهر ذلك جلياً من خلال تحقيق المناط الخاص، لذا ذهب بعض المجتهدين إلى جواز التَّورُّق المنظم بالقياس على حكم التَّورُّق الفردي الذي أجيز للحاجة</w:t>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vertAlign w:val="superscript"/>
          <w:rtl/>
          <w:lang w:bidi="ar-JO"/>
        </w:rPr>
        <w:footnoteReference w:id="772"/>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rtl/>
        </w:rPr>
        <w:t>، وكذا التَّورُّق المنظم يجوز للحاجة إليه من قبل الغارمين والمتعثرين، وليس من الأمانة العلمية أن يقال لصاحب الحاجة: إنَّ التَّورُّق المصرفي المنظم والإقراض بفائدة سيان، فخذ ما تشاء منهما رفعاً للضرر الذي وقع عليك</w:t>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vertAlign w:val="superscript"/>
          <w:rtl/>
          <w:lang w:bidi="ar-JO"/>
        </w:rPr>
        <w:footnoteReference w:id="773"/>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rtl/>
        </w:rPr>
        <w:t>.</w:t>
      </w:r>
    </w:p>
    <w:p w14:paraId="35BB6DE7" w14:textId="42B6C7DC" w:rsidR="00201DD5" w:rsidRPr="00201DD5" w:rsidRDefault="00201DD5" w:rsidP="004E02F5">
      <w:pPr>
        <w:widowControl w:val="0"/>
        <w:autoSpaceDE w:val="0"/>
        <w:autoSpaceDN w:val="0"/>
        <w:adjustRightInd w:val="0"/>
        <w:spacing w:after="0" w:line="360" w:lineRule="auto"/>
        <w:contextualSpacing/>
        <w:jc w:val="both"/>
        <w:rPr>
          <w:rFonts w:ascii="Arabic Transparent" w:hAnsi="Arabic Transparent" w:cs="Arabic Transparent"/>
          <w:sz w:val="28"/>
          <w:szCs w:val="28"/>
          <w:rtl/>
          <w:lang w:bidi="ar-JO"/>
        </w:rPr>
      </w:pPr>
      <w:r w:rsidRPr="00201DD5">
        <w:rPr>
          <w:rFonts w:ascii="Arabic Transparent" w:hAnsi="Arabic Transparent" w:cs="Arabic Transparent"/>
          <w:sz w:val="28"/>
          <w:szCs w:val="28"/>
          <w:rtl/>
          <w:lang w:bidi="ar-JO"/>
        </w:rPr>
        <w:t>6- بالنظر إلى الأوصاف المناسبة المؤثرة في الحكم، فإن جميع الفتاوى التي تنص على التحريم، سداً للذريعة المتوقعة بعد إجراء المعاملة والأثر السلبي على الاقتصاد ومنافاة فلسفة التمويل الإسلامي، وعدم الاتفاق مع المقاصد الشرعية للمعاملات، كلها لم تُدَعَّم بدراسات اقتصادية، أو قانونية، أو حالة مصرفية من المصارف التي تعاملت بالتورق؛ من أجل التثبت من النتائج المتوقعة، والمآلات الواقعة</w:t>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vertAlign w:val="superscript"/>
          <w:rtl/>
          <w:lang w:bidi="ar-JO"/>
        </w:rPr>
        <w:footnoteReference w:id="774"/>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rtl/>
          <w:lang w:bidi="ar-JO"/>
        </w:rPr>
        <w:t xml:space="preserve">، بيد أن بعض الفتاوى وضعت أوصافاً عارضةً ليس لها علاقة بالحكم، وهي خارجة عن محل النزاع، مثل: </w:t>
      </w:r>
    </w:p>
    <w:p w14:paraId="72740417" w14:textId="1462A35A" w:rsidR="00201DD5" w:rsidRPr="00201DD5" w:rsidRDefault="00201DD5" w:rsidP="00201DD5">
      <w:pPr>
        <w:widowControl w:val="0"/>
        <w:autoSpaceDE w:val="0"/>
        <w:autoSpaceDN w:val="0"/>
        <w:adjustRightInd w:val="0"/>
        <w:spacing w:after="0" w:line="360" w:lineRule="auto"/>
        <w:contextualSpacing/>
        <w:jc w:val="both"/>
        <w:rPr>
          <w:rFonts w:ascii="Arabic Transparent" w:hAnsi="Arabic Transparent" w:cs="Arabic Transparent"/>
          <w:sz w:val="28"/>
          <w:szCs w:val="28"/>
          <w:rtl/>
          <w:lang w:bidi="ar-JO"/>
        </w:rPr>
      </w:pPr>
      <w:r w:rsidRPr="00201DD5">
        <w:rPr>
          <w:rFonts w:ascii="Arabic Transparent" w:hAnsi="Arabic Transparent" w:cs="Arabic Transparent"/>
          <w:sz w:val="28"/>
          <w:szCs w:val="28"/>
          <w:rtl/>
          <w:lang w:bidi="ar-JO"/>
        </w:rPr>
        <w:t xml:space="preserve">أ- تعليل التحريم بزيادة الإنفاق الاستهلاكي لمنتج التَّورُّق، والحذر من الأثر السلبي على الاقتصاد الإسلامي كالتضخم، فهو تعليل بالأوصاف الطردية، والملغاة التي لا تتعلق بعين التَّورُّق، بل </w:t>
      </w:r>
      <w:r w:rsidR="008D31AC">
        <w:rPr>
          <w:rFonts w:ascii="Arabic Transparent" w:hAnsi="Arabic Transparent" w:cs="Arabic Transparent" w:hint="cs"/>
          <w:sz w:val="28"/>
          <w:szCs w:val="28"/>
          <w:rtl/>
          <w:lang w:bidi="ar-JO"/>
        </w:rPr>
        <w:t>"</w:t>
      </w:r>
      <w:r w:rsidRPr="00201DD5">
        <w:rPr>
          <w:rFonts w:ascii="Arabic Transparent" w:hAnsi="Arabic Transparent" w:cs="Arabic Transparent"/>
          <w:sz w:val="28"/>
          <w:szCs w:val="28"/>
          <w:rtl/>
          <w:lang w:bidi="ar-JO"/>
        </w:rPr>
        <w:t xml:space="preserve">تتعلق بجميع عقود المداينات الآجلة التي يتم فيها زيادة التيار النقدي على التيار السلعي، ولو اعتبر لكانت </w:t>
      </w:r>
    </w:p>
    <w:p w14:paraId="67CDEA01" w14:textId="36841E5C" w:rsidR="008D31AC" w:rsidRDefault="00201DD5" w:rsidP="00201DD5">
      <w:pPr>
        <w:widowControl w:val="0"/>
        <w:autoSpaceDE w:val="0"/>
        <w:autoSpaceDN w:val="0"/>
        <w:adjustRightInd w:val="0"/>
        <w:spacing w:after="0" w:line="360" w:lineRule="auto"/>
        <w:contextualSpacing/>
        <w:jc w:val="both"/>
        <w:rPr>
          <w:rFonts w:ascii="Arabic Transparent" w:hAnsi="Arabic Transparent" w:cs="Arabic Transparent"/>
          <w:sz w:val="28"/>
          <w:szCs w:val="28"/>
          <w:rtl/>
          <w:lang w:bidi="ar-JO"/>
        </w:rPr>
      </w:pPr>
      <w:r w:rsidRPr="00201DD5">
        <w:rPr>
          <w:rFonts w:ascii="Arabic Transparent" w:hAnsi="Arabic Transparent" w:cs="Arabic Transparent"/>
          <w:sz w:val="28"/>
          <w:szCs w:val="28"/>
          <w:rtl/>
          <w:lang w:bidi="ar-JO"/>
        </w:rPr>
        <w:t>جميع عقود التمويل الاستهلاكي ( كالمرابحة، والإجارة، والمساومة وغيرها) في البنوك الإسلامية محرمة</w:t>
      </w:r>
      <w:r w:rsidR="008D31AC">
        <w:rPr>
          <w:rFonts w:ascii="Arabic Transparent" w:hAnsi="Arabic Transparent" w:cs="Arabic Transparent" w:hint="cs"/>
          <w:sz w:val="28"/>
          <w:szCs w:val="28"/>
          <w:rtl/>
          <w:lang w:bidi="ar-JO"/>
        </w:rPr>
        <w:t>"</w:t>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vertAlign w:val="superscript"/>
          <w:rtl/>
          <w:lang w:bidi="ar-JO"/>
        </w:rPr>
        <w:footnoteReference w:id="775"/>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rtl/>
          <w:lang w:bidi="ar-JO"/>
        </w:rPr>
        <w:t>.</w:t>
      </w:r>
    </w:p>
    <w:p w14:paraId="058D80A6" w14:textId="77777777" w:rsidR="008D31AC" w:rsidRDefault="008D31AC">
      <w:pPr>
        <w:bidi w:val="0"/>
        <w:spacing w:after="0" w:line="240" w:lineRule="auto"/>
        <w:rPr>
          <w:rFonts w:ascii="Arabic Transparent" w:hAnsi="Arabic Transparent" w:cs="Arabic Transparent"/>
          <w:sz w:val="28"/>
          <w:szCs w:val="28"/>
          <w:rtl/>
          <w:lang w:bidi="ar-JO"/>
        </w:rPr>
      </w:pPr>
      <w:r>
        <w:rPr>
          <w:rFonts w:ascii="Arabic Transparent" w:hAnsi="Arabic Transparent" w:cs="Arabic Transparent"/>
          <w:sz w:val="28"/>
          <w:szCs w:val="28"/>
          <w:rtl/>
          <w:lang w:bidi="ar-JO"/>
        </w:rPr>
        <w:br w:type="page"/>
      </w:r>
    </w:p>
    <w:p w14:paraId="619707BF" w14:textId="77777777" w:rsidR="00201DD5" w:rsidRPr="00201DD5" w:rsidRDefault="00201DD5" w:rsidP="00201DD5">
      <w:pPr>
        <w:widowControl w:val="0"/>
        <w:autoSpaceDE w:val="0"/>
        <w:autoSpaceDN w:val="0"/>
        <w:adjustRightInd w:val="0"/>
        <w:spacing w:after="0" w:line="360" w:lineRule="auto"/>
        <w:contextualSpacing/>
        <w:jc w:val="both"/>
        <w:rPr>
          <w:rFonts w:ascii="Arabic Transparent" w:hAnsi="Arabic Transparent" w:cs="Arabic Transparent"/>
          <w:sz w:val="28"/>
          <w:szCs w:val="28"/>
          <w:rtl/>
          <w:lang w:bidi="ar-JO"/>
        </w:rPr>
      </w:pPr>
      <w:r w:rsidRPr="00201DD5">
        <w:rPr>
          <w:rFonts w:ascii="Arabic Transparent" w:hAnsi="Arabic Transparent" w:cs="Arabic Transparent"/>
          <w:sz w:val="28"/>
          <w:szCs w:val="28"/>
          <w:rtl/>
          <w:lang w:bidi="ar-JO"/>
        </w:rPr>
        <w:t>ب- تعليل البعض بعدم وجود السلع دولية حقيقية، بصرف النظر عن نوع السلع أو محلها التي تتم عبر التَّورُّق سواء بالسلع المحلية، أو الدولية، فهذا التعليل من الأوصاف الطردية؛ لأن المعتبر تحقق شروط القبض الحقيقي، أو الحكمي مع ضرورة انتقال الضمان لمالك السلعة، وتحمل تبعة الهلاك</w:t>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vertAlign w:val="superscript"/>
          <w:rtl/>
          <w:lang w:bidi="ar-JO"/>
        </w:rPr>
        <w:footnoteReference w:id="776"/>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rtl/>
          <w:lang w:bidi="ar-JO"/>
        </w:rPr>
        <w:t>.</w:t>
      </w:r>
    </w:p>
    <w:p w14:paraId="7B2C479C" w14:textId="77777777" w:rsidR="00201DD5" w:rsidRPr="00201DD5" w:rsidRDefault="00201DD5" w:rsidP="00201DD5">
      <w:pPr>
        <w:widowControl w:val="0"/>
        <w:autoSpaceDE w:val="0"/>
        <w:autoSpaceDN w:val="0"/>
        <w:adjustRightInd w:val="0"/>
        <w:spacing w:after="0" w:line="360" w:lineRule="auto"/>
        <w:contextualSpacing/>
        <w:jc w:val="both"/>
        <w:rPr>
          <w:rFonts w:ascii="Arabic Transparent" w:hAnsi="Arabic Transparent" w:cs="Arabic Transparent"/>
          <w:sz w:val="28"/>
          <w:szCs w:val="28"/>
          <w:rtl/>
          <w:lang w:bidi="ar-JO"/>
        </w:rPr>
      </w:pPr>
      <w:r w:rsidRPr="00201DD5">
        <w:rPr>
          <w:rFonts w:ascii="Arabic Transparent" w:hAnsi="Arabic Transparent" w:cs="Arabic Transparent"/>
          <w:sz w:val="28"/>
          <w:szCs w:val="28"/>
          <w:rtl/>
          <w:lang w:bidi="ar-JO"/>
        </w:rPr>
        <w:t>ج- التعليل بكون العميل يريد السيولة وصف طردي لا اعتبار له، ولا تُعلق به الإباحة، أو الحرمة، وإنما يُذكر سياقًا لا مناطًا؛ لأنَّ الحكم يتعلّق بصورة العقد الحقيقية لا بغرض العميل الشخصي من التمويل</w:t>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vertAlign w:val="superscript"/>
          <w:rtl/>
          <w:lang w:bidi="ar-JO"/>
        </w:rPr>
        <w:footnoteReference w:id="777"/>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rtl/>
          <w:lang w:bidi="ar-JO"/>
        </w:rPr>
        <w:t>.</w:t>
      </w:r>
    </w:p>
    <w:p w14:paraId="6CC415B1" w14:textId="5F597DE9" w:rsidR="00201DD5" w:rsidRPr="00201DD5" w:rsidRDefault="00201DD5" w:rsidP="008D31AC">
      <w:pPr>
        <w:widowControl w:val="0"/>
        <w:autoSpaceDE w:val="0"/>
        <w:autoSpaceDN w:val="0"/>
        <w:adjustRightInd w:val="0"/>
        <w:spacing w:after="0" w:line="360" w:lineRule="auto"/>
        <w:contextualSpacing/>
        <w:jc w:val="both"/>
        <w:rPr>
          <w:rFonts w:ascii="Arabic Transparent" w:hAnsi="Arabic Transparent" w:cs="Arabic Transparent"/>
          <w:sz w:val="28"/>
          <w:szCs w:val="28"/>
          <w:rtl/>
          <w:lang w:bidi="ar-JO"/>
        </w:rPr>
      </w:pPr>
      <w:r w:rsidRPr="00201DD5">
        <w:rPr>
          <w:rFonts w:ascii="Arabic Transparent" w:hAnsi="Arabic Transparent" w:cs="Arabic Transparent"/>
          <w:sz w:val="28"/>
          <w:szCs w:val="28"/>
          <w:rtl/>
          <w:lang w:bidi="ar-JO"/>
        </w:rPr>
        <w:t>د- التعليل بصورية المعاملة، حيث قالوا: "ترتيب مصطنع، وعقد صوري في البيع والشراء والتسليم والتسلُّم، يقوم به المصرف كاملًا"</w:t>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vertAlign w:val="superscript"/>
          <w:rtl/>
          <w:lang w:bidi="ar-JO"/>
        </w:rPr>
        <w:footnoteReference w:id="778"/>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rtl/>
          <w:lang w:bidi="ar-JO"/>
        </w:rPr>
        <w:t>، ويمكن أن يكون هذا الوصف طردياً بإطلاقه من غير إثباتات ومؤشرات، فمن عمّم الحكم على كل صور التَّورُّق المصرفي بدعوى الصورية، فقد تعسف في</w:t>
      </w:r>
      <w:r w:rsidR="008D31AC">
        <w:rPr>
          <w:rFonts w:ascii="Arabic Transparent" w:hAnsi="Arabic Transparent" w:cs="Arabic Transparent" w:hint="cs"/>
          <w:sz w:val="28"/>
          <w:szCs w:val="28"/>
          <w:rtl/>
          <w:lang w:bidi="ar-JO"/>
        </w:rPr>
        <w:t xml:space="preserve"> </w:t>
      </w:r>
      <w:r w:rsidRPr="00201DD5">
        <w:rPr>
          <w:rFonts w:ascii="Arabic Transparent" w:hAnsi="Arabic Transparent" w:cs="Arabic Transparent"/>
          <w:sz w:val="28"/>
          <w:szCs w:val="28"/>
          <w:rtl/>
          <w:lang w:bidi="ar-JO"/>
        </w:rPr>
        <w:t>استعمال الوصف، وتنزيل الحكم على محله، تحديداً عند وجود منتجات نظيفة أُعيد تصميمها ليتحقق فيها التملك، والقبض المعتبر والتعرُّض للمخاطرة، عندها يكون دور المصرف وكالةً حقيقية وليس صورية، كما يرى المجيزون.</w:t>
      </w:r>
    </w:p>
    <w:p w14:paraId="39812867" w14:textId="77777777" w:rsidR="00201DD5" w:rsidRPr="00201DD5" w:rsidRDefault="00201DD5" w:rsidP="00201DD5">
      <w:pPr>
        <w:widowControl w:val="0"/>
        <w:autoSpaceDE w:val="0"/>
        <w:autoSpaceDN w:val="0"/>
        <w:adjustRightInd w:val="0"/>
        <w:spacing w:after="0" w:line="360" w:lineRule="auto"/>
        <w:contextualSpacing/>
        <w:jc w:val="both"/>
        <w:rPr>
          <w:rFonts w:ascii="Arabic Transparent" w:hAnsi="Arabic Transparent" w:cs="Arabic Transparent"/>
          <w:b/>
          <w:bCs/>
          <w:sz w:val="32"/>
          <w:szCs w:val="32"/>
          <w:rtl/>
          <w:lang w:bidi="ar-JO"/>
        </w:rPr>
      </w:pPr>
      <w:r w:rsidRPr="00201DD5">
        <w:rPr>
          <w:rFonts w:ascii="Arabic Transparent" w:hAnsi="Arabic Transparent" w:cs="Arabic Transparent"/>
          <w:b/>
          <w:bCs/>
          <w:sz w:val="32"/>
          <w:szCs w:val="32"/>
          <w:rtl/>
          <w:lang w:bidi="ar-JO"/>
        </w:rPr>
        <w:t>المطلب الثاني: تمويل خدمات التعليم والعلاج</w:t>
      </w:r>
    </w:p>
    <w:p w14:paraId="2AF7D00F" w14:textId="085B1918" w:rsidR="00201DD5" w:rsidRPr="00001A51" w:rsidRDefault="005D7B91"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201DD5" w:rsidRPr="00001A51">
        <w:rPr>
          <w:rFonts w:ascii="Arabic Transparent" w:hAnsi="Arabic Transparent" w:cs="Arabic Transparent"/>
          <w:sz w:val="28"/>
          <w:szCs w:val="28"/>
          <w:rtl/>
          <w:lang w:bidi="ar-JO"/>
        </w:rPr>
        <w:t xml:space="preserve">تعد مسألة تمويل خدمات التعليم والعلاج من المسائل التطبيقية المعاصرة التي وقع فيها التفاوت </w:t>
      </w:r>
    </w:p>
    <w:p w14:paraId="7FF5A4B7" w14:textId="07F9DEE8" w:rsidR="008D31AC" w:rsidRPr="00001A51" w:rsidRDefault="00201DD5" w:rsidP="00201DD5">
      <w:pPr>
        <w:spacing w:after="0" w:line="360" w:lineRule="auto"/>
        <w:jc w:val="both"/>
        <w:rPr>
          <w:rFonts w:ascii="Arabic Transparent" w:hAnsi="Arabic Transparent" w:cs="Arabic Transparent"/>
          <w:b/>
          <w:bCs/>
          <w:sz w:val="32"/>
          <w:szCs w:val="32"/>
          <w:rtl/>
          <w:lang w:bidi="ar-JO"/>
        </w:rPr>
      </w:pPr>
      <w:r w:rsidRPr="00001A51">
        <w:rPr>
          <w:rFonts w:ascii="Arabic Transparent" w:hAnsi="Arabic Transparent" w:cs="Arabic Transparent"/>
          <w:sz w:val="28"/>
          <w:szCs w:val="28"/>
          <w:rtl/>
          <w:lang w:bidi="ar-JO"/>
        </w:rPr>
        <w:t xml:space="preserve">في الحكم بين الإباحة المتعلقة بعقد الإجارة على المنافع، وهو المناط العام، وبين الانتقال للنظر الخاص، والقول: بالتحريم، لمن يرى أنه تأجير ما لا يملك، وحقيقته قرض بفائدة ربوية، فما حقيقة تمويل هذه الخدمات؟ وما وجه التفاوت فيها؟ وما أصول ضبطها؟ والإجابة كما يأتي: </w:t>
      </w:r>
    </w:p>
    <w:p w14:paraId="17E918BD" w14:textId="77777777" w:rsidR="008D31AC" w:rsidRPr="00001A51" w:rsidRDefault="008D31AC">
      <w:pPr>
        <w:bidi w:val="0"/>
        <w:spacing w:after="0" w:line="240" w:lineRule="auto"/>
        <w:rPr>
          <w:rFonts w:ascii="Arabic Transparent" w:hAnsi="Arabic Transparent" w:cs="Arabic Transparent"/>
          <w:b/>
          <w:bCs/>
          <w:sz w:val="32"/>
          <w:szCs w:val="32"/>
          <w:rtl/>
          <w:lang w:bidi="ar-JO"/>
        </w:rPr>
      </w:pPr>
      <w:r w:rsidRPr="00001A51">
        <w:rPr>
          <w:rFonts w:ascii="Arabic Transparent" w:hAnsi="Arabic Transparent" w:cs="Arabic Transparent"/>
          <w:b/>
          <w:bCs/>
          <w:sz w:val="32"/>
          <w:szCs w:val="32"/>
          <w:rtl/>
          <w:lang w:bidi="ar-JO"/>
        </w:rPr>
        <w:br w:type="page"/>
      </w:r>
    </w:p>
    <w:p w14:paraId="0DBCF572" w14:textId="77777777" w:rsidR="00201DD5" w:rsidRPr="00001A51" w:rsidRDefault="00201DD5" w:rsidP="00201DD5">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الفرع الأول: حقيقة تمويل خدمات التعليم والعلاج:</w:t>
      </w:r>
    </w:p>
    <w:p w14:paraId="2520DEB9" w14:textId="77777777" w:rsidR="00201DD5" w:rsidRPr="00001A51" w:rsidRDefault="00201DD5" w:rsidP="00201DD5">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 xml:space="preserve">أولاً: تعريف التمويل </w:t>
      </w:r>
    </w:p>
    <w:p w14:paraId="790D1D8B" w14:textId="2B11C931" w:rsidR="00201DD5" w:rsidRPr="00001A51" w:rsidRDefault="00744A1A"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hint="cs"/>
          <w:sz w:val="28"/>
          <w:szCs w:val="28"/>
          <w:rtl/>
          <w:lang w:bidi="ar-JO"/>
        </w:rPr>
        <w:t xml:space="preserve">    </w:t>
      </w:r>
      <w:r w:rsidR="00201DD5" w:rsidRPr="00001A51">
        <w:rPr>
          <w:rFonts w:ascii="Arabic Transparent" w:hAnsi="Arabic Transparent" w:cs="Arabic Transparent"/>
          <w:sz w:val="28"/>
          <w:szCs w:val="28"/>
          <w:rtl/>
          <w:lang w:bidi="ar-JO"/>
        </w:rPr>
        <w:t>لغةً: "مأخوذة من مول، يقال تمول الرجل، أي صار ذا مال"</w:t>
      </w:r>
      <w:r w:rsidR="00201DD5" w:rsidRPr="00001A51">
        <w:rPr>
          <w:rFonts w:ascii="Arabic Transparent" w:hAnsi="Arabic Transparent" w:cs="Arabic Transparent"/>
          <w:sz w:val="28"/>
          <w:szCs w:val="28"/>
          <w:vertAlign w:val="superscript"/>
          <w:rtl/>
          <w:lang w:bidi="ar-JO"/>
        </w:rPr>
        <w:t>(</w:t>
      </w:r>
      <w:r w:rsidR="00201DD5" w:rsidRPr="00001A51">
        <w:rPr>
          <w:rFonts w:ascii="Arabic Transparent" w:hAnsi="Arabic Transparent" w:cs="Arabic Transparent"/>
          <w:sz w:val="28"/>
          <w:szCs w:val="28"/>
          <w:vertAlign w:val="superscript"/>
          <w:rtl/>
          <w:lang w:bidi="ar-JO"/>
        </w:rPr>
        <w:footnoteReference w:id="779"/>
      </w:r>
      <w:r w:rsidR="00201DD5" w:rsidRPr="00001A51">
        <w:rPr>
          <w:rFonts w:ascii="Arabic Transparent" w:hAnsi="Arabic Transparent" w:cs="Arabic Transparent"/>
          <w:sz w:val="28"/>
          <w:szCs w:val="28"/>
          <w:vertAlign w:val="superscript"/>
          <w:rtl/>
          <w:lang w:bidi="ar-JO"/>
        </w:rPr>
        <w:t>)</w:t>
      </w:r>
      <w:r w:rsidR="00201DD5" w:rsidRPr="00001A51">
        <w:rPr>
          <w:rFonts w:ascii="Arabic Transparent" w:hAnsi="Arabic Transparent" w:cs="Arabic Transparent"/>
          <w:sz w:val="28"/>
          <w:szCs w:val="28"/>
          <w:rtl/>
          <w:lang w:bidi="ar-JO"/>
        </w:rPr>
        <w:t>، واصطلاحاً: "تقديم ثروة عينية أو نقدية من مالكها إلى شخص آخر يديرها ويتصرف فيها مقابل عائد"</w:t>
      </w:r>
      <w:r w:rsidR="00201DD5" w:rsidRPr="00001A51">
        <w:rPr>
          <w:rFonts w:ascii="Arabic Transparent" w:hAnsi="Arabic Transparent" w:cs="Arabic Transparent"/>
          <w:sz w:val="28"/>
          <w:szCs w:val="28"/>
          <w:vertAlign w:val="superscript"/>
          <w:rtl/>
          <w:lang w:bidi="ar-JO"/>
        </w:rPr>
        <w:t>(</w:t>
      </w:r>
      <w:r w:rsidR="00201DD5" w:rsidRPr="00001A51">
        <w:rPr>
          <w:rFonts w:ascii="Arabic Transparent" w:hAnsi="Arabic Transparent" w:cs="Arabic Transparent"/>
          <w:sz w:val="28"/>
          <w:szCs w:val="28"/>
          <w:vertAlign w:val="superscript"/>
          <w:rtl/>
          <w:lang w:bidi="ar-JO"/>
        </w:rPr>
        <w:footnoteReference w:id="780"/>
      </w:r>
      <w:r w:rsidR="00201DD5" w:rsidRPr="00001A51">
        <w:rPr>
          <w:rFonts w:ascii="Arabic Transparent" w:hAnsi="Arabic Transparent" w:cs="Arabic Transparent"/>
          <w:sz w:val="28"/>
          <w:szCs w:val="28"/>
          <w:vertAlign w:val="superscript"/>
          <w:rtl/>
          <w:lang w:bidi="ar-JO"/>
        </w:rPr>
        <w:t>)</w:t>
      </w:r>
      <w:r w:rsidR="00201DD5" w:rsidRPr="00001A51">
        <w:rPr>
          <w:rFonts w:ascii="Arabic Transparent" w:hAnsi="Arabic Transparent" w:cs="Arabic Transparent"/>
          <w:sz w:val="28"/>
          <w:szCs w:val="28"/>
          <w:rtl/>
          <w:lang w:bidi="ar-JO"/>
        </w:rPr>
        <w:t>.</w:t>
      </w:r>
    </w:p>
    <w:p w14:paraId="5956657F" w14:textId="77777777" w:rsidR="00201DD5" w:rsidRPr="00001A51" w:rsidRDefault="00201DD5" w:rsidP="00201DD5">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 xml:space="preserve">ثانياً: تعريف الخدمات </w:t>
      </w:r>
    </w:p>
    <w:p w14:paraId="159664FC" w14:textId="2103BCEF" w:rsidR="004E02F5" w:rsidRPr="00001A51" w:rsidRDefault="00744A1A" w:rsidP="004E02F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hint="cs"/>
          <w:sz w:val="28"/>
          <w:szCs w:val="28"/>
          <w:rtl/>
          <w:lang w:bidi="ar-JO"/>
        </w:rPr>
        <w:t xml:space="preserve">    </w:t>
      </w:r>
      <w:r w:rsidR="00201DD5" w:rsidRPr="00001A51">
        <w:rPr>
          <w:rFonts w:ascii="Arabic Transparent" w:hAnsi="Arabic Transparent" w:cs="Arabic Transparent"/>
          <w:sz w:val="28"/>
          <w:szCs w:val="28"/>
          <w:rtl/>
          <w:lang w:bidi="ar-JO"/>
        </w:rPr>
        <w:t>لغةً: أصلها يعود خَدَمَ بمعنى: "عان وساعد"</w:t>
      </w:r>
      <w:r w:rsidR="00201DD5" w:rsidRPr="00001A51">
        <w:rPr>
          <w:rFonts w:ascii="Arabic Transparent" w:hAnsi="Arabic Transparent" w:cs="Arabic Transparent"/>
          <w:sz w:val="28"/>
          <w:szCs w:val="28"/>
          <w:vertAlign w:val="superscript"/>
          <w:rtl/>
          <w:lang w:bidi="ar-JO"/>
        </w:rPr>
        <w:t>(</w:t>
      </w:r>
      <w:r w:rsidR="00201DD5" w:rsidRPr="00001A51">
        <w:rPr>
          <w:rFonts w:ascii="Arabic Transparent" w:hAnsi="Arabic Transparent" w:cs="Arabic Transparent"/>
          <w:sz w:val="28"/>
          <w:szCs w:val="28"/>
          <w:vertAlign w:val="superscript"/>
          <w:rtl/>
          <w:lang w:bidi="ar-JO"/>
        </w:rPr>
        <w:footnoteReference w:id="781"/>
      </w:r>
      <w:r w:rsidR="00201DD5" w:rsidRPr="00001A51">
        <w:rPr>
          <w:rFonts w:ascii="Arabic Transparent" w:hAnsi="Arabic Transparent" w:cs="Arabic Transparent"/>
          <w:sz w:val="28"/>
          <w:szCs w:val="28"/>
          <w:vertAlign w:val="superscript"/>
          <w:rtl/>
          <w:lang w:bidi="ar-JO"/>
        </w:rPr>
        <w:t>)</w:t>
      </w:r>
      <w:r w:rsidR="00201DD5" w:rsidRPr="00001A51">
        <w:rPr>
          <w:rFonts w:ascii="Arabic Transparent" w:hAnsi="Arabic Transparent" w:cs="Arabic Transparent"/>
          <w:sz w:val="28"/>
          <w:szCs w:val="28"/>
          <w:rtl/>
          <w:lang w:bidi="ar-JO"/>
        </w:rPr>
        <w:t>، واصطلاحاً: "القيام بالحاجات الخاصة لشخص أو أشخاص"</w:t>
      </w:r>
      <w:r w:rsidR="00201DD5" w:rsidRPr="00001A51">
        <w:rPr>
          <w:rFonts w:ascii="Arabic Transparent" w:hAnsi="Arabic Transparent" w:cs="Arabic Transparent"/>
          <w:sz w:val="28"/>
          <w:szCs w:val="28"/>
          <w:vertAlign w:val="superscript"/>
          <w:rtl/>
          <w:lang w:bidi="ar-JO"/>
        </w:rPr>
        <w:t>(</w:t>
      </w:r>
      <w:r w:rsidR="00201DD5" w:rsidRPr="00001A51">
        <w:rPr>
          <w:rFonts w:ascii="Arabic Transparent" w:hAnsi="Arabic Transparent" w:cs="Arabic Transparent"/>
          <w:sz w:val="28"/>
          <w:szCs w:val="28"/>
          <w:vertAlign w:val="superscript"/>
          <w:rtl/>
          <w:lang w:bidi="ar-JO"/>
        </w:rPr>
        <w:footnoteReference w:id="782"/>
      </w:r>
      <w:r w:rsidR="00201DD5" w:rsidRPr="00001A51">
        <w:rPr>
          <w:rFonts w:ascii="Arabic Transparent" w:hAnsi="Arabic Transparent" w:cs="Arabic Transparent"/>
          <w:sz w:val="28"/>
          <w:szCs w:val="28"/>
          <w:vertAlign w:val="superscript"/>
          <w:rtl/>
          <w:lang w:bidi="ar-JO"/>
        </w:rPr>
        <w:t>)</w:t>
      </w:r>
    </w:p>
    <w:p w14:paraId="7B455EF6" w14:textId="77777777" w:rsidR="00201DD5" w:rsidRPr="00001A51" w:rsidRDefault="00201DD5" w:rsidP="00201DD5">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 xml:space="preserve">ثالثاً: تعريف تمويل خدمات التعليم والعلاج باعتباره لقباً: </w:t>
      </w:r>
    </w:p>
    <w:p w14:paraId="2F58FAA8" w14:textId="03B3CE4A" w:rsidR="00201DD5" w:rsidRPr="00001A51" w:rsidRDefault="00744A1A" w:rsidP="004E02F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hint="cs"/>
          <w:sz w:val="28"/>
          <w:szCs w:val="28"/>
          <w:rtl/>
          <w:lang w:bidi="ar-JO"/>
        </w:rPr>
        <w:t xml:space="preserve">    </w:t>
      </w:r>
      <w:r w:rsidR="00201DD5" w:rsidRPr="00001A51">
        <w:rPr>
          <w:rFonts w:ascii="Arabic Transparent" w:hAnsi="Arabic Transparent" w:cs="Arabic Transparent"/>
          <w:sz w:val="28"/>
          <w:szCs w:val="28"/>
          <w:rtl/>
          <w:lang w:bidi="ar-JO"/>
        </w:rPr>
        <w:t>عرّف بأنَّه: "تقديم منفعة تعليمية، أو طبية من مقدمها إلى طالبها بواسطة وسيط مقابل تسديد قيمتها على أقساط"</w:t>
      </w:r>
      <w:r w:rsidR="00201DD5" w:rsidRPr="00001A51">
        <w:rPr>
          <w:rFonts w:ascii="Arabic Transparent" w:hAnsi="Arabic Transparent" w:cs="Arabic Transparent"/>
          <w:sz w:val="28"/>
          <w:szCs w:val="28"/>
          <w:vertAlign w:val="superscript"/>
          <w:rtl/>
          <w:lang w:bidi="ar-JO"/>
        </w:rPr>
        <w:t>(</w:t>
      </w:r>
      <w:r w:rsidR="00201DD5" w:rsidRPr="00001A51">
        <w:rPr>
          <w:rFonts w:ascii="Arabic Transparent" w:hAnsi="Arabic Transparent" w:cs="Arabic Transparent"/>
          <w:sz w:val="28"/>
          <w:szCs w:val="28"/>
          <w:vertAlign w:val="superscript"/>
          <w:rtl/>
          <w:lang w:bidi="ar-JO"/>
        </w:rPr>
        <w:footnoteReference w:id="783"/>
      </w:r>
      <w:r w:rsidR="00201DD5" w:rsidRPr="00001A51">
        <w:rPr>
          <w:rFonts w:ascii="Arabic Transparent" w:hAnsi="Arabic Transparent" w:cs="Arabic Transparent"/>
          <w:sz w:val="28"/>
          <w:szCs w:val="28"/>
          <w:vertAlign w:val="superscript"/>
          <w:rtl/>
          <w:lang w:bidi="ar-JO"/>
        </w:rPr>
        <w:t>)</w:t>
      </w:r>
      <w:r w:rsidR="00201DD5" w:rsidRPr="00001A51">
        <w:rPr>
          <w:rFonts w:ascii="Arabic Transparent" w:hAnsi="Arabic Transparent" w:cs="Arabic Transparent"/>
          <w:sz w:val="28"/>
          <w:szCs w:val="28"/>
          <w:rtl/>
          <w:lang w:bidi="ar-JO"/>
        </w:rPr>
        <w:t>. ويؤخذ على هذا التعريف أنَّه لم يفسّر العلاقة بين المصرف ومالك الخدمة، هل هو وكيل يقوم مقام الأصيل؟ أم أنه مالك لهذه الخدمة بعقود بيع رسمية، أم أنَّه سمسار ووسيط، وحتى تتضح حقيقة هذا التمويل الذي يعتمد على بيع المنافع، والذي يُكيِّف في الفقه الإسلام بعقد الإجارة الذي يعرّف بأنه: "عقد معاوضة على تمليك منفعة بعوض"</w:t>
      </w:r>
      <w:r w:rsidR="00201DD5" w:rsidRPr="00001A51">
        <w:rPr>
          <w:rFonts w:ascii="Arabic Transparent" w:hAnsi="Arabic Transparent" w:cs="Arabic Transparent"/>
          <w:sz w:val="28"/>
          <w:szCs w:val="28"/>
          <w:vertAlign w:val="superscript"/>
          <w:rtl/>
          <w:lang w:bidi="ar-JO"/>
        </w:rPr>
        <w:t>(</w:t>
      </w:r>
      <w:r w:rsidR="00201DD5" w:rsidRPr="00001A51">
        <w:rPr>
          <w:rFonts w:ascii="Arabic Transparent" w:hAnsi="Arabic Transparent" w:cs="Arabic Transparent"/>
          <w:sz w:val="28"/>
          <w:szCs w:val="28"/>
          <w:vertAlign w:val="superscript"/>
          <w:rtl/>
          <w:lang w:bidi="ar-JO"/>
        </w:rPr>
        <w:footnoteReference w:id="784"/>
      </w:r>
      <w:r w:rsidR="00201DD5" w:rsidRPr="00001A51">
        <w:rPr>
          <w:rFonts w:ascii="Arabic Transparent" w:hAnsi="Arabic Transparent" w:cs="Arabic Transparent"/>
          <w:sz w:val="28"/>
          <w:szCs w:val="28"/>
          <w:vertAlign w:val="superscript"/>
          <w:rtl/>
          <w:lang w:bidi="ar-JO"/>
        </w:rPr>
        <w:t>)</w:t>
      </w:r>
      <w:r w:rsidR="00201DD5" w:rsidRPr="00001A51">
        <w:rPr>
          <w:rFonts w:ascii="Arabic Transparent" w:hAnsi="Arabic Transparent" w:cs="Arabic Transparent"/>
          <w:sz w:val="28"/>
          <w:szCs w:val="28"/>
          <w:rtl/>
          <w:lang w:bidi="ar-JO"/>
        </w:rPr>
        <w:t>.</w:t>
      </w:r>
    </w:p>
    <w:p w14:paraId="0394B91B" w14:textId="55C48FFF" w:rsidR="00201DD5" w:rsidRPr="00001A51" w:rsidRDefault="005D7B91"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201DD5" w:rsidRPr="00001A51">
        <w:rPr>
          <w:rFonts w:ascii="Arabic Transparent" w:hAnsi="Arabic Transparent" w:cs="Arabic Transparent"/>
          <w:sz w:val="28"/>
          <w:szCs w:val="28"/>
          <w:rtl/>
          <w:lang w:bidi="ar-JO"/>
        </w:rPr>
        <w:t xml:space="preserve">وعند النظر إلى التكييف الفقهي لتمويل خدمات التعليم والعلاج باعتباره لقباً، يتبين أنها على عدة صيغ كما تجريها المصارف الإسلامية: </w:t>
      </w:r>
    </w:p>
    <w:p w14:paraId="3ACB2DCB" w14:textId="1FA88E07" w:rsidR="008D31AC" w:rsidRPr="00001A51" w:rsidRDefault="00201DD5" w:rsidP="008D31AC">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1- عقد إجارة لمنفعة موصوفة بالذمة: حيث يقوم المصرف بشراء المنفعة كاملة، أو مقسمة إلى أقسام بعقد بيع، أو إجارة، وبعد أن يتملكها يقوم بتأجيرها مع زيادة على سنة أو أكثر، وتنتهي المنفعة إلى سداد القسط الأخير، والذي معه تظهر علامات نهاية الفصل، أو يسلم الشهادة، أو ينتهي العلاج</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785"/>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w:t>
      </w:r>
      <w:r w:rsidR="008D31AC" w:rsidRPr="00001A51">
        <w:rPr>
          <w:rFonts w:ascii="Arabic Transparent" w:hAnsi="Arabic Transparent" w:cs="Arabic Transparent"/>
          <w:sz w:val="28"/>
          <w:szCs w:val="28"/>
          <w:rtl/>
          <w:lang w:bidi="ar-JO"/>
        </w:rPr>
        <w:br w:type="page"/>
      </w:r>
    </w:p>
    <w:p w14:paraId="6EEBDA0E" w14:textId="77777777" w:rsidR="00201DD5" w:rsidRPr="00001A51" w:rsidRDefault="00201DD5"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2-</w:t>
      </w:r>
      <w:r w:rsidRPr="00001A51">
        <w:rPr>
          <w:rFonts w:ascii="Arabic Transparent" w:hAnsi="Arabic Transparent" w:cs="Arabic Transparent"/>
          <w:b/>
          <w:bCs/>
          <w:sz w:val="28"/>
          <w:szCs w:val="28"/>
          <w:rtl/>
          <w:lang w:bidi="ar-JO"/>
        </w:rPr>
        <w:t xml:space="preserve"> </w:t>
      </w:r>
      <w:r w:rsidRPr="00001A51">
        <w:rPr>
          <w:rFonts w:ascii="Arabic Transparent" w:hAnsi="Arabic Transparent" w:cs="Arabic Transparent"/>
          <w:sz w:val="28"/>
          <w:szCs w:val="28"/>
          <w:rtl/>
          <w:lang w:bidi="ar-JO"/>
        </w:rPr>
        <w:t>عقد بيع المنافع بالمرابحة: وصورتها أن يتملك المصرف الوسيط المنفعة التي يختارها العميل مع الوعد بإتمام الشراء، ثم يقوم ببيعها له مقسطة بالزيادة على ثمنها الأول على سبيل المرابحة للآمر بالشراء كما تجريها المصارف الإسلامية</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786"/>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w:t>
      </w:r>
    </w:p>
    <w:p w14:paraId="6919412C" w14:textId="7A2C592D" w:rsidR="00201DD5" w:rsidRPr="00001A51" w:rsidRDefault="00201DD5" w:rsidP="004E02F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3- عقد جعالة، أو عقد مساومة</w:t>
      </w:r>
      <w:r w:rsidR="005D7B91" w:rsidRPr="00001A51">
        <w:rPr>
          <w:rFonts w:ascii="Arabic Transparent" w:hAnsi="Arabic Transparent" w:cs="Arabic Transparent"/>
          <w:sz w:val="28"/>
          <w:szCs w:val="28"/>
          <w:rtl/>
          <w:lang w:bidi="ar-JO"/>
        </w:rPr>
        <w:t xml:space="preserve">: </w:t>
      </w:r>
      <w:r w:rsidRPr="00001A51">
        <w:rPr>
          <w:rFonts w:ascii="Arabic Transparent" w:hAnsi="Arabic Transparent" w:cs="Arabic Transparent"/>
          <w:sz w:val="28"/>
          <w:szCs w:val="28"/>
          <w:rtl/>
          <w:lang w:bidi="ar-JO"/>
        </w:rPr>
        <w:t>حيث يتفق الوسيط المالي مع مقدم الخدمة (المستشفى، أو الجامعة) على أخذ عمولة معينة عن كل طالب خدمة يرسل من طرفه، حيث يستحقها الوسيط المالي المصرف من مقدم الخدمة (المستشفى أو الجامعة)، ويقوم الوسيط المالي بسداد تكاليف التعليم، أو العلاج لمقدم الخدمة، ويقسط الوسيط المالي على طالب الخدمة المبلغ الذي قام بتمويله دون زيادة</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787"/>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w:t>
      </w:r>
    </w:p>
    <w:p w14:paraId="08E61904" w14:textId="77777777" w:rsidR="00201DD5" w:rsidRPr="00001A51" w:rsidRDefault="00201DD5"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4- عقد بيع المنافع بالتَّورُّق: وهو إجراء عقد تورق مصرفي منظم بالصورة التي تم الحديث عنها في المطلب السابق</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788"/>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ثم دفع حصيلة التَّورُّق مباشرة (المستشفى أو الجامعة)</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789"/>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w:t>
      </w:r>
    </w:p>
    <w:p w14:paraId="7E5A74BB" w14:textId="0ED60B2A" w:rsidR="0051202A" w:rsidRPr="00001A51" w:rsidRDefault="005D7B91"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201DD5" w:rsidRPr="00001A51">
        <w:rPr>
          <w:rFonts w:ascii="Arabic Transparent" w:hAnsi="Arabic Transparent" w:cs="Arabic Transparent"/>
          <w:sz w:val="28"/>
          <w:szCs w:val="28"/>
          <w:rtl/>
          <w:lang w:bidi="ar-JO"/>
        </w:rPr>
        <w:t>وسوف نتعرف على حكم كل صورة من صور تمويل خدمات التعليم والعلاج عند استقراء فتاوى المجامع الفقهية، ودور الإفتاء، والأبحاث العلمية المحكمة في الفرع الآتي.</w:t>
      </w:r>
    </w:p>
    <w:p w14:paraId="4476F26B" w14:textId="77777777" w:rsidR="0051202A" w:rsidRPr="00001A51" w:rsidRDefault="0051202A">
      <w:pPr>
        <w:bidi w:val="0"/>
        <w:spacing w:after="0" w:line="240" w:lineRule="auto"/>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br w:type="page"/>
      </w:r>
    </w:p>
    <w:p w14:paraId="29507645" w14:textId="77777777" w:rsidR="00201DD5" w:rsidRPr="00001A51" w:rsidRDefault="00201DD5" w:rsidP="00201DD5">
      <w:pPr>
        <w:spacing w:after="0" w:line="360" w:lineRule="auto"/>
        <w:jc w:val="both"/>
        <w:rPr>
          <w:rFonts w:ascii="Arabic Transparent" w:hAnsi="Arabic Transparent" w:cs="Arabic Transparent"/>
          <w:sz w:val="28"/>
          <w:szCs w:val="28"/>
          <w:rtl/>
          <w:lang w:bidi="ar-JO"/>
        </w:rPr>
      </w:pPr>
    </w:p>
    <w:p w14:paraId="6F3D38AB" w14:textId="77777777" w:rsidR="00201DD5" w:rsidRPr="00201DD5" w:rsidRDefault="00201DD5" w:rsidP="00201DD5">
      <w:pPr>
        <w:widowControl w:val="0"/>
        <w:autoSpaceDE w:val="0"/>
        <w:autoSpaceDN w:val="0"/>
        <w:adjustRightInd w:val="0"/>
        <w:spacing w:after="0" w:line="360" w:lineRule="auto"/>
        <w:contextualSpacing/>
        <w:jc w:val="both"/>
        <w:rPr>
          <w:rFonts w:ascii="Arabic Transparent" w:hAnsi="Arabic Transparent" w:cs="Arabic Transparent"/>
          <w:b/>
          <w:bCs/>
          <w:sz w:val="28"/>
          <w:szCs w:val="28"/>
          <w:rtl/>
          <w:lang w:bidi="ar-JO"/>
        </w:rPr>
      </w:pPr>
      <w:r w:rsidRPr="00201DD5">
        <w:rPr>
          <w:rFonts w:ascii="Arabic Transparent" w:hAnsi="Arabic Transparent" w:cs="Arabic Transparent"/>
          <w:b/>
          <w:bCs/>
          <w:sz w:val="28"/>
          <w:szCs w:val="28"/>
          <w:rtl/>
          <w:lang w:bidi="ar-JO"/>
        </w:rPr>
        <w:t>الفرع الثاني: فتاوى تمويل خدمات التعليم والعلاج عرضاً وتحليلاً:</w:t>
      </w:r>
    </w:p>
    <w:p w14:paraId="1AB3F960" w14:textId="77777777" w:rsidR="00201DD5" w:rsidRPr="00201DD5" w:rsidRDefault="00201DD5" w:rsidP="00201DD5">
      <w:pPr>
        <w:widowControl w:val="0"/>
        <w:autoSpaceDE w:val="0"/>
        <w:autoSpaceDN w:val="0"/>
        <w:adjustRightInd w:val="0"/>
        <w:spacing w:after="0" w:line="360" w:lineRule="auto"/>
        <w:contextualSpacing/>
        <w:jc w:val="both"/>
        <w:rPr>
          <w:rFonts w:ascii="Arabic Transparent" w:hAnsi="Arabic Transparent" w:cs="Arabic Transparent"/>
          <w:b/>
          <w:bCs/>
          <w:sz w:val="28"/>
          <w:szCs w:val="28"/>
          <w:rtl/>
          <w:lang w:bidi="ar-JO"/>
        </w:rPr>
      </w:pPr>
      <w:r w:rsidRPr="00201DD5">
        <w:rPr>
          <w:rFonts w:ascii="Arabic Transparent" w:hAnsi="Arabic Transparent" w:cs="Arabic Transparent"/>
          <w:b/>
          <w:bCs/>
          <w:sz w:val="28"/>
          <w:szCs w:val="28"/>
          <w:rtl/>
          <w:lang w:bidi="ar-JO"/>
        </w:rPr>
        <w:t>أولاً: فتاوى الإباحة بضوابط:</w:t>
      </w:r>
    </w:p>
    <w:p w14:paraId="228DB9F4" w14:textId="3CF288AD" w:rsidR="00201DD5" w:rsidRPr="00201DD5" w:rsidRDefault="005D7B91" w:rsidP="004E02F5">
      <w:pPr>
        <w:widowControl w:val="0"/>
        <w:autoSpaceDE w:val="0"/>
        <w:autoSpaceDN w:val="0"/>
        <w:adjustRightInd w:val="0"/>
        <w:spacing w:after="0" w:line="360" w:lineRule="auto"/>
        <w:contextualSpacing/>
        <w:jc w:val="both"/>
        <w:rPr>
          <w:rFonts w:ascii="Arabic Transparent" w:hAnsi="Arabic Transparent" w:cs="Arabic Transparent"/>
          <w:sz w:val="28"/>
          <w:szCs w:val="28"/>
          <w:rtl/>
          <w:lang w:bidi="ar-JO"/>
        </w:rPr>
      </w:pPr>
      <w:r>
        <w:rPr>
          <w:rFonts w:ascii="Arabic Transparent" w:hAnsi="Arabic Transparent" w:cs="Arabic Transparent"/>
          <w:sz w:val="28"/>
          <w:szCs w:val="28"/>
          <w:rtl/>
          <w:lang w:bidi="ar-JO"/>
        </w:rPr>
        <w:t xml:space="preserve">    </w:t>
      </w:r>
      <w:r w:rsidR="00201DD5" w:rsidRPr="00201DD5">
        <w:rPr>
          <w:rFonts w:ascii="Arabic Transparent" w:hAnsi="Arabic Transparent" w:cs="Arabic Transparent"/>
          <w:sz w:val="28"/>
          <w:szCs w:val="28"/>
          <w:rtl/>
          <w:lang w:bidi="ar-JO"/>
        </w:rPr>
        <w:t xml:space="preserve"> ذهب بعض المجتهدين المعاصرين إلى جواز صورة أو أكثر من صور تمويل خدمات التعليم والعلاج مع ضرورة الأخذ بجملة من الضوابط وهم: مجمع الفقه الإسلامي</w:t>
      </w:r>
      <w:r w:rsidR="00201DD5" w:rsidRPr="00201DD5">
        <w:rPr>
          <w:rFonts w:ascii="Arabic Transparent" w:hAnsi="Arabic Transparent" w:cs="Arabic Transparent"/>
          <w:sz w:val="28"/>
          <w:szCs w:val="28"/>
          <w:vertAlign w:val="superscript"/>
          <w:rtl/>
          <w:lang w:bidi="ar-JO"/>
        </w:rPr>
        <w:t>(</w:t>
      </w:r>
      <w:r w:rsidR="00201DD5" w:rsidRPr="00201DD5">
        <w:rPr>
          <w:rFonts w:ascii="Arabic Transparent" w:hAnsi="Arabic Transparent" w:cs="Arabic Transparent"/>
          <w:sz w:val="28"/>
          <w:szCs w:val="28"/>
          <w:vertAlign w:val="superscript"/>
          <w:rtl/>
          <w:lang w:bidi="ar-JO"/>
        </w:rPr>
        <w:footnoteReference w:id="790"/>
      </w:r>
      <w:r w:rsidR="00201DD5" w:rsidRPr="00201DD5">
        <w:rPr>
          <w:rFonts w:ascii="Arabic Transparent" w:hAnsi="Arabic Transparent" w:cs="Arabic Transparent"/>
          <w:sz w:val="28"/>
          <w:szCs w:val="28"/>
          <w:vertAlign w:val="superscript"/>
          <w:rtl/>
          <w:lang w:bidi="ar-JO"/>
        </w:rPr>
        <w:t>)</w:t>
      </w:r>
      <w:r w:rsidR="00201DD5" w:rsidRPr="00201DD5">
        <w:rPr>
          <w:rFonts w:ascii="Arabic Transparent" w:hAnsi="Arabic Transparent" w:cs="Arabic Transparent"/>
          <w:sz w:val="28"/>
          <w:szCs w:val="28"/>
          <w:rtl/>
          <w:lang w:bidi="ar-JO"/>
        </w:rPr>
        <w:t>، والمجلس الأوروبي للإفتاء</w:t>
      </w:r>
      <w:r w:rsidR="00201DD5" w:rsidRPr="00201DD5">
        <w:rPr>
          <w:rFonts w:ascii="Arabic Transparent" w:hAnsi="Arabic Transparent" w:cs="Arabic Transparent"/>
          <w:sz w:val="28"/>
          <w:szCs w:val="28"/>
          <w:vertAlign w:val="superscript"/>
          <w:rtl/>
          <w:lang w:bidi="ar-JO"/>
        </w:rPr>
        <w:t>(</w:t>
      </w:r>
      <w:r w:rsidR="00201DD5" w:rsidRPr="00201DD5">
        <w:rPr>
          <w:rFonts w:ascii="Arabic Transparent" w:hAnsi="Arabic Transparent" w:cs="Arabic Transparent"/>
          <w:sz w:val="28"/>
          <w:szCs w:val="28"/>
          <w:vertAlign w:val="superscript"/>
          <w:rtl/>
          <w:lang w:bidi="ar-JO"/>
        </w:rPr>
        <w:footnoteReference w:id="791"/>
      </w:r>
      <w:r w:rsidR="00201DD5" w:rsidRPr="00201DD5">
        <w:rPr>
          <w:rFonts w:ascii="Arabic Transparent" w:hAnsi="Arabic Transparent" w:cs="Arabic Transparent"/>
          <w:sz w:val="28"/>
          <w:szCs w:val="28"/>
          <w:vertAlign w:val="superscript"/>
          <w:rtl/>
          <w:lang w:bidi="ar-JO"/>
        </w:rPr>
        <w:t>)</w:t>
      </w:r>
      <w:r w:rsidR="00201DD5" w:rsidRPr="00201DD5">
        <w:rPr>
          <w:rFonts w:ascii="Arabic Transparent" w:hAnsi="Arabic Transparent" w:cs="Arabic Transparent"/>
          <w:sz w:val="28"/>
          <w:szCs w:val="28"/>
          <w:rtl/>
          <w:lang w:bidi="ar-JO"/>
        </w:rPr>
        <w:t>، والمعايير الشرعية أيوفي</w:t>
      </w:r>
      <w:r w:rsidR="00201DD5" w:rsidRPr="00201DD5">
        <w:rPr>
          <w:rFonts w:ascii="Arabic Transparent" w:hAnsi="Arabic Transparent" w:cs="Arabic Transparent"/>
          <w:sz w:val="28"/>
          <w:szCs w:val="28"/>
          <w:vertAlign w:val="superscript"/>
          <w:rtl/>
          <w:lang w:bidi="ar-JO"/>
        </w:rPr>
        <w:t>(</w:t>
      </w:r>
      <w:r w:rsidR="00201DD5" w:rsidRPr="00201DD5">
        <w:rPr>
          <w:rFonts w:ascii="Arabic Transparent" w:hAnsi="Arabic Transparent" w:cs="Arabic Transparent"/>
          <w:sz w:val="28"/>
          <w:szCs w:val="28"/>
          <w:vertAlign w:val="superscript"/>
          <w:rtl/>
          <w:lang w:bidi="ar-JO"/>
        </w:rPr>
        <w:footnoteReference w:id="792"/>
      </w:r>
      <w:r w:rsidR="00201DD5" w:rsidRPr="00201DD5">
        <w:rPr>
          <w:rFonts w:ascii="Arabic Transparent" w:hAnsi="Arabic Transparent" w:cs="Arabic Transparent"/>
          <w:sz w:val="28"/>
          <w:szCs w:val="28"/>
          <w:vertAlign w:val="superscript"/>
          <w:rtl/>
          <w:lang w:bidi="ar-JO"/>
        </w:rPr>
        <w:t>)</w:t>
      </w:r>
      <w:r w:rsidR="00201DD5" w:rsidRPr="00201DD5">
        <w:rPr>
          <w:rFonts w:ascii="Arabic Transparent" w:hAnsi="Arabic Transparent" w:cs="Arabic Transparent"/>
          <w:sz w:val="28"/>
          <w:szCs w:val="28"/>
          <w:rtl/>
          <w:lang w:bidi="ar-JO"/>
        </w:rPr>
        <w:t>،</w:t>
      </w:r>
      <w:r w:rsidR="00201DD5" w:rsidRPr="00201DD5">
        <w:rPr>
          <w:rFonts w:ascii="Arabic Transparent" w:hAnsi="Arabic Transparent" w:cs="Arabic Transparent"/>
          <w:sz w:val="28"/>
          <w:szCs w:val="28"/>
          <w:vertAlign w:val="superscript"/>
          <w:rtl/>
          <w:lang w:bidi="ar-JO"/>
        </w:rPr>
        <w:t xml:space="preserve"> </w:t>
      </w:r>
      <w:r w:rsidR="00201DD5" w:rsidRPr="00201DD5">
        <w:rPr>
          <w:rFonts w:ascii="Arabic Transparent" w:hAnsi="Arabic Transparent" w:cs="Arabic Transparent"/>
          <w:sz w:val="28"/>
          <w:szCs w:val="28"/>
          <w:rtl/>
          <w:lang w:bidi="ar-JO"/>
        </w:rPr>
        <w:t>والهيئة الشرعية لبنك البلاد</w:t>
      </w:r>
      <w:r w:rsidR="00201DD5" w:rsidRPr="00201DD5">
        <w:rPr>
          <w:rFonts w:ascii="Arabic Transparent" w:hAnsi="Arabic Transparent" w:cs="Arabic Transparent"/>
          <w:sz w:val="28"/>
          <w:szCs w:val="28"/>
          <w:vertAlign w:val="superscript"/>
          <w:rtl/>
          <w:lang w:bidi="ar-JO"/>
        </w:rPr>
        <w:t>(</w:t>
      </w:r>
      <w:r w:rsidR="00201DD5" w:rsidRPr="00201DD5">
        <w:rPr>
          <w:rFonts w:ascii="Arabic Transparent" w:hAnsi="Arabic Transparent" w:cs="Arabic Transparent"/>
          <w:sz w:val="28"/>
          <w:szCs w:val="28"/>
          <w:vertAlign w:val="superscript"/>
          <w:rtl/>
          <w:lang w:bidi="ar-JO"/>
        </w:rPr>
        <w:footnoteReference w:id="793"/>
      </w:r>
      <w:r w:rsidR="00201DD5" w:rsidRPr="00201DD5">
        <w:rPr>
          <w:rFonts w:ascii="Arabic Transparent" w:hAnsi="Arabic Transparent" w:cs="Arabic Transparent"/>
          <w:sz w:val="28"/>
          <w:szCs w:val="28"/>
          <w:vertAlign w:val="superscript"/>
          <w:rtl/>
          <w:lang w:bidi="ar-JO"/>
        </w:rPr>
        <w:t>)</w:t>
      </w:r>
      <w:r w:rsidR="00201DD5" w:rsidRPr="00201DD5">
        <w:rPr>
          <w:rFonts w:ascii="Arabic Transparent" w:hAnsi="Arabic Transparent" w:cs="Arabic Transparent"/>
          <w:sz w:val="28"/>
          <w:szCs w:val="28"/>
          <w:rtl/>
          <w:lang w:bidi="ar-JO"/>
        </w:rPr>
        <w:t>، والدكتور وليد بن هادي</w:t>
      </w:r>
      <w:r w:rsidR="00201DD5" w:rsidRPr="00201DD5">
        <w:rPr>
          <w:rFonts w:ascii="Arabic Transparent" w:hAnsi="Arabic Transparent" w:cs="Arabic Transparent"/>
          <w:sz w:val="28"/>
          <w:szCs w:val="28"/>
          <w:vertAlign w:val="superscript"/>
          <w:rtl/>
          <w:lang w:bidi="ar-JO"/>
        </w:rPr>
        <w:t>(</w:t>
      </w:r>
      <w:r w:rsidR="00201DD5" w:rsidRPr="00201DD5">
        <w:rPr>
          <w:rFonts w:ascii="Arabic Transparent" w:hAnsi="Arabic Transparent" w:cs="Arabic Transparent"/>
          <w:sz w:val="28"/>
          <w:szCs w:val="28"/>
          <w:vertAlign w:val="superscript"/>
          <w:rtl/>
          <w:lang w:bidi="ar-JO"/>
        </w:rPr>
        <w:footnoteReference w:id="794"/>
      </w:r>
      <w:r w:rsidR="00201DD5" w:rsidRPr="00201DD5">
        <w:rPr>
          <w:rFonts w:ascii="Arabic Transparent" w:hAnsi="Arabic Transparent" w:cs="Arabic Transparent"/>
          <w:sz w:val="28"/>
          <w:szCs w:val="28"/>
          <w:vertAlign w:val="superscript"/>
          <w:rtl/>
          <w:lang w:bidi="ar-JO"/>
        </w:rPr>
        <w:t>)</w:t>
      </w:r>
      <w:r w:rsidR="00201DD5" w:rsidRPr="00201DD5">
        <w:rPr>
          <w:rFonts w:ascii="Arabic Transparent" w:hAnsi="Arabic Transparent" w:cs="Arabic Transparent"/>
          <w:sz w:val="28"/>
          <w:szCs w:val="28"/>
          <w:rtl/>
          <w:lang w:bidi="ar-JO"/>
        </w:rPr>
        <w:t>، والدكتور وليد الشاويش</w:t>
      </w:r>
      <w:r w:rsidR="00201DD5" w:rsidRPr="00201DD5">
        <w:rPr>
          <w:rFonts w:ascii="Arabic Transparent" w:hAnsi="Arabic Transparent" w:cs="Arabic Transparent"/>
          <w:sz w:val="28"/>
          <w:szCs w:val="28"/>
          <w:vertAlign w:val="superscript"/>
          <w:rtl/>
          <w:lang w:bidi="ar-JO"/>
        </w:rPr>
        <w:t>(</w:t>
      </w:r>
      <w:r w:rsidR="00201DD5" w:rsidRPr="00201DD5">
        <w:rPr>
          <w:rFonts w:ascii="Arabic Transparent" w:hAnsi="Arabic Transparent" w:cs="Arabic Transparent"/>
          <w:sz w:val="28"/>
          <w:szCs w:val="28"/>
          <w:vertAlign w:val="superscript"/>
          <w:rtl/>
          <w:lang w:bidi="ar-JO"/>
        </w:rPr>
        <w:footnoteReference w:id="795"/>
      </w:r>
      <w:r w:rsidR="00201DD5" w:rsidRPr="00201DD5">
        <w:rPr>
          <w:rFonts w:ascii="Arabic Transparent" w:hAnsi="Arabic Transparent" w:cs="Arabic Transparent"/>
          <w:sz w:val="28"/>
          <w:szCs w:val="28"/>
          <w:vertAlign w:val="superscript"/>
          <w:rtl/>
          <w:lang w:bidi="ar-JO"/>
        </w:rPr>
        <w:t>)</w:t>
      </w:r>
      <w:r w:rsidR="00201DD5" w:rsidRPr="00201DD5">
        <w:rPr>
          <w:rFonts w:ascii="Arabic Transparent" w:hAnsi="Arabic Transparent" w:cs="Arabic Transparent"/>
          <w:sz w:val="28"/>
          <w:szCs w:val="28"/>
          <w:rtl/>
          <w:lang w:bidi="ar-JO"/>
        </w:rPr>
        <w:t>،</w:t>
      </w:r>
    </w:p>
    <w:p w14:paraId="322386D4" w14:textId="6A26464D" w:rsidR="00201DD5" w:rsidRPr="00201DD5" w:rsidRDefault="005D7B91" w:rsidP="00201DD5">
      <w:pPr>
        <w:widowControl w:val="0"/>
        <w:autoSpaceDE w:val="0"/>
        <w:autoSpaceDN w:val="0"/>
        <w:adjustRightInd w:val="0"/>
        <w:spacing w:after="0" w:line="360" w:lineRule="auto"/>
        <w:contextualSpacing/>
        <w:jc w:val="both"/>
        <w:rPr>
          <w:rFonts w:ascii="Arabic Transparent" w:hAnsi="Arabic Transparent" w:cs="Arabic Transparent"/>
          <w:sz w:val="28"/>
          <w:szCs w:val="28"/>
          <w:rtl/>
          <w:lang w:bidi="ar-JO"/>
        </w:rPr>
      </w:pPr>
      <w:r>
        <w:rPr>
          <w:rFonts w:ascii="Arabic Transparent" w:hAnsi="Arabic Transparent" w:cs="Arabic Transparent"/>
          <w:sz w:val="28"/>
          <w:szCs w:val="28"/>
          <w:rtl/>
          <w:lang w:bidi="ar-JO"/>
        </w:rPr>
        <w:t xml:space="preserve">     </w:t>
      </w:r>
      <w:r w:rsidR="00201DD5" w:rsidRPr="00201DD5">
        <w:rPr>
          <w:rFonts w:ascii="Arabic Transparent" w:hAnsi="Arabic Transparent" w:cs="Arabic Transparent"/>
          <w:sz w:val="28"/>
          <w:szCs w:val="28"/>
          <w:rtl/>
          <w:lang w:bidi="ar-JO"/>
        </w:rPr>
        <w:t>وكان رأيهم بالإباحة لصورة عقد تمويل الخدمات ضمن صيغ معينة، وهي:</w:t>
      </w:r>
    </w:p>
    <w:p w14:paraId="17F84DE8" w14:textId="6A0E8BA8" w:rsidR="00201DD5" w:rsidRPr="00201DD5" w:rsidRDefault="00201DD5" w:rsidP="00201DD5">
      <w:pPr>
        <w:widowControl w:val="0"/>
        <w:autoSpaceDE w:val="0"/>
        <w:autoSpaceDN w:val="0"/>
        <w:adjustRightInd w:val="0"/>
        <w:spacing w:after="0" w:line="360" w:lineRule="auto"/>
        <w:contextualSpacing/>
        <w:jc w:val="both"/>
        <w:rPr>
          <w:rFonts w:ascii="Arabic Transparent" w:hAnsi="Arabic Transparent" w:cs="Arabic Transparent"/>
          <w:sz w:val="28"/>
          <w:szCs w:val="28"/>
          <w:rtl/>
          <w:lang w:bidi="ar-JO"/>
        </w:rPr>
      </w:pPr>
      <w:r w:rsidRPr="00201DD5">
        <w:rPr>
          <w:rFonts w:ascii="Arabic Transparent" w:hAnsi="Arabic Transparent" w:cs="Arabic Transparent"/>
          <w:sz w:val="28"/>
          <w:szCs w:val="28"/>
          <w:rtl/>
          <w:lang w:bidi="ar-JO"/>
        </w:rPr>
        <w:t>1- عقد إجارة لمنفعة موصوفة بالذمة، حيث جاء في المعايير الشرعية ما نصه</w:t>
      </w:r>
      <w:r w:rsidR="005D7B91">
        <w:rPr>
          <w:rFonts w:ascii="Arabic Transparent" w:hAnsi="Arabic Transparent" w:cs="Arabic Transparent"/>
          <w:sz w:val="28"/>
          <w:szCs w:val="28"/>
          <w:rtl/>
          <w:lang w:bidi="ar-JO"/>
        </w:rPr>
        <w:t xml:space="preserve">: </w:t>
      </w:r>
      <w:r w:rsidRPr="00201DD5">
        <w:rPr>
          <w:rFonts w:ascii="Arabic Transparent" w:hAnsi="Arabic Transparent" w:cs="Arabic Transparent"/>
          <w:sz w:val="28"/>
          <w:szCs w:val="28"/>
          <w:rtl/>
          <w:lang w:bidi="ar-JO"/>
        </w:rPr>
        <w:t>"يجوز أن تقع الإجارة على موصوف في الذمة وصفا منضبطا، ولو لم يكن مملوكا للمؤجر - الإجارة الموصوفة في الذمة- حيث يتفق على تسليم العين الموصوفة في موعد سريان العقد، ويراعى في ذلك إمكان تملك المؤجر لها أو صنعها، ولا يشترط فيها تعجيل الأجرة ما لم تكن بلفظ السلم أو السلف. وإذا سلم المؤجر غير ما تم وصفه، فللمستأجر رفضه وطلب ما تتحقق فيه المواصفات"</w:t>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vertAlign w:val="superscript"/>
          <w:rtl/>
          <w:lang w:bidi="ar-JO"/>
        </w:rPr>
        <w:footnoteReference w:id="796"/>
      </w:r>
      <w:r w:rsidRPr="00201DD5">
        <w:rPr>
          <w:rFonts w:ascii="Arabic Transparent" w:hAnsi="Arabic Transparent" w:cs="Arabic Transparent"/>
          <w:sz w:val="28"/>
          <w:szCs w:val="28"/>
          <w:vertAlign w:val="superscript"/>
          <w:rtl/>
          <w:lang w:bidi="ar-JO"/>
        </w:rPr>
        <w:t>)</w:t>
      </w:r>
    </w:p>
    <w:p w14:paraId="32311077" w14:textId="1F51752E" w:rsidR="0051202A" w:rsidRDefault="005D7B91" w:rsidP="0051202A">
      <w:pPr>
        <w:widowControl w:val="0"/>
        <w:autoSpaceDE w:val="0"/>
        <w:autoSpaceDN w:val="0"/>
        <w:adjustRightInd w:val="0"/>
        <w:spacing w:after="0" w:line="360" w:lineRule="auto"/>
        <w:contextualSpacing/>
        <w:jc w:val="both"/>
        <w:rPr>
          <w:rFonts w:ascii="Arabic Transparent" w:hAnsi="Arabic Transparent" w:cs="Arabic Transparent"/>
          <w:sz w:val="28"/>
          <w:szCs w:val="28"/>
          <w:rtl/>
          <w:lang w:bidi="ar-JO"/>
        </w:rPr>
      </w:pPr>
      <w:r>
        <w:rPr>
          <w:rFonts w:ascii="Arabic Transparent" w:hAnsi="Arabic Transparent" w:cs="Arabic Transparent"/>
          <w:sz w:val="28"/>
          <w:szCs w:val="28"/>
          <w:rtl/>
          <w:lang w:bidi="ar-JO"/>
        </w:rPr>
        <w:t xml:space="preserve">     </w:t>
      </w:r>
      <w:r w:rsidR="00201DD5" w:rsidRPr="00201DD5">
        <w:rPr>
          <w:rFonts w:ascii="Arabic Transparent" w:hAnsi="Arabic Transparent" w:cs="Arabic Transparent"/>
          <w:sz w:val="28"/>
          <w:szCs w:val="28"/>
          <w:rtl/>
          <w:lang w:bidi="ar-JO"/>
        </w:rPr>
        <w:t>ويقرر الدكتور وليد بن هادي: "بمراعاة الضوابط والأصول المعتبرة في الاجتهاد في المعاملات المعاصرة يمكن القول بصحة عقد تمويل المنافع بطريقتين"</w:t>
      </w:r>
      <w:r w:rsidR="00201DD5" w:rsidRPr="00201DD5">
        <w:rPr>
          <w:rFonts w:ascii="Arabic Transparent" w:hAnsi="Arabic Transparent" w:cs="Arabic Transparent"/>
          <w:sz w:val="28"/>
          <w:szCs w:val="28"/>
          <w:vertAlign w:val="superscript"/>
          <w:rtl/>
          <w:lang w:bidi="ar-JO"/>
        </w:rPr>
        <w:t>(</w:t>
      </w:r>
      <w:r w:rsidR="00201DD5" w:rsidRPr="00201DD5">
        <w:rPr>
          <w:rFonts w:ascii="Arabic Transparent" w:hAnsi="Arabic Transparent" w:cs="Arabic Transparent"/>
          <w:sz w:val="28"/>
          <w:szCs w:val="28"/>
          <w:vertAlign w:val="superscript"/>
          <w:rtl/>
          <w:lang w:bidi="ar-JO"/>
        </w:rPr>
        <w:footnoteReference w:id="797"/>
      </w:r>
      <w:r w:rsidR="00201DD5" w:rsidRPr="00201DD5">
        <w:rPr>
          <w:rFonts w:ascii="Arabic Transparent" w:hAnsi="Arabic Transparent" w:cs="Arabic Transparent"/>
          <w:sz w:val="28"/>
          <w:szCs w:val="28"/>
          <w:vertAlign w:val="superscript"/>
          <w:rtl/>
          <w:lang w:bidi="ar-JO"/>
        </w:rPr>
        <w:t>)</w:t>
      </w:r>
      <w:r w:rsidR="00201DD5" w:rsidRPr="00201DD5">
        <w:rPr>
          <w:rFonts w:ascii="Arabic Transparent" w:hAnsi="Arabic Transparent" w:cs="Arabic Transparent"/>
          <w:sz w:val="28"/>
          <w:szCs w:val="28"/>
          <w:rtl/>
          <w:lang w:bidi="ar-JO"/>
        </w:rPr>
        <w:t xml:space="preserve">: </w:t>
      </w:r>
      <w:r w:rsidR="0051202A">
        <w:rPr>
          <w:rFonts w:ascii="Arabic Transparent" w:hAnsi="Arabic Transparent" w:cs="Arabic Transparent"/>
          <w:sz w:val="28"/>
          <w:szCs w:val="28"/>
          <w:rtl/>
          <w:lang w:bidi="ar-JO"/>
        </w:rPr>
        <w:br w:type="page"/>
      </w:r>
    </w:p>
    <w:p w14:paraId="14BF36B8" w14:textId="191177A6" w:rsidR="00201DD5" w:rsidRPr="00201DD5" w:rsidRDefault="00201DD5" w:rsidP="004E02F5">
      <w:pPr>
        <w:widowControl w:val="0"/>
        <w:autoSpaceDE w:val="0"/>
        <w:autoSpaceDN w:val="0"/>
        <w:adjustRightInd w:val="0"/>
        <w:spacing w:after="0" w:line="360" w:lineRule="auto"/>
        <w:contextualSpacing/>
        <w:jc w:val="both"/>
        <w:rPr>
          <w:rFonts w:ascii="Arabic Transparent" w:hAnsi="Arabic Transparent" w:cs="Arabic Transparent"/>
          <w:sz w:val="28"/>
          <w:szCs w:val="28"/>
          <w:rtl/>
          <w:lang w:bidi="ar-JO"/>
        </w:rPr>
      </w:pPr>
      <w:r w:rsidRPr="004E02F5">
        <w:rPr>
          <w:rFonts w:ascii="Arabic Transparent" w:hAnsi="Arabic Transparent" w:cs="Arabic Transparent"/>
          <w:b/>
          <w:bCs/>
          <w:sz w:val="28"/>
          <w:szCs w:val="28"/>
          <w:rtl/>
          <w:lang w:bidi="ar-JO"/>
        </w:rPr>
        <w:t>الطريقة الأولى</w:t>
      </w:r>
      <w:r w:rsidRPr="00201DD5">
        <w:rPr>
          <w:rFonts w:ascii="Arabic Transparent" w:hAnsi="Arabic Transparent" w:cs="Arabic Transparent"/>
          <w:sz w:val="28"/>
          <w:szCs w:val="28"/>
          <w:rtl/>
          <w:lang w:bidi="ar-JO"/>
        </w:rPr>
        <w:t>: إجارة معينة بزمن محدد، بأن تستأجر المؤسسة الأعيان المعينة لوقت محدد ثم تعيد تأجيرها (تسمى الإجارة من الباطن) ضمن الوقت المحدد، والاتفاقية التي تكون بين المصرف ومقدم منفعة التعليم أو العلاج.</w:t>
      </w:r>
    </w:p>
    <w:p w14:paraId="06A2F1A9" w14:textId="4C11396A" w:rsidR="00201DD5" w:rsidRPr="00201DD5" w:rsidRDefault="00201DD5" w:rsidP="00201DD5">
      <w:pPr>
        <w:widowControl w:val="0"/>
        <w:autoSpaceDE w:val="0"/>
        <w:autoSpaceDN w:val="0"/>
        <w:adjustRightInd w:val="0"/>
        <w:spacing w:after="0" w:line="360" w:lineRule="auto"/>
        <w:contextualSpacing/>
        <w:jc w:val="both"/>
        <w:rPr>
          <w:rFonts w:ascii="Arabic Transparent" w:hAnsi="Arabic Transparent" w:cs="Arabic Transparent"/>
          <w:sz w:val="28"/>
          <w:szCs w:val="28"/>
          <w:rtl/>
          <w:lang w:bidi="ar-JO"/>
        </w:rPr>
      </w:pPr>
      <w:r w:rsidRPr="004E02F5">
        <w:rPr>
          <w:rFonts w:ascii="Arabic Transparent" w:hAnsi="Arabic Transparent" w:cs="Arabic Transparent"/>
          <w:b/>
          <w:bCs/>
          <w:sz w:val="28"/>
          <w:szCs w:val="28"/>
          <w:rtl/>
          <w:lang w:bidi="ar-JO"/>
        </w:rPr>
        <w:t>الطريقة الثانية</w:t>
      </w:r>
      <w:r w:rsidRPr="00201DD5">
        <w:rPr>
          <w:rFonts w:ascii="Arabic Transparent" w:hAnsi="Arabic Transparent" w:cs="Arabic Transparent"/>
          <w:sz w:val="28"/>
          <w:szCs w:val="28"/>
          <w:rtl/>
          <w:lang w:bidi="ar-JO"/>
        </w:rPr>
        <w:t>: بعدم تعيين الحكيم أو الجامعة، بل بوصف الخدمة وصفاً يمنع النزاع</w:t>
      </w:r>
      <w:r w:rsidR="005D7B91">
        <w:rPr>
          <w:rFonts w:ascii="Arabic Transparent" w:hAnsi="Arabic Transparent" w:cs="Arabic Transparent"/>
          <w:sz w:val="28"/>
          <w:szCs w:val="28"/>
          <w:rtl/>
          <w:lang w:bidi="ar-JO"/>
        </w:rPr>
        <w:t xml:space="preserve">، </w:t>
      </w:r>
      <w:r w:rsidRPr="00201DD5">
        <w:rPr>
          <w:rFonts w:ascii="Arabic Transparent" w:hAnsi="Arabic Transparent" w:cs="Arabic Transparent"/>
          <w:sz w:val="28"/>
          <w:szCs w:val="28"/>
          <w:rtl/>
          <w:lang w:bidi="ar-JO"/>
        </w:rPr>
        <w:t>ويمكن إبرام عقد الإجارة الموصوف بالذمة قبل تملك المؤسسة لمنفعة العين التي تريد أن تؤجرها بشرط أن يتم الفصل بين العقود، والالتزام بضوابط صحة عقد الإجارة.</w:t>
      </w:r>
    </w:p>
    <w:p w14:paraId="341D9871" w14:textId="77777777" w:rsidR="00201DD5" w:rsidRPr="00201DD5" w:rsidRDefault="00201DD5" w:rsidP="00201DD5">
      <w:pPr>
        <w:widowControl w:val="0"/>
        <w:autoSpaceDE w:val="0"/>
        <w:autoSpaceDN w:val="0"/>
        <w:adjustRightInd w:val="0"/>
        <w:spacing w:after="0" w:line="360" w:lineRule="auto"/>
        <w:contextualSpacing/>
        <w:jc w:val="both"/>
        <w:rPr>
          <w:rFonts w:ascii="Arabic Transparent" w:hAnsi="Arabic Transparent" w:cs="Arabic Transparent"/>
          <w:sz w:val="28"/>
          <w:szCs w:val="28"/>
          <w:rtl/>
          <w:lang w:bidi="ar-JO"/>
        </w:rPr>
      </w:pPr>
      <w:r w:rsidRPr="00201DD5">
        <w:rPr>
          <w:rFonts w:ascii="Arabic Transparent" w:hAnsi="Arabic Transparent" w:cs="Arabic Transparent"/>
          <w:sz w:val="28"/>
          <w:szCs w:val="28"/>
          <w:rtl/>
          <w:lang w:bidi="ar-JO"/>
        </w:rPr>
        <w:t xml:space="preserve">2- عقد بيع المنافع بالمرابحة، أجاز مجمع الفقه الإسلامي صورة المرابحة لتمويل المنافع على التعليم والعلاج وبالشروط الآتية: "أن تدخل السلعة في ملك البنك (المأمور) قبل بيعها للآمر بالشراء، وحصول القبض المطلوب شرعًا، على أن تقع على البنك (المأمور) مسؤولية التلف قبل التسليم، وتبعة الرد بالعيب الخفي ونحوه من موجبات الرد بعد التسليم، وتوافرت شروط البيع وانتفت موانعه، وأن يكون الوعد ملزمًا للواعد ديانة إلا لعذر، وملزمًا قضاء إذا كان معلقًا على سبب، ودخل الموعود في كلفة نتيجة الوعد، ويتحدد أثر الإلزام في هذه الحال إما بتنفيذ الوعد، </w:t>
      </w:r>
    </w:p>
    <w:p w14:paraId="6E6DFBCB" w14:textId="77777777" w:rsidR="00201DD5" w:rsidRPr="00201DD5" w:rsidRDefault="00201DD5" w:rsidP="00201DD5">
      <w:pPr>
        <w:widowControl w:val="0"/>
        <w:autoSpaceDE w:val="0"/>
        <w:autoSpaceDN w:val="0"/>
        <w:adjustRightInd w:val="0"/>
        <w:spacing w:after="0" w:line="360" w:lineRule="auto"/>
        <w:contextualSpacing/>
        <w:jc w:val="both"/>
        <w:rPr>
          <w:rFonts w:ascii="Arabic Transparent" w:hAnsi="Arabic Transparent" w:cs="Arabic Transparent"/>
          <w:sz w:val="28"/>
          <w:szCs w:val="28"/>
          <w:rtl/>
          <w:lang w:bidi="ar-JO"/>
        </w:rPr>
      </w:pPr>
      <w:r w:rsidRPr="00201DD5">
        <w:rPr>
          <w:rFonts w:ascii="Arabic Transparent" w:hAnsi="Arabic Transparent" w:cs="Arabic Transparent"/>
          <w:sz w:val="28"/>
          <w:szCs w:val="28"/>
          <w:rtl/>
          <w:lang w:bidi="ar-JO"/>
        </w:rPr>
        <w:t>وإما بالتعويض عن الضرر الواقع فعلاً بسبب عدم الوفاء بالوعد بلا عذر، وأن تكون المواعدة بشرط الخيار للمتواعدين؛ لأن المواعدة الملزمة في بيع المرابحة تشبه البيع نفسه"</w:t>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vertAlign w:val="superscript"/>
          <w:rtl/>
          <w:lang w:bidi="ar-JO"/>
        </w:rPr>
        <w:footnoteReference w:id="798"/>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rtl/>
          <w:lang w:bidi="ar-JO"/>
        </w:rPr>
        <w:t>، وكذلك المجلس الأوروبي للإفتاء أجاز "التمويل بصورة المرابحة على عين أو موصوفة بالذمة لخدمات منافع الأعيان كالتعليم، أو العلاج، ومنافع الأشخاص كاستقدام عاملات، أو عمّال الخدمات، ما دامت الأوصاف تؤدي إلى الضبط وعدم النزاع والخلاف"</w:t>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vertAlign w:val="superscript"/>
          <w:rtl/>
          <w:lang w:bidi="ar-JO"/>
        </w:rPr>
        <w:footnoteReference w:id="799"/>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rtl/>
          <w:lang w:bidi="ar-JO"/>
        </w:rPr>
        <w:t xml:space="preserve"> مع الأخذ بشروط عقد الإجارة المقررة والمذكورة في القرار.</w:t>
      </w:r>
    </w:p>
    <w:p w14:paraId="63C10270" w14:textId="77777777" w:rsidR="0051202A" w:rsidRDefault="005D7B91" w:rsidP="004E02F5">
      <w:pPr>
        <w:widowControl w:val="0"/>
        <w:autoSpaceDE w:val="0"/>
        <w:autoSpaceDN w:val="0"/>
        <w:adjustRightInd w:val="0"/>
        <w:spacing w:after="0" w:line="360" w:lineRule="auto"/>
        <w:contextualSpacing/>
        <w:jc w:val="both"/>
        <w:rPr>
          <w:rFonts w:ascii="Arabic Transparent" w:hAnsi="Arabic Transparent" w:cs="Arabic Transparent"/>
          <w:sz w:val="28"/>
          <w:szCs w:val="28"/>
          <w:rtl/>
          <w:lang w:bidi="ar-JO"/>
        </w:rPr>
      </w:pPr>
      <w:r>
        <w:rPr>
          <w:rFonts w:ascii="Arabic Transparent" w:hAnsi="Arabic Transparent" w:cs="Arabic Transparent"/>
          <w:sz w:val="28"/>
          <w:szCs w:val="28"/>
          <w:rtl/>
          <w:lang w:bidi="ar-JO"/>
        </w:rPr>
        <w:t xml:space="preserve">     </w:t>
      </w:r>
      <w:r w:rsidR="00201DD5" w:rsidRPr="00201DD5">
        <w:rPr>
          <w:rFonts w:ascii="Arabic Transparent" w:hAnsi="Arabic Transparent" w:cs="Arabic Transparent"/>
          <w:sz w:val="28"/>
          <w:szCs w:val="28"/>
          <w:rtl/>
          <w:lang w:bidi="ar-JO"/>
        </w:rPr>
        <w:t>وجاء في قرار الهيئة الشرعية لبنك البلاد</w:t>
      </w:r>
      <w:r w:rsidR="00151AED">
        <w:rPr>
          <w:rFonts w:ascii="Arabic Transparent" w:hAnsi="Arabic Transparent" w:cs="Arabic Transparent"/>
          <w:sz w:val="28"/>
          <w:szCs w:val="28"/>
          <w:rtl/>
          <w:lang w:bidi="ar-JO"/>
        </w:rPr>
        <w:t xml:space="preserve">: </w:t>
      </w:r>
      <w:r w:rsidR="00201DD5" w:rsidRPr="00201DD5">
        <w:rPr>
          <w:rFonts w:ascii="Arabic Transparent" w:hAnsi="Arabic Transparent" w:cs="Arabic Transparent"/>
          <w:sz w:val="28"/>
          <w:szCs w:val="28"/>
          <w:rtl/>
          <w:lang w:bidi="ar-JO"/>
        </w:rPr>
        <w:t>"يجوز أن تكون المرابحة في المنافع، بأن يقوم البنك باستئجار المنفعة، ثم يؤجرها على للعميل بزيادة معلومة"</w:t>
      </w:r>
      <w:r w:rsidR="00201DD5" w:rsidRPr="00201DD5">
        <w:rPr>
          <w:rFonts w:ascii="Arabic Transparent" w:hAnsi="Arabic Transparent" w:cs="Arabic Transparent"/>
          <w:sz w:val="28"/>
          <w:szCs w:val="28"/>
          <w:vertAlign w:val="superscript"/>
          <w:rtl/>
          <w:lang w:bidi="ar-JO"/>
        </w:rPr>
        <w:t>(</w:t>
      </w:r>
      <w:r w:rsidR="00201DD5" w:rsidRPr="00201DD5">
        <w:rPr>
          <w:rFonts w:ascii="Arabic Transparent" w:hAnsi="Arabic Transparent" w:cs="Arabic Transparent"/>
          <w:sz w:val="28"/>
          <w:szCs w:val="28"/>
          <w:vertAlign w:val="superscript"/>
          <w:rtl/>
          <w:lang w:bidi="ar-JO"/>
        </w:rPr>
        <w:footnoteReference w:id="800"/>
      </w:r>
      <w:r w:rsidR="00201DD5" w:rsidRPr="00201DD5">
        <w:rPr>
          <w:rFonts w:ascii="Arabic Transparent" w:hAnsi="Arabic Transparent" w:cs="Arabic Transparent"/>
          <w:sz w:val="28"/>
          <w:szCs w:val="28"/>
          <w:vertAlign w:val="superscript"/>
          <w:rtl/>
          <w:lang w:bidi="ar-JO"/>
        </w:rPr>
        <w:t>)</w:t>
      </w:r>
      <w:r w:rsidR="00201DD5" w:rsidRPr="00201DD5">
        <w:rPr>
          <w:rFonts w:ascii="Arabic Transparent" w:hAnsi="Arabic Transparent" w:cs="Arabic Transparent"/>
          <w:sz w:val="28"/>
          <w:szCs w:val="28"/>
          <w:rtl/>
          <w:lang w:bidi="ar-JO"/>
        </w:rPr>
        <w:t xml:space="preserve">، ضمن جملة من الضوابط، وهي: يكيّف العقد على أنَّه إجارة خدمات، وتأجير البنك للخدمة التي يستأجرها يجوز ولو كان قبل تملكها؛ لأنها منافع موصوفة في الذمة، وعند عدم تمكن العميل من استيفاء الخدمة ينفسخ العقد، ويراعى </w:t>
      </w:r>
    </w:p>
    <w:p w14:paraId="2C4E3DB0" w14:textId="77777777" w:rsidR="0051202A" w:rsidRDefault="0051202A">
      <w:pPr>
        <w:bidi w:val="0"/>
        <w:spacing w:after="0" w:line="240" w:lineRule="auto"/>
        <w:rPr>
          <w:rFonts w:ascii="Arabic Transparent" w:hAnsi="Arabic Transparent" w:cs="Arabic Transparent"/>
          <w:sz w:val="28"/>
          <w:szCs w:val="28"/>
          <w:rtl/>
          <w:lang w:bidi="ar-JO"/>
        </w:rPr>
      </w:pPr>
      <w:r>
        <w:rPr>
          <w:rFonts w:ascii="Arabic Transparent" w:hAnsi="Arabic Transparent" w:cs="Arabic Transparent"/>
          <w:sz w:val="28"/>
          <w:szCs w:val="28"/>
          <w:rtl/>
          <w:lang w:bidi="ar-JO"/>
        </w:rPr>
        <w:br w:type="page"/>
      </w:r>
    </w:p>
    <w:p w14:paraId="0C61854C" w14:textId="7E876C2F" w:rsidR="00201DD5" w:rsidRPr="00201DD5" w:rsidRDefault="00201DD5" w:rsidP="004E02F5">
      <w:pPr>
        <w:widowControl w:val="0"/>
        <w:autoSpaceDE w:val="0"/>
        <w:autoSpaceDN w:val="0"/>
        <w:adjustRightInd w:val="0"/>
        <w:spacing w:after="0" w:line="360" w:lineRule="auto"/>
        <w:contextualSpacing/>
        <w:jc w:val="both"/>
        <w:rPr>
          <w:rFonts w:ascii="Arabic Transparent" w:hAnsi="Arabic Transparent" w:cs="Arabic Transparent"/>
          <w:sz w:val="28"/>
          <w:szCs w:val="28"/>
          <w:rtl/>
          <w:lang w:bidi="ar-JO"/>
        </w:rPr>
      </w:pPr>
      <w:r w:rsidRPr="00201DD5">
        <w:rPr>
          <w:rFonts w:ascii="Arabic Transparent" w:hAnsi="Arabic Transparent" w:cs="Arabic Transparent"/>
          <w:sz w:val="28"/>
          <w:szCs w:val="28"/>
          <w:rtl/>
          <w:lang w:bidi="ar-JO"/>
        </w:rPr>
        <w:t>عند تطبيق المنتج ضوابط عقد المرابحة</w:t>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vertAlign w:val="superscript"/>
          <w:rtl/>
          <w:lang w:bidi="ar-JO"/>
        </w:rPr>
        <w:footnoteReference w:id="801"/>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rtl/>
          <w:lang w:bidi="ar-JO"/>
        </w:rPr>
        <w:t>.</w:t>
      </w:r>
    </w:p>
    <w:p w14:paraId="7AB1D201" w14:textId="0CA385CC" w:rsidR="00201DD5" w:rsidRPr="00201DD5" w:rsidRDefault="00201DD5" w:rsidP="00201DD5">
      <w:pPr>
        <w:widowControl w:val="0"/>
        <w:autoSpaceDE w:val="0"/>
        <w:autoSpaceDN w:val="0"/>
        <w:adjustRightInd w:val="0"/>
        <w:spacing w:after="0" w:line="360" w:lineRule="auto"/>
        <w:contextualSpacing/>
        <w:jc w:val="both"/>
        <w:rPr>
          <w:rFonts w:ascii="Arabic Transparent" w:hAnsi="Arabic Transparent" w:cs="Arabic Transparent"/>
          <w:sz w:val="28"/>
          <w:szCs w:val="28"/>
          <w:rtl/>
          <w:lang w:bidi="ar-JO"/>
        </w:rPr>
      </w:pPr>
      <w:r w:rsidRPr="00201DD5">
        <w:rPr>
          <w:rFonts w:ascii="Arabic Transparent" w:hAnsi="Arabic Transparent" w:cs="Arabic Transparent"/>
          <w:sz w:val="28"/>
          <w:szCs w:val="28"/>
          <w:rtl/>
          <w:lang w:bidi="ar-JO"/>
        </w:rPr>
        <w:t>3- عقد جعالة، يرى الدكتور حمزة مشوقة أن تمويل المنافع والخدمات في التعليم والعلاج:</w:t>
      </w:r>
      <w:r w:rsidRPr="00001A51">
        <w:rPr>
          <w:rFonts w:ascii="Aptos" w:hAnsi="Aptos"/>
          <w:rtl/>
        </w:rPr>
        <w:t xml:space="preserve"> </w:t>
      </w:r>
      <w:r w:rsidRPr="00201DD5">
        <w:rPr>
          <w:rFonts w:ascii="Arabic Transparent" w:hAnsi="Arabic Transparent" w:cs="Arabic Transparent"/>
          <w:sz w:val="28"/>
          <w:szCs w:val="28"/>
          <w:rtl/>
          <w:lang w:bidi="ar-JO"/>
        </w:rPr>
        <w:t>"يصحّ عن طريق عقد الجعالة، تخريجاً على قاعدة تقبل العمل، فالوسيط المالي (المصرف) يتعهد بتقديم الخدمة التعليمية أو الطبية لطالب الخدمة، ولا يشترط أن يقوم بتقديم الخدمة بنفسه، بل يتعهد بتقديمها لطالبها. وأما تمويل هذه الخدمات عن طريق عقد بيع المنافع بالمرابحة وعقد التورق المنظم فلا يصح شرعاً"</w:t>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vertAlign w:val="superscript"/>
          <w:rtl/>
          <w:lang w:bidi="ar-JO"/>
        </w:rPr>
        <w:footnoteReference w:id="802"/>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rtl/>
          <w:lang w:bidi="ar-JO"/>
        </w:rPr>
        <w:t>.</w:t>
      </w:r>
    </w:p>
    <w:p w14:paraId="12D26388" w14:textId="77777777" w:rsidR="00201DD5" w:rsidRPr="00201DD5" w:rsidRDefault="00201DD5" w:rsidP="00201DD5">
      <w:pPr>
        <w:widowControl w:val="0"/>
        <w:autoSpaceDE w:val="0"/>
        <w:autoSpaceDN w:val="0"/>
        <w:adjustRightInd w:val="0"/>
        <w:spacing w:after="0" w:line="360" w:lineRule="auto"/>
        <w:contextualSpacing/>
        <w:jc w:val="both"/>
        <w:rPr>
          <w:rFonts w:ascii="Arabic Transparent" w:hAnsi="Arabic Transparent" w:cs="Arabic Transparent"/>
          <w:b/>
          <w:bCs/>
          <w:sz w:val="28"/>
          <w:szCs w:val="28"/>
          <w:rtl/>
          <w:lang w:bidi="ar-JO"/>
        </w:rPr>
      </w:pPr>
      <w:r w:rsidRPr="00201DD5">
        <w:rPr>
          <w:rFonts w:ascii="Arabic Transparent" w:hAnsi="Arabic Transparent" w:cs="Arabic Transparent"/>
          <w:b/>
          <w:bCs/>
          <w:sz w:val="28"/>
          <w:szCs w:val="28"/>
          <w:rtl/>
          <w:lang w:bidi="ar-JO"/>
        </w:rPr>
        <w:t>ثانياً: فتاوى التحريم مطلقاً.</w:t>
      </w:r>
    </w:p>
    <w:p w14:paraId="2C4112ED" w14:textId="49A11496" w:rsidR="00201DD5" w:rsidRPr="00201DD5" w:rsidRDefault="005D7B91" w:rsidP="00201DD5">
      <w:pPr>
        <w:widowControl w:val="0"/>
        <w:autoSpaceDE w:val="0"/>
        <w:autoSpaceDN w:val="0"/>
        <w:adjustRightInd w:val="0"/>
        <w:spacing w:after="0" w:line="360" w:lineRule="auto"/>
        <w:contextualSpacing/>
        <w:jc w:val="both"/>
        <w:rPr>
          <w:rFonts w:ascii="Arabic Transparent" w:hAnsi="Arabic Transparent" w:cs="Arabic Transparent"/>
          <w:sz w:val="28"/>
          <w:szCs w:val="28"/>
          <w:rtl/>
          <w:lang w:bidi="ar-JO"/>
        </w:rPr>
      </w:pPr>
      <w:r>
        <w:rPr>
          <w:rFonts w:ascii="Arabic Transparent" w:hAnsi="Arabic Transparent" w:cs="Arabic Transparent"/>
          <w:b/>
          <w:bCs/>
          <w:sz w:val="28"/>
          <w:szCs w:val="28"/>
          <w:rtl/>
          <w:lang w:bidi="ar-JO"/>
        </w:rPr>
        <w:t xml:space="preserve">     </w:t>
      </w:r>
      <w:r w:rsidR="00201DD5" w:rsidRPr="00201DD5">
        <w:rPr>
          <w:rFonts w:ascii="Arabic Transparent" w:hAnsi="Arabic Transparent" w:cs="Arabic Transparent"/>
          <w:sz w:val="28"/>
          <w:szCs w:val="28"/>
          <w:rtl/>
          <w:lang w:bidi="ar-JO"/>
        </w:rPr>
        <w:t xml:space="preserve">ذهب بعض العلماء المعاصرين إلى تحريم صورة أو أكثر من صور تمويل الخدمات والمنافع التي تجريها المصارف الإسلامية مع التشارك مع المؤسسات التعليمية والمستشفيات، وهم: </w:t>
      </w:r>
    </w:p>
    <w:p w14:paraId="577FE29E" w14:textId="77777777" w:rsidR="00201DD5" w:rsidRPr="00201DD5" w:rsidRDefault="00201DD5" w:rsidP="00201DD5">
      <w:pPr>
        <w:widowControl w:val="0"/>
        <w:autoSpaceDE w:val="0"/>
        <w:autoSpaceDN w:val="0"/>
        <w:adjustRightInd w:val="0"/>
        <w:spacing w:after="0" w:line="360" w:lineRule="auto"/>
        <w:contextualSpacing/>
        <w:jc w:val="both"/>
        <w:rPr>
          <w:rFonts w:ascii="Arabic Transparent" w:hAnsi="Arabic Transparent" w:cs="Arabic Transparent"/>
          <w:sz w:val="28"/>
          <w:szCs w:val="28"/>
          <w:rtl/>
          <w:lang w:bidi="ar-JO"/>
        </w:rPr>
      </w:pPr>
      <w:r w:rsidRPr="00201DD5">
        <w:rPr>
          <w:rFonts w:ascii="Arabic Transparent" w:hAnsi="Arabic Transparent" w:cs="Arabic Transparent"/>
          <w:sz w:val="28"/>
          <w:szCs w:val="28"/>
          <w:rtl/>
          <w:lang w:bidi="ar-JO"/>
        </w:rPr>
        <w:t>مجلس الإفتاء الأردني</w:t>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vertAlign w:val="superscript"/>
          <w:rtl/>
          <w:lang w:bidi="ar-JO"/>
        </w:rPr>
        <w:footnoteReference w:id="803"/>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rtl/>
          <w:lang w:bidi="ar-JO"/>
        </w:rPr>
        <w:t>، والدكتور علي صالح</w:t>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vertAlign w:val="superscript"/>
          <w:rtl/>
          <w:lang w:bidi="ar-JO"/>
        </w:rPr>
        <w:footnoteReference w:id="804"/>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rtl/>
          <w:lang w:bidi="ar-JO"/>
        </w:rPr>
        <w:t>، والدكتور حمزة مشوقة</w:t>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vertAlign w:val="superscript"/>
          <w:rtl/>
          <w:lang w:bidi="ar-JO"/>
        </w:rPr>
        <w:footnoteReference w:id="805"/>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rtl/>
          <w:lang w:bidi="ar-JO"/>
        </w:rPr>
        <w:t>.</w:t>
      </w:r>
    </w:p>
    <w:p w14:paraId="60259D0A" w14:textId="5D6FDD5E" w:rsidR="00201DD5" w:rsidRPr="00201DD5" w:rsidRDefault="005D7B91" w:rsidP="00201DD5">
      <w:pPr>
        <w:widowControl w:val="0"/>
        <w:autoSpaceDE w:val="0"/>
        <w:autoSpaceDN w:val="0"/>
        <w:adjustRightInd w:val="0"/>
        <w:spacing w:after="0" w:line="360" w:lineRule="auto"/>
        <w:contextualSpacing/>
        <w:jc w:val="both"/>
        <w:rPr>
          <w:rFonts w:ascii="Arabic Transparent" w:hAnsi="Arabic Transparent" w:cs="Arabic Transparent"/>
          <w:sz w:val="28"/>
          <w:szCs w:val="28"/>
          <w:rtl/>
          <w:lang w:bidi="ar-JO"/>
        </w:rPr>
      </w:pPr>
      <w:r>
        <w:rPr>
          <w:rFonts w:ascii="Arabic Transparent" w:hAnsi="Arabic Transparent" w:cs="Arabic Transparent"/>
          <w:b/>
          <w:bCs/>
          <w:sz w:val="28"/>
          <w:szCs w:val="28"/>
          <w:rtl/>
          <w:lang w:bidi="ar-JO"/>
        </w:rPr>
        <w:t xml:space="preserve">     </w:t>
      </w:r>
      <w:r w:rsidR="00201DD5" w:rsidRPr="00201DD5">
        <w:rPr>
          <w:rFonts w:ascii="Arabic Transparent" w:hAnsi="Arabic Transparent" w:cs="Arabic Transparent"/>
          <w:sz w:val="28"/>
          <w:szCs w:val="28"/>
          <w:rtl/>
          <w:lang w:bidi="ar-JO"/>
        </w:rPr>
        <w:t xml:space="preserve">وبعد الاستقراء ثبت التحريم لديهم للأسباب الآتية: </w:t>
      </w:r>
    </w:p>
    <w:p w14:paraId="54B546F4" w14:textId="77777777" w:rsidR="0051202A" w:rsidRDefault="00201DD5" w:rsidP="004E02F5">
      <w:pPr>
        <w:widowControl w:val="0"/>
        <w:autoSpaceDE w:val="0"/>
        <w:autoSpaceDN w:val="0"/>
        <w:adjustRightInd w:val="0"/>
        <w:spacing w:after="0" w:line="360" w:lineRule="auto"/>
        <w:contextualSpacing/>
        <w:jc w:val="both"/>
        <w:rPr>
          <w:rFonts w:ascii="Arabic Transparent" w:hAnsi="Arabic Transparent" w:cs="Arabic Transparent"/>
          <w:sz w:val="28"/>
          <w:szCs w:val="28"/>
          <w:rtl/>
          <w:lang w:bidi="ar-JO"/>
        </w:rPr>
      </w:pPr>
      <w:r w:rsidRPr="00201DD5">
        <w:rPr>
          <w:rFonts w:ascii="Arabic Transparent" w:hAnsi="Arabic Transparent" w:cs="Arabic Transparent"/>
          <w:sz w:val="28"/>
          <w:szCs w:val="28"/>
          <w:rtl/>
          <w:lang w:bidi="ar-JO"/>
        </w:rPr>
        <w:t>1- بيع الخدمات والمنافع من خلال عقد المرابحة محرم شرعاً؛ "لأن بيع المرابحة يتعلق بالسلع ولا يتعلق بتقديم الخدمات، فيصبح العقد كأنه قرض بزيادة مستورة"</w:t>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vertAlign w:val="superscript"/>
          <w:rtl/>
          <w:lang w:bidi="ar-JO"/>
        </w:rPr>
        <w:footnoteReference w:id="806"/>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rtl/>
          <w:lang w:bidi="ar-JO"/>
        </w:rPr>
        <w:t>، ويرى مشوقة أن "منافع الخدمات يستغرق تنفيذها مدة من الزمن، فخدمات التعليم يستغرق تنفيذها أربع سنوات للتعليم الجامعي، والخدمات الطبية يستغرق تنفيذها مدة الكشف الطبي، والعملية الجراحية،</w:t>
      </w:r>
      <w:r>
        <w:rPr>
          <w:rFonts w:ascii="Arabic Transparent" w:hAnsi="Arabic Transparent" w:cs="Arabic Transparent" w:hint="cs"/>
          <w:sz w:val="28"/>
          <w:szCs w:val="28"/>
          <w:rtl/>
          <w:lang w:bidi="ar-JO"/>
        </w:rPr>
        <w:t xml:space="preserve"> </w:t>
      </w:r>
      <w:r w:rsidRPr="00201DD5">
        <w:rPr>
          <w:rFonts w:ascii="Arabic Transparent" w:hAnsi="Arabic Transparent" w:cs="Arabic Transparent"/>
          <w:sz w:val="28"/>
          <w:szCs w:val="28"/>
          <w:rtl/>
          <w:lang w:bidi="ar-JO"/>
        </w:rPr>
        <w:t xml:space="preserve">والإقامة داخل المستشفى، والمتابعة الطبية بعد العملية، فمنافع هذه الخدمات تستغرق مدة زمنية، ولا يمكن </w:t>
      </w:r>
      <w:r w:rsidRPr="00201DD5">
        <w:rPr>
          <w:rFonts w:ascii="Arabic Transparent" w:hAnsi="Arabic Transparent" w:cs="Arabic Transparent"/>
          <w:sz w:val="28"/>
          <w:szCs w:val="28"/>
          <w:rtl/>
          <w:lang w:bidi="ar-JO"/>
        </w:rPr>
        <w:lastRenderedPageBreak/>
        <w:t xml:space="preserve">تنفيذها </w:t>
      </w:r>
    </w:p>
    <w:p w14:paraId="6204A189" w14:textId="77777777" w:rsidR="0051202A" w:rsidRDefault="0051202A">
      <w:pPr>
        <w:bidi w:val="0"/>
        <w:spacing w:after="0" w:line="240" w:lineRule="auto"/>
        <w:rPr>
          <w:rFonts w:ascii="Arabic Transparent" w:hAnsi="Arabic Transparent" w:cs="Arabic Transparent"/>
          <w:sz w:val="28"/>
          <w:szCs w:val="28"/>
          <w:rtl/>
          <w:lang w:bidi="ar-JO"/>
        </w:rPr>
      </w:pPr>
      <w:r>
        <w:rPr>
          <w:rFonts w:ascii="Arabic Transparent" w:hAnsi="Arabic Transparent" w:cs="Arabic Transparent"/>
          <w:sz w:val="28"/>
          <w:szCs w:val="28"/>
          <w:rtl/>
          <w:lang w:bidi="ar-JO"/>
        </w:rPr>
        <w:br w:type="page"/>
      </w:r>
    </w:p>
    <w:p w14:paraId="25767E70" w14:textId="496FD329" w:rsidR="00201DD5" w:rsidRPr="00201DD5" w:rsidRDefault="00201DD5" w:rsidP="004E02F5">
      <w:pPr>
        <w:widowControl w:val="0"/>
        <w:autoSpaceDE w:val="0"/>
        <w:autoSpaceDN w:val="0"/>
        <w:adjustRightInd w:val="0"/>
        <w:spacing w:after="0" w:line="360" w:lineRule="auto"/>
        <w:contextualSpacing/>
        <w:jc w:val="both"/>
        <w:rPr>
          <w:rFonts w:ascii="Arabic Transparent" w:hAnsi="Arabic Transparent" w:cs="Arabic Transparent"/>
          <w:sz w:val="28"/>
          <w:szCs w:val="28"/>
          <w:rtl/>
          <w:lang w:bidi="ar-JO"/>
        </w:rPr>
      </w:pPr>
      <w:r w:rsidRPr="00201DD5">
        <w:rPr>
          <w:rFonts w:ascii="Arabic Transparent" w:hAnsi="Arabic Transparent" w:cs="Arabic Transparent"/>
          <w:sz w:val="28"/>
          <w:szCs w:val="28"/>
          <w:rtl/>
          <w:lang w:bidi="ar-JO"/>
        </w:rPr>
        <w:t>دفعة واحدة، وبالتالي فهذه المنفعة لا تصلح محلاً لعقد البيع"</w:t>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vertAlign w:val="superscript"/>
          <w:rtl/>
          <w:lang w:bidi="ar-JO"/>
        </w:rPr>
        <w:footnoteReference w:id="807"/>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rtl/>
          <w:lang w:bidi="ar-JO"/>
        </w:rPr>
        <w:t>.</w:t>
      </w:r>
    </w:p>
    <w:p w14:paraId="4DDD5FD6" w14:textId="77777777" w:rsidR="00201DD5" w:rsidRPr="00201DD5" w:rsidRDefault="00201DD5" w:rsidP="00201DD5">
      <w:pPr>
        <w:widowControl w:val="0"/>
        <w:autoSpaceDE w:val="0"/>
        <w:autoSpaceDN w:val="0"/>
        <w:adjustRightInd w:val="0"/>
        <w:spacing w:after="0" w:line="360" w:lineRule="auto"/>
        <w:contextualSpacing/>
        <w:jc w:val="both"/>
        <w:rPr>
          <w:rFonts w:ascii="Arabic Transparent" w:hAnsi="Arabic Transparent" w:cs="Arabic Transparent"/>
          <w:sz w:val="28"/>
          <w:szCs w:val="28"/>
          <w:rtl/>
          <w:lang w:bidi="ar-JO"/>
        </w:rPr>
      </w:pPr>
      <w:r w:rsidRPr="00201DD5">
        <w:rPr>
          <w:rFonts w:ascii="Arabic Transparent" w:hAnsi="Arabic Transparent" w:cs="Arabic Transparent"/>
          <w:sz w:val="28"/>
          <w:szCs w:val="28"/>
          <w:rtl/>
          <w:lang w:bidi="ar-JO"/>
        </w:rPr>
        <w:t>2- "أن العقود على المنافع على خلاف الأصل فلا يتوسع بها، ولا تصلح المرابحة لتأقيت الخدمة الممولة فذلك مما يتنافى مع عقد البيع، ولا يلزم من ربح المصرف فيما لا يضمن، ولا تصح على أنها إجارة موصوفة بالذمة؛ لأن تحديد الجهة المزودة بالخدمة تجعلها إجارة معلقة بالعين لا بالذمة، كما أن تأجيل العوض يجعلها شبيهة بالقرض لا الإجارة"</w:t>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vertAlign w:val="superscript"/>
          <w:rtl/>
          <w:lang w:bidi="ar-JO"/>
        </w:rPr>
        <w:footnoteReference w:id="808"/>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rtl/>
          <w:lang w:bidi="ar-JO"/>
        </w:rPr>
        <w:t>، لذلك كله لا يجوّز تمويل المنافع الذي تجريه المصارف الإسلامية بكل صوره؛ لأن حقيقته تمويل بفائدة، متخفية بصورة عقد مباح وهو مرابحة أو إجارة في الذمة، أو تورق منظم.</w:t>
      </w:r>
    </w:p>
    <w:p w14:paraId="40B263B8" w14:textId="77777777" w:rsidR="00201DD5" w:rsidRPr="00201DD5" w:rsidRDefault="00201DD5" w:rsidP="00201DD5">
      <w:pPr>
        <w:widowControl w:val="0"/>
        <w:autoSpaceDE w:val="0"/>
        <w:autoSpaceDN w:val="0"/>
        <w:adjustRightInd w:val="0"/>
        <w:spacing w:after="0" w:line="360" w:lineRule="auto"/>
        <w:contextualSpacing/>
        <w:jc w:val="both"/>
        <w:rPr>
          <w:rFonts w:ascii="Arabic Transparent" w:hAnsi="Arabic Transparent" w:cs="Arabic Transparent"/>
          <w:b/>
          <w:bCs/>
          <w:sz w:val="28"/>
          <w:szCs w:val="28"/>
          <w:rtl/>
          <w:lang w:bidi="ar-JO"/>
        </w:rPr>
      </w:pPr>
      <w:r w:rsidRPr="00201DD5">
        <w:rPr>
          <w:rFonts w:ascii="Arabic Transparent" w:hAnsi="Arabic Transparent" w:cs="Arabic Transparent"/>
          <w:b/>
          <w:bCs/>
          <w:sz w:val="28"/>
          <w:szCs w:val="28"/>
          <w:rtl/>
          <w:lang w:bidi="ar-JO"/>
        </w:rPr>
        <w:t>ثالثاً: تحليل الفتاوى السابقة وتنقيح المناط العام:</w:t>
      </w:r>
    </w:p>
    <w:p w14:paraId="6818D343" w14:textId="1B6D9EF6" w:rsidR="00F900EE" w:rsidRDefault="005D7B91" w:rsidP="00F900EE">
      <w:pPr>
        <w:widowControl w:val="0"/>
        <w:autoSpaceDE w:val="0"/>
        <w:autoSpaceDN w:val="0"/>
        <w:adjustRightInd w:val="0"/>
        <w:spacing w:after="0" w:line="360" w:lineRule="auto"/>
        <w:contextualSpacing/>
        <w:jc w:val="both"/>
        <w:rPr>
          <w:rFonts w:ascii="Arabic Transparent" w:hAnsi="Arabic Transparent" w:cs="Arabic Transparent"/>
          <w:sz w:val="28"/>
          <w:szCs w:val="28"/>
          <w:rtl/>
          <w:lang w:bidi="ar-JO"/>
        </w:rPr>
      </w:pPr>
      <w:r>
        <w:rPr>
          <w:rFonts w:ascii="Arabic Transparent" w:hAnsi="Arabic Transparent" w:cs="Arabic Transparent"/>
          <w:sz w:val="28"/>
          <w:szCs w:val="28"/>
          <w:rtl/>
          <w:lang w:bidi="ar-JO"/>
        </w:rPr>
        <w:t xml:space="preserve">     </w:t>
      </w:r>
      <w:r w:rsidR="00201DD5" w:rsidRPr="00201DD5">
        <w:rPr>
          <w:rFonts w:ascii="Arabic Transparent" w:hAnsi="Arabic Transparent" w:cs="Arabic Transparent"/>
          <w:sz w:val="28"/>
          <w:szCs w:val="28"/>
          <w:rtl/>
          <w:lang w:bidi="ar-JO"/>
        </w:rPr>
        <w:t>عند تحليل الفتاوى السابقة، يظهر جلياً أن الفتاوى التي رجحت الإباحة قامت بإزالة الأسباب المحرمة، التي تؤدي إلى وجود جهالة مفضية للنزاع، أو إزالة كل ما يؤدي إلى صورية العقد لتغطية الإقراض الربوي بفائدة، إذ قامت بوضع ضوابط دقيقة، وبينت أن حقيقة العقد إجارة موصوفة بالذمة لخدمات التعليم، أو العلاج، وبين الدكتور وليد الشاويش عند حديثه عن تمويل منافع التعليم، التأصيل الشرعي لجواز أن يؤجر المستأجر ما استأجره لنفسه، وجواز تمويل المنافع بصيغة المرابحة، حيث قال:</w:t>
      </w:r>
      <w:r w:rsidR="00151AED">
        <w:rPr>
          <w:rFonts w:ascii="Arabic Transparent" w:hAnsi="Arabic Transparent" w:cs="Arabic Transparent"/>
          <w:sz w:val="28"/>
          <w:szCs w:val="28"/>
          <w:rtl/>
          <w:lang w:bidi="ar-JO"/>
        </w:rPr>
        <w:t xml:space="preserve"> "</w:t>
      </w:r>
      <w:r w:rsidR="00201DD5" w:rsidRPr="00201DD5">
        <w:rPr>
          <w:rFonts w:ascii="Arabic Transparent" w:hAnsi="Arabic Transparent" w:cs="Arabic Transparent"/>
          <w:sz w:val="28"/>
          <w:szCs w:val="28"/>
          <w:rtl/>
          <w:lang w:bidi="ar-JO"/>
        </w:rPr>
        <w:t>يمكن أن تشكل المرابحة وسيطاً مناسباً لإيصال المنفعة من مالكها، وهو الجامعة إلى طالب المنفعة وهو الطالب، بواسطة المصرف الإسلامي حيث يشتري المصرف الإسلامي المنفعة من الجامعة على شكل ساعات معتمدة في الذمة ويتملكها، ويدفع ثمنها نقداً، ثم يقوم ببيع هذه المنفعة للطالب مع هامش ربح مناسب"</w:t>
      </w:r>
      <w:r w:rsidR="00201DD5" w:rsidRPr="00201DD5">
        <w:rPr>
          <w:rFonts w:ascii="Arabic Transparent" w:hAnsi="Arabic Transparent" w:cs="Arabic Transparent"/>
          <w:sz w:val="28"/>
          <w:szCs w:val="28"/>
          <w:vertAlign w:val="superscript"/>
          <w:rtl/>
          <w:lang w:bidi="ar-JO"/>
        </w:rPr>
        <w:t>(</w:t>
      </w:r>
      <w:r w:rsidR="00201DD5" w:rsidRPr="00201DD5">
        <w:rPr>
          <w:rFonts w:ascii="Arabic Transparent" w:hAnsi="Arabic Transparent" w:cs="Arabic Transparent"/>
          <w:sz w:val="28"/>
          <w:szCs w:val="28"/>
          <w:vertAlign w:val="superscript"/>
          <w:rtl/>
          <w:lang w:bidi="ar-JO"/>
        </w:rPr>
        <w:footnoteReference w:id="809"/>
      </w:r>
      <w:r w:rsidR="00201DD5" w:rsidRPr="00201DD5">
        <w:rPr>
          <w:rFonts w:ascii="Arabic Transparent" w:hAnsi="Arabic Transparent" w:cs="Arabic Transparent"/>
          <w:sz w:val="28"/>
          <w:szCs w:val="28"/>
          <w:vertAlign w:val="superscript"/>
          <w:rtl/>
          <w:lang w:bidi="ar-JO"/>
        </w:rPr>
        <w:t>)</w:t>
      </w:r>
      <w:r w:rsidR="00201DD5" w:rsidRPr="00201DD5">
        <w:rPr>
          <w:rFonts w:ascii="Arabic Transparent" w:hAnsi="Arabic Transparent" w:cs="Arabic Transparent"/>
          <w:sz w:val="28"/>
          <w:szCs w:val="28"/>
          <w:rtl/>
          <w:lang w:bidi="ar-JO"/>
        </w:rPr>
        <w:t xml:space="preserve"> وبيّن أن لهذا العقد العديد من الآثار الإيجابية من الناحية العلمية</w:t>
      </w:r>
      <w:r w:rsidR="00AE633A">
        <w:rPr>
          <w:rFonts w:ascii="Arabic Transparent" w:hAnsi="Arabic Transparent" w:cs="Arabic Transparent" w:hint="cs"/>
          <w:sz w:val="28"/>
          <w:szCs w:val="28"/>
          <w:rtl/>
          <w:lang w:bidi="ar-JO"/>
        </w:rPr>
        <w:t>،</w:t>
      </w:r>
      <w:r w:rsidR="00201DD5" w:rsidRPr="00201DD5">
        <w:rPr>
          <w:rFonts w:ascii="Arabic Transparent" w:hAnsi="Arabic Transparent" w:cs="Arabic Transparent"/>
          <w:sz w:val="28"/>
          <w:szCs w:val="28"/>
          <w:rtl/>
          <w:lang w:bidi="ar-JO"/>
        </w:rPr>
        <w:t xml:space="preserve"> والاجتماعية</w:t>
      </w:r>
      <w:r w:rsidR="00AE633A">
        <w:rPr>
          <w:rFonts w:ascii="Arabic Transparent" w:hAnsi="Arabic Transparent" w:cs="Arabic Transparent" w:hint="cs"/>
          <w:sz w:val="28"/>
          <w:szCs w:val="28"/>
          <w:rtl/>
          <w:lang w:bidi="ar-JO"/>
        </w:rPr>
        <w:t>،</w:t>
      </w:r>
      <w:r w:rsidR="00201DD5" w:rsidRPr="00201DD5">
        <w:rPr>
          <w:rFonts w:ascii="Arabic Transparent" w:hAnsi="Arabic Transparent" w:cs="Arabic Transparent"/>
          <w:sz w:val="28"/>
          <w:szCs w:val="28"/>
          <w:rtl/>
          <w:lang w:bidi="ar-JO"/>
        </w:rPr>
        <w:t xml:space="preserve"> والاقتصادية التي تتوقع إذا استعملت ضمن الضوابط والشروط المعينة على تخليص العقد من الشبهات، تحديداً أنه "يبنى على الإباحة الأصلية</w:t>
      </w:r>
      <w:r w:rsidR="00201DD5" w:rsidRPr="00F8716C">
        <w:rPr>
          <w:rFonts w:ascii="Arabic Transparent" w:hAnsi="Arabic Transparent" w:cs="Arabic Transparent"/>
          <w:sz w:val="28"/>
          <w:szCs w:val="28"/>
          <w:rtl/>
          <w:lang w:bidi="ar-JO"/>
        </w:rPr>
        <w:t>"</w:t>
      </w:r>
      <w:r w:rsidR="00201DD5" w:rsidRPr="00201DD5">
        <w:rPr>
          <w:rFonts w:ascii="Arabic Transparent" w:hAnsi="Arabic Transparent" w:cs="Arabic Transparent"/>
          <w:sz w:val="28"/>
          <w:szCs w:val="28"/>
          <w:vertAlign w:val="superscript"/>
          <w:rtl/>
          <w:lang w:bidi="ar-JO"/>
        </w:rPr>
        <w:t>(</w:t>
      </w:r>
      <w:r w:rsidR="00201DD5" w:rsidRPr="00201DD5">
        <w:rPr>
          <w:rFonts w:ascii="Arabic Transparent" w:hAnsi="Arabic Transparent" w:cs="Arabic Transparent"/>
          <w:sz w:val="28"/>
          <w:szCs w:val="28"/>
          <w:vertAlign w:val="superscript"/>
          <w:rtl/>
          <w:lang w:bidi="ar-JO"/>
        </w:rPr>
        <w:footnoteReference w:id="810"/>
      </w:r>
      <w:r w:rsidR="00201DD5" w:rsidRPr="00201DD5">
        <w:rPr>
          <w:rFonts w:ascii="Arabic Transparent" w:hAnsi="Arabic Transparent" w:cs="Arabic Transparent"/>
          <w:sz w:val="28"/>
          <w:szCs w:val="28"/>
          <w:vertAlign w:val="superscript"/>
          <w:rtl/>
          <w:lang w:bidi="ar-JO"/>
        </w:rPr>
        <w:t>)</w:t>
      </w:r>
      <w:r w:rsidR="00201DD5" w:rsidRPr="00201DD5">
        <w:rPr>
          <w:rFonts w:ascii="Arabic Transparent" w:hAnsi="Arabic Transparent" w:cs="Arabic Transparent"/>
          <w:sz w:val="28"/>
          <w:szCs w:val="28"/>
          <w:rtl/>
          <w:lang w:bidi="ar-JO"/>
        </w:rPr>
        <w:t xml:space="preserve">، بيد أن الفتاوى المحرمة لتمويل الخدمات بالمرابحة وغيرها من الصيغ اكتفت بدليل سد الذريعة للوقوع في الربا، وكون المنافع المرتبطة بالأجل ليست محلاً لبيع المرابحة، والذي يلاحظ أن بعض المجتهدين في المسائل المعاصرة يقوم بمنعها بالكلية، سداً للذريعة دون أن يقف </w:t>
      </w:r>
      <w:r w:rsidR="00201DD5" w:rsidRPr="00201DD5">
        <w:rPr>
          <w:rFonts w:ascii="Arabic Transparent" w:hAnsi="Arabic Transparent" w:cs="Arabic Transparent"/>
          <w:sz w:val="28"/>
          <w:szCs w:val="28"/>
          <w:rtl/>
          <w:lang w:bidi="ar-JO"/>
        </w:rPr>
        <w:lastRenderedPageBreak/>
        <w:t xml:space="preserve">على الأسباب الحقيقية ويرفعها </w:t>
      </w:r>
      <w:r w:rsidR="00F900EE">
        <w:rPr>
          <w:rFonts w:ascii="Arabic Transparent" w:hAnsi="Arabic Transparent" w:cs="Arabic Transparent"/>
          <w:sz w:val="28"/>
          <w:szCs w:val="28"/>
          <w:rtl/>
          <w:lang w:bidi="ar-JO"/>
        </w:rPr>
        <w:br w:type="page"/>
      </w:r>
    </w:p>
    <w:p w14:paraId="42A35F1C" w14:textId="0ACFFC90" w:rsidR="00201DD5" w:rsidRPr="00201DD5" w:rsidRDefault="00201DD5" w:rsidP="004E02F5">
      <w:pPr>
        <w:widowControl w:val="0"/>
        <w:autoSpaceDE w:val="0"/>
        <w:autoSpaceDN w:val="0"/>
        <w:adjustRightInd w:val="0"/>
        <w:spacing w:after="0" w:line="360" w:lineRule="auto"/>
        <w:contextualSpacing/>
        <w:jc w:val="both"/>
        <w:rPr>
          <w:rFonts w:ascii="Arabic Transparent" w:hAnsi="Arabic Transparent" w:cs="Arabic Transparent"/>
          <w:sz w:val="28"/>
          <w:szCs w:val="28"/>
          <w:rtl/>
          <w:lang w:bidi="ar-JO"/>
        </w:rPr>
      </w:pPr>
      <w:r w:rsidRPr="00201DD5">
        <w:rPr>
          <w:rFonts w:ascii="Arabic Transparent" w:hAnsi="Arabic Transparent" w:cs="Arabic Transparent"/>
          <w:sz w:val="28"/>
          <w:szCs w:val="28"/>
          <w:rtl/>
          <w:lang w:bidi="ar-JO"/>
        </w:rPr>
        <w:t>ويجعل المعاملة سارية فتحاً للذريعة للمصلحة الراجحة، يقول القرافي: "اعلم ‌أن ‌الذريعة ‌كما ‌يجب ‌سدها ‌يجب ‌فتحها ‌وتكره ‌وتندب ‌وتباح"</w:t>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vertAlign w:val="superscript"/>
          <w:rtl/>
          <w:lang w:bidi="ar-JO"/>
        </w:rPr>
        <w:footnoteReference w:id="811"/>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rtl/>
          <w:lang w:bidi="ar-JO"/>
        </w:rPr>
        <w:t xml:space="preserve"> فيندب تحقيق مصالح الطلاب العاجزين عن سداد رسومهم الدراسية، والمرضى العاجزين عن تحمل تكاليف العلاج من خلال ضبط المعاملة وتخليصها من الأسباب المحرمة</w:t>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vertAlign w:val="superscript"/>
          <w:rtl/>
          <w:lang w:bidi="ar-JO"/>
        </w:rPr>
        <w:footnoteReference w:id="812"/>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rtl/>
          <w:lang w:bidi="ar-JO"/>
        </w:rPr>
        <w:t xml:space="preserve">. </w:t>
      </w:r>
    </w:p>
    <w:p w14:paraId="10848CD7" w14:textId="5F1CF60D" w:rsidR="00201DD5" w:rsidRPr="00201DD5" w:rsidRDefault="005D7B91" w:rsidP="00201DD5">
      <w:pPr>
        <w:widowControl w:val="0"/>
        <w:autoSpaceDE w:val="0"/>
        <w:autoSpaceDN w:val="0"/>
        <w:adjustRightInd w:val="0"/>
        <w:spacing w:after="0" w:line="360" w:lineRule="auto"/>
        <w:contextualSpacing/>
        <w:jc w:val="both"/>
        <w:rPr>
          <w:rFonts w:ascii="Arabic Transparent" w:hAnsi="Arabic Transparent" w:cs="Arabic Transparent"/>
          <w:sz w:val="28"/>
          <w:szCs w:val="28"/>
          <w:rtl/>
          <w:lang w:bidi="ar-JO"/>
        </w:rPr>
      </w:pPr>
      <w:r>
        <w:rPr>
          <w:rFonts w:ascii="Arabic Transparent" w:hAnsi="Arabic Transparent" w:cs="Arabic Transparent"/>
          <w:sz w:val="28"/>
          <w:szCs w:val="28"/>
          <w:rtl/>
          <w:lang w:bidi="ar-JO"/>
        </w:rPr>
        <w:t xml:space="preserve">     </w:t>
      </w:r>
      <w:r w:rsidR="00201DD5" w:rsidRPr="00201DD5">
        <w:rPr>
          <w:rFonts w:ascii="Arabic Transparent" w:hAnsi="Arabic Transparent" w:cs="Arabic Transparent"/>
          <w:sz w:val="28"/>
          <w:szCs w:val="28"/>
          <w:rtl/>
          <w:lang w:bidi="ar-JO"/>
        </w:rPr>
        <w:t xml:space="preserve">وأما بالنسبة للمناط العام وتحديده بعد إزالة الأوصاف العارضة، فيكون من خلال وجود منفعة </w:t>
      </w:r>
    </w:p>
    <w:p w14:paraId="6068EAA9" w14:textId="5778133D" w:rsidR="004E02F5" w:rsidRDefault="00201DD5" w:rsidP="004E02F5">
      <w:pPr>
        <w:widowControl w:val="0"/>
        <w:autoSpaceDE w:val="0"/>
        <w:autoSpaceDN w:val="0"/>
        <w:adjustRightInd w:val="0"/>
        <w:spacing w:after="0" w:line="360" w:lineRule="auto"/>
        <w:contextualSpacing/>
        <w:jc w:val="both"/>
        <w:rPr>
          <w:rFonts w:ascii="Arabic Transparent" w:hAnsi="Arabic Transparent" w:cs="Arabic Transparent"/>
          <w:sz w:val="28"/>
          <w:szCs w:val="28"/>
          <w:rtl/>
          <w:lang w:bidi="ar-JO"/>
        </w:rPr>
      </w:pPr>
      <w:r w:rsidRPr="00201DD5">
        <w:rPr>
          <w:rFonts w:ascii="Arabic Transparent" w:hAnsi="Arabic Transparent" w:cs="Arabic Transparent"/>
          <w:sz w:val="28"/>
          <w:szCs w:val="28"/>
          <w:rtl/>
          <w:lang w:bidi="ar-JO"/>
        </w:rPr>
        <w:t>مباحة متقوّمة، منضبطة الوصف، تدخل في ضمان الممول بعلاقة عقدية حقيقية مع مقدم الخدمة، ثم تنتقل إلى العميل بعوض معلوم، من غير أن تكون العملية في حقيقتها سداد دين حاضر بدين أكبر مؤجل</w:t>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vertAlign w:val="superscript"/>
          <w:rtl/>
          <w:lang w:bidi="ar-JO"/>
        </w:rPr>
        <w:footnoteReference w:id="813"/>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rtl/>
          <w:lang w:bidi="ar-JO"/>
        </w:rPr>
        <w:t>.</w:t>
      </w:r>
    </w:p>
    <w:p w14:paraId="6FC10E66" w14:textId="77777777" w:rsidR="00201DD5" w:rsidRPr="00201DD5" w:rsidRDefault="00201DD5" w:rsidP="00201DD5">
      <w:pPr>
        <w:widowControl w:val="0"/>
        <w:autoSpaceDE w:val="0"/>
        <w:autoSpaceDN w:val="0"/>
        <w:adjustRightInd w:val="0"/>
        <w:spacing w:after="0" w:line="360" w:lineRule="auto"/>
        <w:contextualSpacing/>
        <w:jc w:val="both"/>
        <w:rPr>
          <w:rFonts w:ascii="Arabic Transparent" w:hAnsi="Arabic Transparent" w:cs="Arabic Transparent"/>
          <w:b/>
          <w:bCs/>
          <w:sz w:val="28"/>
          <w:szCs w:val="28"/>
          <w:rtl/>
          <w:lang w:bidi="ar-JO"/>
        </w:rPr>
      </w:pPr>
      <w:r w:rsidRPr="00201DD5">
        <w:rPr>
          <w:rFonts w:ascii="Arabic Transparent" w:hAnsi="Arabic Transparent" w:cs="Arabic Transparent"/>
          <w:b/>
          <w:bCs/>
          <w:sz w:val="28"/>
          <w:szCs w:val="28"/>
          <w:rtl/>
          <w:lang w:bidi="ar-JO"/>
        </w:rPr>
        <w:t>الفرع الثالث: وجه التفاوت في تحقيق المناط الخاص.</w:t>
      </w:r>
    </w:p>
    <w:p w14:paraId="4491DA5E" w14:textId="3486FD21" w:rsidR="00201DD5" w:rsidRPr="00201DD5" w:rsidRDefault="005D7B91" w:rsidP="004E02F5">
      <w:pPr>
        <w:spacing w:line="360" w:lineRule="auto"/>
        <w:jc w:val="both"/>
        <w:rPr>
          <w:rFonts w:ascii="Arabic Transparent" w:hAnsi="Arabic Transparent" w:cs="Arabic Transparent"/>
          <w:sz w:val="28"/>
          <w:szCs w:val="28"/>
          <w:rtl/>
          <w:lang w:bidi="ar-JO"/>
        </w:rPr>
      </w:pPr>
      <w:r>
        <w:rPr>
          <w:rFonts w:ascii="Arabic Transparent" w:hAnsi="Arabic Transparent" w:cs="Arabic Transparent"/>
          <w:sz w:val="28"/>
          <w:szCs w:val="28"/>
          <w:rtl/>
          <w:lang w:bidi="ar-JO"/>
        </w:rPr>
        <w:t xml:space="preserve">     </w:t>
      </w:r>
      <w:r w:rsidR="00201DD5" w:rsidRPr="00201DD5">
        <w:rPr>
          <w:rFonts w:ascii="Arabic Transparent" w:hAnsi="Arabic Transparent" w:cs="Arabic Transparent"/>
          <w:sz w:val="28"/>
          <w:szCs w:val="28"/>
          <w:rtl/>
          <w:lang w:bidi="ar-JO"/>
        </w:rPr>
        <w:t>عند النظر في الفتاوى السابقة وتحليلها يمكن حصر وجه التفاوت من جهة المجتهد، أو الواقعة وأطراف العقد في فتاوى وأبحاث تمويل المنافع من خلال الإجابة عن التساؤلات الآتية: هل البنك دفع لقاء منفعة تعليم أو علاج حقيقية؟، أم دفع مالاً مباشراً للعميل ورتب عليه الزيادة</w:t>
      </w:r>
      <w:r w:rsidR="00AE633A">
        <w:rPr>
          <w:rFonts w:ascii="Arabic Transparent" w:hAnsi="Arabic Transparent" w:cs="Arabic Transparent" w:hint="cs"/>
          <w:sz w:val="28"/>
          <w:szCs w:val="28"/>
          <w:rtl/>
          <w:lang w:bidi="ar-JO"/>
        </w:rPr>
        <w:t>،</w:t>
      </w:r>
      <w:r w:rsidR="00201DD5" w:rsidRPr="00201DD5">
        <w:rPr>
          <w:rFonts w:ascii="Arabic Transparent" w:hAnsi="Arabic Transparent" w:cs="Arabic Transparent"/>
          <w:sz w:val="28"/>
          <w:szCs w:val="28"/>
          <w:rtl/>
          <w:lang w:bidi="ar-JO"/>
        </w:rPr>
        <w:t xml:space="preserve"> فإن كانت الصورة الثانية فهي قرض بزيادة ربوية، التساؤل الثاني: هل يتفاوت الحكم بحسب تفاوت الأوصاف المتعلقة بها كتحديد نوع الدراسة أو الخدمة الطبية، والجهة المقدمة، والمدة، والقدر، والوصف الذي يمنع التنازع؛ لأنَّ الجهالة الفاحشة في المنفعة تفسد العقود كما ويعفى عن الجهالة اليسيرة، والتساؤل الثالث: هل تدخل المنفعة في ضمان الممول، حتى يكون هناك مسوِّغٌ للربح؟ التساؤل الرابع: ما مدى مشروعية التعليم أو العلاج، أو الخدمات المقدمة للتمويل؟ التساؤل الخامس: ما الضوابط والشروط التي يجب أن تراعى في عقود تمويل الخدمات والمنافع؟</w:t>
      </w:r>
    </w:p>
    <w:p w14:paraId="3A608AAB" w14:textId="77777777" w:rsidR="00F900EE" w:rsidRDefault="005D7B91" w:rsidP="00201DD5">
      <w:pPr>
        <w:spacing w:line="360" w:lineRule="auto"/>
        <w:jc w:val="both"/>
        <w:rPr>
          <w:rFonts w:ascii="Arabic Transparent" w:hAnsi="Arabic Transparent" w:cs="Arabic Transparent"/>
          <w:sz w:val="28"/>
          <w:szCs w:val="28"/>
          <w:rtl/>
          <w:lang w:bidi="ar-JO"/>
        </w:rPr>
      </w:pPr>
      <w:r>
        <w:rPr>
          <w:rFonts w:ascii="Arabic Transparent" w:hAnsi="Arabic Transparent" w:cs="Arabic Transparent"/>
          <w:sz w:val="28"/>
          <w:szCs w:val="28"/>
          <w:rtl/>
          <w:lang w:bidi="ar-JO"/>
        </w:rPr>
        <w:t xml:space="preserve">     </w:t>
      </w:r>
      <w:r w:rsidR="00201DD5" w:rsidRPr="00201DD5">
        <w:rPr>
          <w:rFonts w:ascii="Arabic Transparent" w:hAnsi="Arabic Transparent" w:cs="Arabic Transparent"/>
          <w:sz w:val="28"/>
          <w:szCs w:val="28"/>
          <w:rtl/>
          <w:lang w:bidi="ar-JO"/>
        </w:rPr>
        <w:t xml:space="preserve">وبالمحصلة فإنَّ وجه التفاوت يظهر حسب نوع الدراسة أو الخدمة الطبية، والجهة المقدمة، والمدة، والقدر، والوصف الذي يمنع التنازع؛ لأنَّ الجهالة الفاحشة في المنفعة تؤدي إلى فساد </w:t>
      </w:r>
      <w:r w:rsidR="00201DD5" w:rsidRPr="00201DD5">
        <w:rPr>
          <w:rFonts w:ascii="Arabic Transparent" w:hAnsi="Arabic Transparent" w:cs="Arabic Transparent"/>
          <w:sz w:val="28"/>
          <w:szCs w:val="28"/>
          <w:rtl/>
          <w:lang w:bidi="ar-JO"/>
        </w:rPr>
        <w:lastRenderedPageBreak/>
        <w:t xml:space="preserve">العقد، والذي يلاحظ أن بعض فتاوى التحريم، لم تقف على حالة بعينها لتحقيق المناط الخاص وتغلب جانب </w:t>
      </w:r>
    </w:p>
    <w:p w14:paraId="3EE72884" w14:textId="77777777" w:rsidR="00F900EE" w:rsidRDefault="00F900EE">
      <w:pPr>
        <w:bidi w:val="0"/>
        <w:spacing w:after="0" w:line="240" w:lineRule="auto"/>
        <w:rPr>
          <w:rFonts w:ascii="Arabic Transparent" w:hAnsi="Arabic Transparent" w:cs="Arabic Transparent"/>
          <w:sz w:val="28"/>
          <w:szCs w:val="28"/>
          <w:rtl/>
          <w:lang w:bidi="ar-JO"/>
        </w:rPr>
      </w:pPr>
      <w:r>
        <w:rPr>
          <w:rFonts w:ascii="Arabic Transparent" w:hAnsi="Arabic Transparent" w:cs="Arabic Transparent"/>
          <w:sz w:val="28"/>
          <w:szCs w:val="28"/>
          <w:rtl/>
          <w:lang w:bidi="ar-JO"/>
        </w:rPr>
        <w:br w:type="page"/>
      </w:r>
    </w:p>
    <w:p w14:paraId="2A7314F4" w14:textId="24B495E5" w:rsidR="00201DD5" w:rsidRPr="00201DD5" w:rsidRDefault="00201DD5" w:rsidP="00201DD5">
      <w:pPr>
        <w:spacing w:line="360" w:lineRule="auto"/>
        <w:jc w:val="both"/>
        <w:rPr>
          <w:rFonts w:ascii="Arabic Transparent" w:hAnsi="Arabic Transparent" w:cs="Arabic Transparent"/>
          <w:sz w:val="28"/>
          <w:szCs w:val="28"/>
          <w:rtl/>
          <w:lang w:bidi="ar-JO"/>
        </w:rPr>
      </w:pPr>
      <w:r w:rsidRPr="00201DD5">
        <w:rPr>
          <w:rFonts w:ascii="Arabic Transparent" w:hAnsi="Arabic Transparent" w:cs="Arabic Transparent"/>
          <w:sz w:val="28"/>
          <w:szCs w:val="28"/>
          <w:rtl/>
          <w:lang w:bidi="ar-JO"/>
        </w:rPr>
        <w:t>التحريم بين الأوصاف المتفاوتة، تبعاً لتنزيل الحكم على واقعة تطبيقية</w:t>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vertAlign w:val="superscript"/>
          <w:rtl/>
          <w:lang w:bidi="ar-JO"/>
        </w:rPr>
        <w:footnoteReference w:id="814"/>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rtl/>
          <w:lang w:bidi="ar-JO"/>
        </w:rPr>
        <w:t xml:space="preserve">، ويمكن بيان وجه التفاوت في جانبين كما يأتي: </w:t>
      </w:r>
    </w:p>
    <w:p w14:paraId="1BF78F16" w14:textId="17CA05C0" w:rsidR="00201DD5" w:rsidRPr="00201DD5" w:rsidRDefault="00201DD5" w:rsidP="00201DD5">
      <w:pPr>
        <w:widowControl w:val="0"/>
        <w:autoSpaceDE w:val="0"/>
        <w:autoSpaceDN w:val="0"/>
        <w:adjustRightInd w:val="0"/>
        <w:spacing w:after="0" w:line="360" w:lineRule="auto"/>
        <w:contextualSpacing/>
        <w:jc w:val="both"/>
        <w:rPr>
          <w:rFonts w:ascii="Arabic Transparent" w:hAnsi="Arabic Transparent" w:cs="Arabic Transparent"/>
          <w:b/>
          <w:bCs/>
          <w:sz w:val="28"/>
          <w:szCs w:val="28"/>
          <w:rtl/>
          <w:lang w:bidi="ar-JO"/>
        </w:rPr>
      </w:pPr>
      <w:r w:rsidRPr="00201DD5">
        <w:rPr>
          <w:rFonts w:ascii="Arabic Transparent" w:hAnsi="Arabic Transparent" w:cs="Arabic Transparent"/>
          <w:b/>
          <w:bCs/>
          <w:sz w:val="28"/>
          <w:szCs w:val="28"/>
          <w:rtl/>
          <w:lang w:bidi="ar-JO"/>
        </w:rPr>
        <w:t>أولاً: تفاوت في الحكم يعود للواقعة</w:t>
      </w:r>
      <w:r w:rsidR="00151AED">
        <w:rPr>
          <w:rFonts w:ascii="Arabic Transparent" w:hAnsi="Arabic Transparent" w:cs="Arabic Transparent"/>
          <w:b/>
          <w:bCs/>
          <w:sz w:val="28"/>
          <w:szCs w:val="28"/>
          <w:rtl/>
          <w:lang w:bidi="ar-JO"/>
        </w:rPr>
        <w:t xml:space="preserve">: </w:t>
      </w:r>
    </w:p>
    <w:p w14:paraId="03390C8C" w14:textId="322E745E" w:rsidR="00201DD5" w:rsidRPr="00201DD5" w:rsidRDefault="005D7B91" w:rsidP="00201DD5">
      <w:pPr>
        <w:widowControl w:val="0"/>
        <w:autoSpaceDE w:val="0"/>
        <w:autoSpaceDN w:val="0"/>
        <w:adjustRightInd w:val="0"/>
        <w:spacing w:after="0" w:line="360" w:lineRule="auto"/>
        <w:contextualSpacing/>
        <w:jc w:val="both"/>
        <w:rPr>
          <w:rFonts w:ascii="Arabic Transparent" w:hAnsi="Arabic Transparent" w:cs="Arabic Transparent"/>
          <w:sz w:val="28"/>
          <w:szCs w:val="28"/>
          <w:rtl/>
          <w:lang w:bidi="ar-JO"/>
        </w:rPr>
      </w:pPr>
      <w:r>
        <w:rPr>
          <w:rFonts w:ascii="Arabic Transparent" w:hAnsi="Arabic Transparent" w:cs="Arabic Transparent"/>
          <w:b/>
          <w:bCs/>
          <w:sz w:val="28"/>
          <w:szCs w:val="28"/>
          <w:rtl/>
          <w:lang w:bidi="ar-JO"/>
        </w:rPr>
        <w:t xml:space="preserve">     </w:t>
      </w:r>
      <w:r w:rsidR="00201DD5" w:rsidRPr="00201DD5">
        <w:rPr>
          <w:rFonts w:ascii="Arabic Transparent" w:hAnsi="Arabic Transparent" w:cs="Arabic Transparent"/>
          <w:sz w:val="28"/>
          <w:szCs w:val="28"/>
          <w:rtl/>
          <w:lang w:bidi="ar-JO"/>
        </w:rPr>
        <w:t>من التفاوت الذي يؤثر في الحكم ما يعود إلى الواقعة، وهو كما يأتي:</w:t>
      </w:r>
    </w:p>
    <w:p w14:paraId="3EA30A43" w14:textId="77777777" w:rsidR="00201DD5" w:rsidRPr="00201DD5" w:rsidRDefault="00201DD5" w:rsidP="00201DD5">
      <w:pPr>
        <w:widowControl w:val="0"/>
        <w:autoSpaceDE w:val="0"/>
        <w:autoSpaceDN w:val="0"/>
        <w:adjustRightInd w:val="0"/>
        <w:spacing w:after="0" w:line="360" w:lineRule="auto"/>
        <w:contextualSpacing/>
        <w:jc w:val="both"/>
        <w:rPr>
          <w:rFonts w:ascii="Arabic Transparent" w:hAnsi="Arabic Transparent" w:cs="Arabic Transparent"/>
          <w:sz w:val="28"/>
          <w:szCs w:val="28"/>
          <w:rtl/>
          <w:lang w:bidi="ar-JO"/>
        </w:rPr>
      </w:pPr>
      <w:r w:rsidRPr="00201DD5">
        <w:rPr>
          <w:rFonts w:ascii="Arabic Transparent" w:hAnsi="Arabic Transparent" w:cs="Arabic Transparent"/>
          <w:sz w:val="28"/>
          <w:szCs w:val="28"/>
          <w:rtl/>
          <w:lang w:bidi="ar-JO"/>
        </w:rPr>
        <w:t>1-</w:t>
      </w:r>
      <w:r w:rsidRPr="00201DD5">
        <w:rPr>
          <w:rFonts w:ascii="Arabic Transparent" w:hAnsi="Arabic Transparent" w:cs="Arabic Transparent"/>
          <w:b/>
          <w:bCs/>
          <w:sz w:val="28"/>
          <w:szCs w:val="28"/>
          <w:rtl/>
          <w:lang w:bidi="ar-JO"/>
        </w:rPr>
        <w:t xml:space="preserve"> </w:t>
      </w:r>
      <w:r w:rsidRPr="00201DD5">
        <w:rPr>
          <w:rFonts w:ascii="Arabic Transparent" w:hAnsi="Arabic Transparent" w:cs="Arabic Transparent"/>
          <w:sz w:val="28"/>
          <w:szCs w:val="28"/>
          <w:rtl/>
          <w:lang w:bidi="ar-JO"/>
        </w:rPr>
        <w:t>إنَّ تغيّر صورة العقد مؤثر في الحكم:</w:t>
      </w:r>
      <w:r w:rsidRPr="00201DD5">
        <w:rPr>
          <w:rFonts w:ascii="Arabic Transparent" w:hAnsi="Arabic Transparent" w:cs="Arabic Transparent"/>
          <w:b/>
          <w:bCs/>
          <w:sz w:val="28"/>
          <w:szCs w:val="28"/>
          <w:rtl/>
          <w:lang w:bidi="ar-JO"/>
        </w:rPr>
        <w:t xml:space="preserve"> </w:t>
      </w:r>
      <w:r w:rsidRPr="00201DD5">
        <w:rPr>
          <w:rFonts w:ascii="Arabic Transparent" w:hAnsi="Arabic Transparent" w:cs="Arabic Transparent"/>
          <w:sz w:val="28"/>
          <w:szCs w:val="28"/>
          <w:rtl/>
          <w:lang w:bidi="ar-JO"/>
        </w:rPr>
        <w:t>فإن صورة تمويل الخدمات والمنافع في المصارف الإسلامية لا تأخذ شكلاً واحداً، إنما لها صور متعدد، ولكل صورة حكم مختلف عن الآخر، فيجدر في الدراسات الحديثة أن تكون دراسة لحالة محددة، فيقال: المصرف الفلاني أنموذجاً</w:t>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vertAlign w:val="superscript"/>
          <w:rtl/>
          <w:lang w:bidi="ar-JO"/>
        </w:rPr>
        <w:footnoteReference w:id="815"/>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rtl/>
          <w:lang w:bidi="ar-JO"/>
        </w:rPr>
        <w:t>.</w:t>
      </w:r>
    </w:p>
    <w:p w14:paraId="0FCD770D" w14:textId="6A0EA708" w:rsidR="00201DD5" w:rsidRPr="00201DD5" w:rsidRDefault="00201DD5" w:rsidP="004E02F5">
      <w:pPr>
        <w:widowControl w:val="0"/>
        <w:autoSpaceDE w:val="0"/>
        <w:autoSpaceDN w:val="0"/>
        <w:adjustRightInd w:val="0"/>
        <w:spacing w:after="0" w:line="360" w:lineRule="auto"/>
        <w:contextualSpacing/>
        <w:jc w:val="both"/>
        <w:rPr>
          <w:rFonts w:ascii="Arabic Transparent" w:hAnsi="Arabic Transparent" w:cs="Arabic Transparent"/>
          <w:sz w:val="28"/>
          <w:szCs w:val="28"/>
          <w:rtl/>
          <w:lang w:bidi="ar-JO"/>
        </w:rPr>
      </w:pPr>
      <w:r w:rsidRPr="00201DD5">
        <w:rPr>
          <w:rFonts w:ascii="Arabic Transparent" w:hAnsi="Arabic Transparent" w:cs="Arabic Transparent"/>
          <w:sz w:val="28"/>
          <w:szCs w:val="28"/>
          <w:rtl/>
          <w:lang w:bidi="ar-JO"/>
        </w:rPr>
        <w:t>2-</w:t>
      </w:r>
      <w:r w:rsidRPr="00201DD5">
        <w:rPr>
          <w:rFonts w:ascii="Arabic Transparent" w:hAnsi="Arabic Transparent" w:cs="Arabic Transparent"/>
          <w:b/>
          <w:bCs/>
          <w:sz w:val="28"/>
          <w:szCs w:val="28"/>
          <w:rtl/>
          <w:lang w:bidi="ar-JO"/>
        </w:rPr>
        <w:t xml:space="preserve"> </w:t>
      </w:r>
      <w:r w:rsidRPr="00201DD5">
        <w:rPr>
          <w:rFonts w:ascii="Arabic Transparent" w:hAnsi="Arabic Transparent" w:cs="Arabic Transparent"/>
          <w:sz w:val="28"/>
          <w:szCs w:val="28"/>
          <w:rtl/>
          <w:lang w:bidi="ar-JO"/>
        </w:rPr>
        <w:t>الاختلاف في درجة ضبط المنفعة، فمن كيَّف المسألة على أنها إجارة موصوفة في الذمة شرط أن تكون الأوصاف موصوفة بوصف يمنع الجهالة والنزاع، وأن تكون المنفعة المباعة متقومة شرعاً وعرفاً</w:t>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vertAlign w:val="superscript"/>
          <w:rtl/>
          <w:lang w:bidi="ar-JO"/>
        </w:rPr>
        <w:footnoteReference w:id="816"/>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rtl/>
          <w:lang w:bidi="ar-JO"/>
        </w:rPr>
        <w:t>.</w:t>
      </w:r>
    </w:p>
    <w:p w14:paraId="1A287DFA" w14:textId="64850AD4" w:rsidR="00201DD5" w:rsidRPr="00201DD5" w:rsidRDefault="00201DD5" w:rsidP="00AE633A">
      <w:pPr>
        <w:widowControl w:val="0"/>
        <w:autoSpaceDE w:val="0"/>
        <w:autoSpaceDN w:val="0"/>
        <w:adjustRightInd w:val="0"/>
        <w:spacing w:after="0" w:line="360" w:lineRule="auto"/>
        <w:contextualSpacing/>
        <w:jc w:val="both"/>
        <w:rPr>
          <w:rFonts w:ascii="Arabic Transparent" w:hAnsi="Arabic Transparent" w:cs="Arabic Transparent"/>
          <w:sz w:val="28"/>
          <w:szCs w:val="28"/>
          <w:rtl/>
          <w:lang w:bidi="ar-JO"/>
        </w:rPr>
      </w:pPr>
      <w:r w:rsidRPr="00201DD5">
        <w:rPr>
          <w:rFonts w:ascii="Arabic Transparent" w:hAnsi="Arabic Transparent" w:cs="Arabic Transparent"/>
          <w:sz w:val="28"/>
          <w:szCs w:val="28"/>
          <w:rtl/>
          <w:lang w:bidi="ar-JO"/>
        </w:rPr>
        <w:t>3- التباين في صحة تمويل الخدمات والمنافع بعقد المرابحة للآمر بالشراء، والتَّورُّق المنظم، فمن لم يجز هذه العقود كون المعاملة أصبحت ساتراً لعملية الإقراض الربوي في نظره، حرم إجراء العقد مطلقاً</w:t>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vertAlign w:val="superscript"/>
          <w:rtl/>
          <w:lang w:bidi="ar-JO"/>
        </w:rPr>
        <w:footnoteReference w:id="817"/>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rtl/>
          <w:lang w:bidi="ar-JO"/>
        </w:rPr>
        <w:t xml:space="preserve"> بالمقابل رجح الفريق الآخر إمكان تصحيح العقود والتفريج على الناس في بيع المنافع والخدمات التي تتعلق بالتعليم والعلاج والتنقل وغيرها</w:t>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vertAlign w:val="superscript"/>
          <w:rtl/>
          <w:lang w:bidi="ar-JO"/>
        </w:rPr>
        <w:footnoteReference w:id="818"/>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rtl/>
          <w:lang w:bidi="ar-JO"/>
        </w:rPr>
        <w:t>.</w:t>
      </w:r>
    </w:p>
    <w:p w14:paraId="683D811A" w14:textId="77777777" w:rsidR="00F900EE" w:rsidRDefault="00201DD5" w:rsidP="00201DD5">
      <w:pPr>
        <w:widowControl w:val="0"/>
        <w:autoSpaceDE w:val="0"/>
        <w:autoSpaceDN w:val="0"/>
        <w:adjustRightInd w:val="0"/>
        <w:spacing w:after="0" w:line="360" w:lineRule="auto"/>
        <w:contextualSpacing/>
        <w:jc w:val="both"/>
        <w:rPr>
          <w:rFonts w:ascii="Arabic Transparent" w:hAnsi="Arabic Transparent" w:cs="Arabic Transparent"/>
          <w:sz w:val="28"/>
          <w:szCs w:val="28"/>
          <w:rtl/>
          <w:lang w:bidi="ar-JO"/>
        </w:rPr>
      </w:pPr>
      <w:r w:rsidRPr="00201DD5">
        <w:rPr>
          <w:rFonts w:ascii="Arabic Transparent" w:hAnsi="Arabic Transparent" w:cs="Arabic Transparent"/>
          <w:sz w:val="28"/>
          <w:szCs w:val="28"/>
          <w:rtl/>
          <w:lang w:bidi="ar-JO"/>
        </w:rPr>
        <w:t>4- الاختلاف في بعض الشروط التابعة، مثل الوعد الملزم</w:t>
      </w:r>
      <w:r w:rsidR="005D7B91">
        <w:rPr>
          <w:rFonts w:ascii="Arabic Transparent" w:hAnsi="Arabic Transparent" w:cs="Arabic Transparent"/>
          <w:sz w:val="28"/>
          <w:szCs w:val="28"/>
          <w:rtl/>
          <w:lang w:bidi="ar-JO"/>
        </w:rPr>
        <w:t xml:space="preserve">، </w:t>
      </w:r>
      <w:r w:rsidRPr="00201DD5">
        <w:rPr>
          <w:rFonts w:ascii="Arabic Transparent" w:hAnsi="Arabic Transparent" w:cs="Arabic Transparent"/>
          <w:sz w:val="28"/>
          <w:szCs w:val="28"/>
          <w:rtl/>
          <w:lang w:bidi="ar-JO"/>
        </w:rPr>
        <w:t xml:space="preserve">وغرامات التأخير على السداد، وعدم دفع العميل مقدماً قبل تملك البنك للخدمة، وغيرها من الشروط التابعة للمعاملة، من الأسباب التي </w:t>
      </w:r>
    </w:p>
    <w:p w14:paraId="6F0B0BCA" w14:textId="77777777" w:rsidR="00F900EE" w:rsidRDefault="00F900EE">
      <w:pPr>
        <w:bidi w:val="0"/>
        <w:spacing w:after="0" w:line="240" w:lineRule="auto"/>
        <w:rPr>
          <w:rFonts w:ascii="Arabic Transparent" w:hAnsi="Arabic Transparent" w:cs="Arabic Transparent"/>
          <w:sz w:val="28"/>
          <w:szCs w:val="28"/>
          <w:rtl/>
          <w:lang w:bidi="ar-JO"/>
        </w:rPr>
      </w:pPr>
      <w:r>
        <w:rPr>
          <w:rFonts w:ascii="Arabic Transparent" w:hAnsi="Arabic Transparent" w:cs="Arabic Transparent"/>
          <w:sz w:val="28"/>
          <w:szCs w:val="28"/>
          <w:rtl/>
          <w:lang w:bidi="ar-JO"/>
        </w:rPr>
        <w:br w:type="page"/>
      </w:r>
    </w:p>
    <w:p w14:paraId="1E759A0B" w14:textId="1A8EB038" w:rsidR="00201DD5" w:rsidRPr="00201DD5" w:rsidRDefault="00201DD5" w:rsidP="00201DD5">
      <w:pPr>
        <w:widowControl w:val="0"/>
        <w:autoSpaceDE w:val="0"/>
        <w:autoSpaceDN w:val="0"/>
        <w:adjustRightInd w:val="0"/>
        <w:spacing w:after="0" w:line="360" w:lineRule="auto"/>
        <w:contextualSpacing/>
        <w:jc w:val="both"/>
        <w:rPr>
          <w:rFonts w:ascii="Arabic Transparent" w:hAnsi="Arabic Transparent" w:cs="Arabic Transparent"/>
          <w:sz w:val="28"/>
          <w:szCs w:val="28"/>
          <w:rtl/>
          <w:lang w:bidi="ar-JO"/>
        </w:rPr>
      </w:pPr>
      <w:r w:rsidRPr="00201DD5">
        <w:rPr>
          <w:rFonts w:ascii="Arabic Transparent" w:hAnsi="Arabic Transparent" w:cs="Arabic Transparent"/>
          <w:sz w:val="28"/>
          <w:szCs w:val="28"/>
          <w:rtl/>
          <w:lang w:bidi="ar-JO"/>
        </w:rPr>
        <w:t>أدت إلى حدوث التفاوت والتي تحتاج إلى نظر خاص في كل جزئية، يقول ابن تيمية:</w:t>
      </w:r>
      <w:r w:rsidR="00151AED">
        <w:rPr>
          <w:rFonts w:ascii="Arabic Transparent" w:hAnsi="Arabic Transparent" w:cs="Arabic Transparent"/>
          <w:sz w:val="28"/>
          <w:szCs w:val="28"/>
          <w:rtl/>
          <w:lang w:bidi="ar-JO"/>
        </w:rPr>
        <w:t xml:space="preserve"> "</w:t>
      </w:r>
      <w:r w:rsidRPr="00201DD5">
        <w:rPr>
          <w:rFonts w:ascii="Arabic Transparent" w:hAnsi="Arabic Transparent" w:cs="Arabic Transparent"/>
          <w:sz w:val="28"/>
          <w:szCs w:val="28"/>
          <w:rtl/>
          <w:lang w:bidi="ar-JO"/>
        </w:rPr>
        <w:t>لكل مسألة ‌نظر ‌خاص، فمحال أن يحكم في جميع المسائل بحكم واحد"</w:t>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vertAlign w:val="superscript"/>
          <w:rtl/>
          <w:lang w:bidi="ar-JO"/>
        </w:rPr>
        <w:footnoteReference w:id="819"/>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rtl/>
          <w:lang w:bidi="ar-JO"/>
        </w:rPr>
        <w:t>.</w:t>
      </w:r>
    </w:p>
    <w:p w14:paraId="20A350A5" w14:textId="77777777" w:rsidR="00201DD5" w:rsidRPr="00201DD5" w:rsidRDefault="00201DD5" w:rsidP="00201DD5">
      <w:pPr>
        <w:widowControl w:val="0"/>
        <w:autoSpaceDE w:val="0"/>
        <w:autoSpaceDN w:val="0"/>
        <w:adjustRightInd w:val="0"/>
        <w:spacing w:after="0" w:line="360" w:lineRule="auto"/>
        <w:contextualSpacing/>
        <w:jc w:val="both"/>
        <w:rPr>
          <w:rFonts w:ascii="Arabic Transparent" w:hAnsi="Arabic Transparent" w:cs="Arabic Transparent"/>
          <w:sz w:val="28"/>
          <w:szCs w:val="28"/>
          <w:rtl/>
          <w:lang w:bidi="ar-JO"/>
        </w:rPr>
      </w:pPr>
      <w:r w:rsidRPr="00201DD5">
        <w:rPr>
          <w:rFonts w:ascii="Arabic Transparent" w:hAnsi="Arabic Transparent" w:cs="Arabic Transparent"/>
          <w:sz w:val="28"/>
          <w:szCs w:val="28"/>
          <w:rtl/>
          <w:lang w:bidi="ar-JO"/>
        </w:rPr>
        <w:t xml:space="preserve"> فإذا فعلها يكون قد خالف مقصد الشارع الحكيم في التقدير والاجتهاد.</w:t>
      </w:r>
    </w:p>
    <w:p w14:paraId="345989B5" w14:textId="77777777" w:rsidR="00201DD5" w:rsidRPr="00201DD5" w:rsidRDefault="00201DD5" w:rsidP="00201DD5">
      <w:pPr>
        <w:widowControl w:val="0"/>
        <w:autoSpaceDE w:val="0"/>
        <w:autoSpaceDN w:val="0"/>
        <w:adjustRightInd w:val="0"/>
        <w:spacing w:after="0" w:line="360" w:lineRule="auto"/>
        <w:contextualSpacing/>
        <w:jc w:val="both"/>
        <w:rPr>
          <w:rFonts w:ascii="Arabic Transparent" w:hAnsi="Arabic Transparent" w:cs="Arabic Transparent"/>
          <w:b/>
          <w:bCs/>
          <w:sz w:val="28"/>
          <w:szCs w:val="28"/>
          <w:rtl/>
          <w:lang w:bidi="ar-JO"/>
        </w:rPr>
      </w:pPr>
      <w:r w:rsidRPr="00201DD5">
        <w:rPr>
          <w:rFonts w:ascii="Arabic Transparent" w:hAnsi="Arabic Transparent" w:cs="Arabic Transparent"/>
          <w:b/>
          <w:bCs/>
          <w:sz w:val="28"/>
          <w:szCs w:val="28"/>
          <w:rtl/>
          <w:lang w:bidi="ar-JO"/>
        </w:rPr>
        <w:t>ثانياً: تفاوت في الحكم يعود للاجتهاد ومناهجه:</w:t>
      </w:r>
    </w:p>
    <w:p w14:paraId="6A04AE55" w14:textId="2DD84D85" w:rsidR="00201DD5" w:rsidRPr="00201DD5" w:rsidRDefault="005D7B91" w:rsidP="00201DD5">
      <w:pPr>
        <w:widowControl w:val="0"/>
        <w:autoSpaceDE w:val="0"/>
        <w:autoSpaceDN w:val="0"/>
        <w:adjustRightInd w:val="0"/>
        <w:spacing w:after="0" w:line="360" w:lineRule="auto"/>
        <w:contextualSpacing/>
        <w:jc w:val="both"/>
        <w:rPr>
          <w:rFonts w:ascii="Arabic Transparent" w:hAnsi="Arabic Transparent" w:cs="Arabic Transparent"/>
          <w:sz w:val="28"/>
          <w:szCs w:val="28"/>
          <w:rtl/>
          <w:lang w:bidi="ar-JO"/>
        </w:rPr>
      </w:pPr>
      <w:r>
        <w:rPr>
          <w:rFonts w:ascii="Arabic Transparent" w:hAnsi="Arabic Transparent" w:cs="Arabic Transparent"/>
          <w:sz w:val="28"/>
          <w:szCs w:val="28"/>
          <w:rtl/>
          <w:lang w:bidi="ar-JO"/>
        </w:rPr>
        <w:t xml:space="preserve">     </w:t>
      </w:r>
      <w:r w:rsidR="00201DD5" w:rsidRPr="00201DD5">
        <w:rPr>
          <w:rFonts w:ascii="Arabic Transparent" w:hAnsi="Arabic Transparent" w:cs="Arabic Transparent"/>
          <w:sz w:val="28"/>
          <w:szCs w:val="28"/>
          <w:rtl/>
          <w:lang w:bidi="ar-JO"/>
        </w:rPr>
        <w:t>من التفاوت الذي يؤثر في الحكم ما يعود إلى الاجتهاد ومناهجه، وهو كما يأتي:</w:t>
      </w:r>
    </w:p>
    <w:p w14:paraId="50A0DAF4" w14:textId="620447FC" w:rsidR="00201DD5" w:rsidRPr="00201DD5" w:rsidRDefault="00201DD5" w:rsidP="004E02F5">
      <w:pPr>
        <w:widowControl w:val="0"/>
        <w:autoSpaceDE w:val="0"/>
        <w:autoSpaceDN w:val="0"/>
        <w:adjustRightInd w:val="0"/>
        <w:spacing w:after="0" w:line="360" w:lineRule="auto"/>
        <w:contextualSpacing/>
        <w:jc w:val="both"/>
        <w:rPr>
          <w:rFonts w:ascii="Arabic Transparent" w:hAnsi="Arabic Transparent" w:cs="Arabic Transparent"/>
          <w:sz w:val="28"/>
          <w:szCs w:val="28"/>
          <w:rtl/>
          <w:lang w:bidi="ar-JO"/>
        </w:rPr>
      </w:pPr>
      <w:r w:rsidRPr="00201DD5">
        <w:rPr>
          <w:rFonts w:ascii="Arabic Transparent" w:hAnsi="Arabic Transparent" w:cs="Arabic Transparent"/>
          <w:sz w:val="28"/>
          <w:szCs w:val="28"/>
          <w:rtl/>
          <w:lang w:bidi="ar-JO"/>
        </w:rPr>
        <w:t>1-تباين في التكييف الفقهي، حيث يرى فريق من المجتهدين المعاصرين أنها منفعة متقومة، يجوز جريان عقد الإجارة بها إذا كانت مؤقتة بزمن طويل، وإجراء عقد المرابحة أيضاً، إذا كانت غير مرتبطة بزمن، وإجراء عقد التَّورُّق أيضاً لمن يرى جوازه بضوابط، والفريق الآخر ذهب إلى التحريم؛ لتكييف المعاملة على أنها قرض جرّ منفعة؛ ولأن المنافع لا ترتبط بها العقود كالأعيان</w:t>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vertAlign w:val="superscript"/>
          <w:rtl/>
          <w:lang w:bidi="ar-JO"/>
        </w:rPr>
        <w:footnoteReference w:id="820"/>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rtl/>
          <w:lang w:bidi="ar-JO"/>
        </w:rPr>
        <w:t>.</w:t>
      </w:r>
    </w:p>
    <w:p w14:paraId="578C81B8" w14:textId="594A84B5" w:rsidR="00201DD5" w:rsidRPr="00201DD5" w:rsidRDefault="00201DD5" w:rsidP="004E02F5">
      <w:pPr>
        <w:widowControl w:val="0"/>
        <w:autoSpaceDE w:val="0"/>
        <w:autoSpaceDN w:val="0"/>
        <w:adjustRightInd w:val="0"/>
        <w:spacing w:after="0" w:line="360" w:lineRule="auto"/>
        <w:contextualSpacing/>
        <w:jc w:val="both"/>
        <w:rPr>
          <w:rFonts w:ascii="Arabic Transparent" w:hAnsi="Arabic Transparent" w:cs="Arabic Transparent"/>
          <w:sz w:val="28"/>
          <w:szCs w:val="28"/>
          <w:rtl/>
          <w:lang w:bidi="ar-JO"/>
        </w:rPr>
      </w:pPr>
      <w:r w:rsidRPr="00201DD5">
        <w:rPr>
          <w:rFonts w:ascii="Arabic Transparent" w:hAnsi="Arabic Transparent" w:cs="Arabic Transparent"/>
          <w:sz w:val="28"/>
          <w:szCs w:val="28"/>
          <w:rtl/>
          <w:lang w:bidi="ar-JO"/>
        </w:rPr>
        <w:t>2- الاختلاف في اعتبار الألفاظ والمعاني: حيث صرحت دار الإفتاء المصرية عن منهجها في العقود المستحدثة، فقالت: "إنَّ العبرة في العقود المستحدثة بالضوابط والشروط والغايات، لا بمجرد الألفاظ والمباني"</w:t>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vertAlign w:val="superscript"/>
          <w:rtl/>
          <w:lang w:bidi="ar-JO"/>
        </w:rPr>
        <w:footnoteReference w:id="821"/>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rtl/>
          <w:lang w:bidi="ar-JO"/>
        </w:rPr>
        <w:t>، وهذا يفسر لماذا لا يكتفي بعض المفتين باسم "مرابحة" أو "إجارة" حتى يتحققوا من تفاصيل العلاقة التعاقدية، من خلال تحقيق المناط وتنزيل الحكم على صوره الفرعية المعاصرة، وهذه المنهجية العلمية الموضوعية الذي يجب أن يتحلى بها جميع الباحثين في القضايا المالية المعاصرة.</w:t>
      </w:r>
    </w:p>
    <w:p w14:paraId="194E2FBE" w14:textId="77777777" w:rsidR="00F900EE" w:rsidRDefault="00201DD5" w:rsidP="00201DD5">
      <w:pPr>
        <w:widowControl w:val="0"/>
        <w:autoSpaceDE w:val="0"/>
        <w:autoSpaceDN w:val="0"/>
        <w:adjustRightInd w:val="0"/>
        <w:spacing w:after="0" w:line="360" w:lineRule="auto"/>
        <w:contextualSpacing/>
        <w:jc w:val="both"/>
        <w:rPr>
          <w:rFonts w:ascii="Arabic Transparent" w:hAnsi="Arabic Transparent" w:cs="Arabic Transparent"/>
          <w:sz w:val="28"/>
          <w:szCs w:val="28"/>
          <w:rtl/>
          <w:lang w:bidi="ar-JO"/>
        </w:rPr>
      </w:pPr>
      <w:r w:rsidRPr="00201DD5">
        <w:rPr>
          <w:rFonts w:ascii="Arabic Transparent" w:hAnsi="Arabic Transparent" w:cs="Arabic Transparent"/>
          <w:sz w:val="28"/>
          <w:szCs w:val="28"/>
          <w:rtl/>
          <w:lang w:bidi="ar-JO"/>
        </w:rPr>
        <w:t xml:space="preserve">3- الاختلاف في درجة الاحتياط في أبواب الربا ومتى تُسد ذرائعه، فإنَّ الجهة المانعة لهذه المعاملة، متى رأت ضعف الصلة بين الممول والخدمة تخشى انقلاب المعاملة إلى قرض بزيادة، بينما تُوسع الجهة المُجيزة دائرة تخريج "إذا أمكن ضبط المنفعة وإدخالها في عقد إجارة </w:t>
      </w:r>
      <w:r w:rsidRPr="00201DD5">
        <w:rPr>
          <w:rFonts w:ascii="Arabic Transparent" w:hAnsi="Arabic Transparent" w:cs="Arabic Transparent"/>
          <w:sz w:val="28"/>
          <w:szCs w:val="28"/>
          <w:rtl/>
          <w:lang w:bidi="ar-JO"/>
        </w:rPr>
        <w:lastRenderedPageBreak/>
        <w:t>صحيح"</w:t>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vertAlign w:val="superscript"/>
          <w:rtl/>
          <w:lang w:bidi="ar-JO"/>
        </w:rPr>
        <w:footnoteReference w:id="822"/>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rtl/>
          <w:lang w:bidi="ar-JO"/>
        </w:rPr>
        <w:t xml:space="preserve">، أو تكييف </w:t>
      </w:r>
    </w:p>
    <w:p w14:paraId="40D4DF17" w14:textId="77777777" w:rsidR="00F900EE" w:rsidRDefault="00F900EE">
      <w:pPr>
        <w:bidi w:val="0"/>
        <w:spacing w:after="0" w:line="240" w:lineRule="auto"/>
        <w:rPr>
          <w:rFonts w:ascii="Arabic Transparent" w:hAnsi="Arabic Transparent" w:cs="Arabic Transparent"/>
          <w:sz w:val="28"/>
          <w:szCs w:val="28"/>
          <w:rtl/>
          <w:lang w:bidi="ar-JO"/>
        </w:rPr>
      </w:pPr>
      <w:r>
        <w:rPr>
          <w:rFonts w:ascii="Arabic Transparent" w:hAnsi="Arabic Transparent" w:cs="Arabic Transparent"/>
          <w:sz w:val="28"/>
          <w:szCs w:val="28"/>
          <w:rtl/>
          <w:lang w:bidi="ar-JO"/>
        </w:rPr>
        <w:br w:type="page"/>
      </w:r>
    </w:p>
    <w:p w14:paraId="44595107" w14:textId="678A5467" w:rsidR="00201DD5" w:rsidRPr="00201DD5" w:rsidRDefault="00201DD5" w:rsidP="00201DD5">
      <w:pPr>
        <w:widowControl w:val="0"/>
        <w:autoSpaceDE w:val="0"/>
        <w:autoSpaceDN w:val="0"/>
        <w:adjustRightInd w:val="0"/>
        <w:spacing w:after="0" w:line="360" w:lineRule="auto"/>
        <w:contextualSpacing/>
        <w:jc w:val="both"/>
        <w:rPr>
          <w:rFonts w:ascii="Arabic Transparent" w:hAnsi="Arabic Transparent" w:cs="Arabic Transparent"/>
          <w:sz w:val="28"/>
          <w:szCs w:val="28"/>
          <w:rtl/>
          <w:lang w:bidi="ar-JO"/>
        </w:rPr>
      </w:pPr>
      <w:r w:rsidRPr="00201DD5">
        <w:rPr>
          <w:rFonts w:ascii="Arabic Transparent" w:hAnsi="Arabic Transparent" w:cs="Arabic Transparent"/>
          <w:sz w:val="28"/>
          <w:szCs w:val="28"/>
          <w:rtl/>
          <w:lang w:bidi="ar-JO"/>
        </w:rPr>
        <w:t>العلاقة التعاقدية بين الأطراف وردها لأي عقد من العقود المعتبرة في الشريعة الإسلامية</w:t>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vertAlign w:val="superscript"/>
          <w:rtl/>
          <w:lang w:bidi="ar-JO"/>
        </w:rPr>
        <w:footnoteReference w:id="823"/>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rtl/>
          <w:lang w:bidi="ar-JO"/>
        </w:rPr>
        <w:t xml:space="preserve">. </w:t>
      </w:r>
    </w:p>
    <w:p w14:paraId="31864393" w14:textId="75AFF785" w:rsidR="00201DD5" w:rsidRPr="00201DD5" w:rsidRDefault="00201DD5" w:rsidP="004E02F5">
      <w:pPr>
        <w:widowControl w:val="0"/>
        <w:autoSpaceDE w:val="0"/>
        <w:autoSpaceDN w:val="0"/>
        <w:adjustRightInd w:val="0"/>
        <w:spacing w:after="0" w:line="360" w:lineRule="auto"/>
        <w:contextualSpacing/>
        <w:jc w:val="both"/>
        <w:rPr>
          <w:rFonts w:ascii="Arabic Transparent" w:hAnsi="Arabic Transparent" w:cs="Arabic Transparent"/>
          <w:sz w:val="28"/>
          <w:szCs w:val="28"/>
          <w:rtl/>
          <w:lang w:bidi="ar-JO"/>
        </w:rPr>
      </w:pPr>
      <w:r w:rsidRPr="00201DD5">
        <w:rPr>
          <w:rFonts w:ascii="Arabic Transparent" w:hAnsi="Arabic Transparent" w:cs="Arabic Transparent"/>
          <w:sz w:val="28"/>
          <w:szCs w:val="28"/>
          <w:rtl/>
          <w:lang w:bidi="ar-JO"/>
        </w:rPr>
        <w:t>4- الاختلاف في توظيف القواعد الكلية للمعاملات المالية، بعض المفتين يُغلّب قاعدة منع الغرر والربا وسد الذريعة إلى القرض المحرم</w:t>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vertAlign w:val="superscript"/>
          <w:rtl/>
          <w:lang w:bidi="ar-JO"/>
        </w:rPr>
        <w:footnoteReference w:id="824"/>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rtl/>
          <w:lang w:bidi="ar-JO"/>
        </w:rPr>
        <w:t>، وبعضهم يغلّب أصل الإباحة في المعاملات مع إمكان تصحيح العقود وتخريجها بما يناسب العلاقة التعاقدية: كالجعالة، أو الإجارة، أو المرابحة</w:t>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vertAlign w:val="superscript"/>
          <w:rtl/>
          <w:lang w:bidi="ar-JO"/>
        </w:rPr>
        <w:footnoteReference w:id="825"/>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rtl/>
          <w:lang w:bidi="ar-JO"/>
        </w:rPr>
        <w:t>.</w:t>
      </w:r>
    </w:p>
    <w:p w14:paraId="36E57C6A" w14:textId="4C27E1AC" w:rsidR="004E02F5" w:rsidRDefault="00201DD5" w:rsidP="00F900EE">
      <w:pPr>
        <w:widowControl w:val="0"/>
        <w:autoSpaceDE w:val="0"/>
        <w:autoSpaceDN w:val="0"/>
        <w:adjustRightInd w:val="0"/>
        <w:spacing w:after="0" w:line="360" w:lineRule="auto"/>
        <w:contextualSpacing/>
        <w:jc w:val="both"/>
        <w:rPr>
          <w:rFonts w:ascii="Arabic Transparent" w:hAnsi="Arabic Transparent" w:cs="Arabic Transparent"/>
          <w:sz w:val="28"/>
          <w:szCs w:val="28"/>
          <w:rtl/>
          <w:lang w:bidi="ar-JO"/>
        </w:rPr>
      </w:pPr>
      <w:r w:rsidRPr="00201DD5">
        <w:rPr>
          <w:rFonts w:ascii="Arabic Transparent" w:hAnsi="Arabic Transparent" w:cs="Arabic Transparent"/>
          <w:sz w:val="28"/>
          <w:szCs w:val="28"/>
          <w:rtl/>
          <w:lang w:bidi="ar-JO"/>
        </w:rPr>
        <w:t>5- إنَّ بعض المجتهدين في دراسات المعاملات المالية، يجد حلاً للإشكالات الشرعية التي تواجه الواقعة الجديدة</w:t>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vertAlign w:val="superscript"/>
          <w:rtl/>
          <w:lang w:bidi="ar-JO"/>
        </w:rPr>
        <w:footnoteReference w:id="826"/>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rtl/>
          <w:lang w:bidi="ar-JO"/>
        </w:rPr>
        <w:t>، والبعض الآخر يمنع المعاملة سداً لذريعة الوقوع في الإشكال الذي واجه المجتهد، فلا يحيل المسألة إلى مجتهد آخر، ولا يقلد غيره من المجتهدين الذي وجدوا حلولاً شرعية، ومخارج فيها تيسير على الناس في جوانب ضرورية مثل: التعليم والعلاج والتنقل.</w:t>
      </w:r>
    </w:p>
    <w:p w14:paraId="58D151BB" w14:textId="77777777" w:rsidR="00201DD5" w:rsidRPr="00201DD5" w:rsidRDefault="00201DD5" w:rsidP="00201DD5">
      <w:pPr>
        <w:widowControl w:val="0"/>
        <w:autoSpaceDE w:val="0"/>
        <w:autoSpaceDN w:val="0"/>
        <w:adjustRightInd w:val="0"/>
        <w:spacing w:after="0" w:line="360" w:lineRule="auto"/>
        <w:contextualSpacing/>
        <w:jc w:val="both"/>
        <w:rPr>
          <w:rFonts w:ascii="Arabic Transparent" w:hAnsi="Arabic Transparent" w:cs="Arabic Transparent"/>
          <w:b/>
          <w:bCs/>
          <w:sz w:val="28"/>
          <w:szCs w:val="28"/>
          <w:rtl/>
          <w:lang w:bidi="ar-JO"/>
        </w:rPr>
      </w:pPr>
      <w:r w:rsidRPr="00201DD5">
        <w:rPr>
          <w:rFonts w:ascii="Arabic Transparent" w:hAnsi="Arabic Transparent" w:cs="Arabic Transparent"/>
          <w:b/>
          <w:bCs/>
          <w:sz w:val="28"/>
          <w:szCs w:val="28"/>
          <w:rtl/>
          <w:lang w:bidi="ar-JO"/>
        </w:rPr>
        <w:t>الفرع الرابع: مراعاة أصول ضبط التفاوت.</w:t>
      </w:r>
    </w:p>
    <w:p w14:paraId="71394CD8" w14:textId="74594438" w:rsidR="00201DD5" w:rsidRPr="00201DD5" w:rsidRDefault="005D7B91" w:rsidP="00201DD5">
      <w:pPr>
        <w:widowControl w:val="0"/>
        <w:autoSpaceDE w:val="0"/>
        <w:autoSpaceDN w:val="0"/>
        <w:adjustRightInd w:val="0"/>
        <w:spacing w:after="0" w:line="360" w:lineRule="auto"/>
        <w:contextualSpacing/>
        <w:jc w:val="both"/>
        <w:rPr>
          <w:rFonts w:ascii="Arabic Transparent" w:hAnsi="Arabic Transparent" w:cs="Arabic Transparent"/>
          <w:sz w:val="28"/>
          <w:szCs w:val="28"/>
          <w:rtl/>
          <w:lang w:bidi="ar-JO"/>
        </w:rPr>
      </w:pPr>
      <w:r>
        <w:rPr>
          <w:rFonts w:ascii="Arabic Transparent" w:hAnsi="Arabic Transparent" w:cs="Arabic Transparent"/>
          <w:sz w:val="28"/>
          <w:szCs w:val="28"/>
          <w:rtl/>
          <w:lang w:bidi="ar-JO"/>
        </w:rPr>
        <w:t xml:space="preserve">     </w:t>
      </w:r>
      <w:r w:rsidR="00201DD5" w:rsidRPr="00201DD5">
        <w:rPr>
          <w:rFonts w:ascii="Arabic Transparent" w:hAnsi="Arabic Transparent" w:cs="Arabic Transparent"/>
          <w:sz w:val="28"/>
          <w:szCs w:val="28"/>
          <w:rtl/>
          <w:lang w:bidi="ar-JO"/>
        </w:rPr>
        <w:t>عند مراعاة أصول ضبط التفاوت التي تم الحديث عنها في الفصل السابق،</w:t>
      </w:r>
      <w:r w:rsidR="00201DD5" w:rsidRPr="00201DD5">
        <w:rPr>
          <w:rFonts w:ascii="Arabic Transparent" w:hAnsi="Arabic Transparent" w:cs="Arabic Transparent"/>
          <w:sz w:val="28"/>
          <w:szCs w:val="28"/>
          <w:vertAlign w:val="superscript"/>
          <w:rtl/>
          <w:lang w:bidi="ar-JO"/>
        </w:rPr>
        <w:t>(</w:t>
      </w:r>
      <w:r w:rsidR="00201DD5" w:rsidRPr="00201DD5">
        <w:rPr>
          <w:rFonts w:ascii="Arabic Transparent" w:hAnsi="Arabic Transparent" w:cs="Arabic Transparent"/>
          <w:sz w:val="28"/>
          <w:szCs w:val="28"/>
          <w:vertAlign w:val="superscript"/>
          <w:rtl/>
          <w:lang w:bidi="ar-JO"/>
        </w:rPr>
        <w:footnoteReference w:id="827"/>
      </w:r>
      <w:r w:rsidR="00201DD5" w:rsidRPr="00201DD5">
        <w:rPr>
          <w:rFonts w:ascii="Arabic Transparent" w:hAnsi="Arabic Transparent" w:cs="Arabic Transparent"/>
          <w:sz w:val="28"/>
          <w:szCs w:val="28"/>
          <w:vertAlign w:val="superscript"/>
          <w:rtl/>
          <w:lang w:bidi="ar-JO"/>
        </w:rPr>
        <w:t>)</w:t>
      </w:r>
      <w:r w:rsidR="00201DD5" w:rsidRPr="00201DD5">
        <w:rPr>
          <w:rFonts w:ascii="Arabic Transparent" w:hAnsi="Arabic Transparent" w:cs="Arabic Transparent"/>
          <w:sz w:val="28"/>
          <w:szCs w:val="28"/>
          <w:rtl/>
          <w:lang w:bidi="ar-JO"/>
        </w:rPr>
        <w:t xml:space="preserve"> والتي تساهم في ضبط التفاوت في الحكم الذي ينسب للواقعة أو للاجتهاد، يتبين للباحث ما يأتي:</w:t>
      </w:r>
    </w:p>
    <w:p w14:paraId="3E45F979" w14:textId="77777777" w:rsidR="00201DD5" w:rsidRPr="00201DD5" w:rsidRDefault="00201DD5" w:rsidP="00201DD5">
      <w:pPr>
        <w:widowControl w:val="0"/>
        <w:autoSpaceDE w:val="0"/>
        <w:autoSpaceDN w:val="0"/>
        <w:adjustRightInd w:val="0"/>
        <w:spacing w:after="0" w:line="360" w:lineRule="auto"/>
        <w:contextualSpacing/>
        <w:jc w:val="both"/>
        <w:rPr>
          <w:rFonts w:ascii="Arabic Transparent" w:hAnsi="Arabic Transparent" w:cs="Arabic Transparent"/>
          <w:sz w:val="28"/>
          <w:szCs w:val="28"/>
          <w:rtl/>
        </w:rPr>
      </w:pPr>
      <w:r w:rsidRPr="00201DD5">
        <w:rPr>
          <w:rFonts w:ascii="Arabic Transparent" w:hAnsi="Arabic Transparent" w:cs="Arabic Transparent"/>
          <w:sz w:val="28"/>
          <w:szCs w:val="28"/>
          <w:rtl/>
        </w:rPr>
        <w:t xml:space="preserve">1- المجتهدون الذين قاموا برد الفروع الفقهية إلى أصولها، من خلال رد كل صورة من صور تمويل الخدمات والمنافع إلى عقد صحيح، فإن كان عقد إجارة، روعيت أحكام الإجارة، وإن كان عقد مرابحة، روعيت أحكام المرابحة، وإن كان عقد بيع، روعيت أحكام البيع، كالتملك والقبض وإن كان عقد جعالة، روعيت أحكام الجعالة، وإن كان عقد تورق روعيت أحكام التَّورُّق الفقهية. </w:t>
      </w:r>
    </w:p>
    <w:p w14:paraId="6AE8779C" w14:textId="73418F6F" w:rsidR="00F900EE" w:rsidRDefault="005D7B91" w:rsidP="00F900EE">
      <w:pPr>
        <w:widowControl w:val="0"/>
        <w:autoSpaceDE w:val="0"/>
        <w:autoSpaceDN w:val="0"/>
        <w:adjustRightInd w:val="0"/>
        <w:spacing w:after="0" w:line="360" w:lineRule="auto"/>
        <w:contextualSpacing/>
        <w:jc w:val="both"/>
        <w:rPr>
          <w:rFonts w:ascii="Arabic Transparent" w:hAnsi="Arabic Transparent" w:cs="Arabic Transparent"/>
          <w:sz w:val="28"/>
          <w:szCs w:val="28"/>
          <w:rtl/>
        </w:rPr>
      </w:pPr>
      <w:r>
        <w:rPr>
          <w:rFonts w:ascii="Arabic Transparent" w:hAnsi="Arabic Transparent" w:cs="Arabic Transparent"/>
          <w:sz w:val="28"/>
          <w:szCs w:val="28"/>
          <w:rtl/>
        </w:rPr>
        <w:t xml:space="preserve">     </w:t>
      </w:r>
      <w:r w:rsidR="00201DD5" w:rsidRPr="00201DD5">
        <w:rPr>
          <w:rFonts w:ascii="Arabic Transparent" w:hAnsi="Arabic Transparent" w:cs="Arabic Transparent"/>
          <w:sz w:val="28"/>
          <w:szCs w:val="28"/>
          <w:rtl/>
        </w:rPr>
        <w:t xml:space="preserve">هذا القول هو الأكثر انتظاماً، واستعمالاً لأصول ضبط المعاملات المعاصرة؛ لأنَّ الكثير من الاعتراضات التي وضعها الذين حرّموا تمويل المنافع والخدمات إما لصورة غير صحيحة وقفوا عليها، وإما سداً لذريعة بعض الإشكالات الفقهية التي مرت بهم، والتي أجاب عن بعضها العديد </w:t>
      </w:r>
      <w:r w:rsidR="00201DD5" w:rsidRPr="00201DD5">
        <w:rPr>
          <w:rFonts w:ascii="Arabic Transparent" w:hAnsi="Arabic Transparent" w:cs="Arabic Transparent"/>
          <w:sz w:val="28"/>
          <w:szCs w:val="28"/>
          <w:rtl/>
        </w:rPr>
        <w:lastRenderedPageBreak/>
        <w:t>من الباحثين، منهم الدكتور وليد الشاويش في دراسته تمويل خدمات التعليم الجامعي</w:t>
      </w:r>
      <w:r w:rsidR="00201DD5" w:rsidRPr="00201DD5">
        <w:rPr>
          <w:rFonts w:ascii="Arabic Transparent" w:hAnsi="Arabic Transparent" w:cs="Arabic Transparent"/>
          <w:sz w:val="28"/>
          <w:szCs w:val="28"/>
          <w:vertAlign w:val="superscript"/>
          <w:rtl/>
          <w:lang w:bidi="ar-JO"/>
        </w:rPr>
        <w:t>(</w:t>
      </w:r>
      <w:r w:rsidR="00201DD5" w:rsidRPr="00201DD5">
        <w:rPr>
          <w:rFonts w:ascii="Arabic Transparent" w:hAnsi="Arabic Transparent" w:cs="Arabic Transparent"/>
          <w:sz w:val="28"/>
          <w:szCs w:val="28"/>
          <w:vertAlign w:val="superscript"/>
          <w:rtl/>
          <w:lang w:bidi="ar-JO"/>
        </w:rPr>
        <w:footnoteReference w:id="828"/>
      </w:r>
      <w:r w:rsidR="00201DD5" w:rsidRPr="00201DD5">
        <w:rPr>
          <w:rFonts w:ascii="Arabic Transparent" w:hAnsi="Arabic Transparent" w:cs="Arabic Transparent"/>
          <w:sz w:val="28"/>
          <w:szCs w:val="28"/>
          <w:vertAlign w:val="superscript"/>
          <w:rtl/>
          <w:lang w:bidi="ar-JO"/>
        </w:rPr>
        <w:t>)</w:t>
      </w:r>
      <w:r w:rsidR="00201DD5" w:rsidRPr="00201DD5">
        <w:rPr>
          <w:rFonts w:ascii="Arabic Transparent" w:hAnsi="Arabic Transparent" w:cs="Arabic Transparent"/>
          <w:sz w:val="28"/>
          <w:szCs w:val="28"/>
          <w:rtl/>
        </w:rPr>
        <w:t xml:space="preserve">. </w:t>
      </w:r>
      <w:r w:rsidR="00F900EE">
        <w:rPr>
          <w:rFonts w:ascii="Arabic Transparent" w:hAnsi="Arabic Transparent" w:cs="Arabic Transparent"/>
          <w:sz w:val="28"/>
          <w:szCs w:val="28"/>
          <w:rtl/>
        </w:rPr>
        <w:br w:type="page"/>
      </w:r>
    </w:p>
    <w:p w14:paraId="62C79B8A" w14:textId="2509704E" w:rsidR="00201DD5" w:rsidRPr="00201DD5" w:rsidRDefault="00201DD5" w:rsidP="004E02F5">
      <w:pPr>
        <w:widowControl w:val="0"/>
        <w:autoSpaceDE w:val="0"/>
        <w:autoSpaceDN w:val="0"/>
        <w:adjustRightInd w:val="0"/>
        <w:spacing w:after="0" w:line="360" w:lineRule="auto"/>
        <w:contextualSpacing/>
        <w:jc w:val="both"/>
        <w:rPr>
          <w:rFonts w:ascii="Arabic Transparent" w:hAnsi="Arabic Transparent" w:cs="Arabic Transparent"/>
          <w:sz w:val="28"/>
          <w:szCs w:val="28"/>
          <w:rtl/>
          <w:lang w:bidi="ar-JO"/>
        </w:rPr>
      </w:pPr>
      <w:r w:rsidRPr="00201DD5">
        <w:rPr>
          <w:rFonts w:ascii="Arabic Transparent" w:hAnsi="Arabic Transparent" w:cs="Arabic Transparent"/>
          <w:sz w:val="28"/>
          <w:szCs w:val="28"/>
          <w:rtl/>
          <w:lang w:bidi="ar-JO"/>
        </w:rPr>
        <w:t>2- إن الدراسات التي درست حالة بعينها، محققةًً للمناط الخاص، هي الأكثر موضوعية ومراعاةً للأوصاف المتغيرة والتي تتفاوت من بنك إلى آخر</w:t>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vertAlign w:val="superscript"/>
          <w:rtl/>
          <w:lang w:bidi="ar-JO"/>
        </w:rPr>
        <w:footnoteReference w:id="829"/>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rtl/>
          <w:lang w:bidi="ar-JO"/>
        </w:rPr>
        <w:t>؛ لأنَّ التوسع الكبير في استعمال هذه العقود في المصارف الإسلامية أدى إلى ظهور صور جديدة لم تكن موجودة في السابق</w:t>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vertAlign w:val="superscript"/>
          <w:rtl/>
          <w:lang w:bidi="ar-JO"/>
        </w:rPr>
        <w:footnoteReference w:id="830"/>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rtl/>
          <w:lang w:bidi="ar-JO"/>
        </w:rPr>
        <w:t>، والموضوعية العلمية تقتضي أن يتصور المجتهد ما يجري في تلك العقود تصوراً سليماً من أجل الوصول إلى الحكم الشرعي المناسب</w:t>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vertAlign w:val="superscript"/>
          <w:rtl/>
          <w:lang w:bidi="ar-JO"/>
        </w:rPr>
        <w:footnoteReference w:id="831"/>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rtl/>
          <w:lang w:bidi="ar-JO"/>
        </w:rPr>
        <w:t>.</w:t>
      </w:r>
    </w:p>
    <w:p w14:paraId="755FFF1A" w14:textId="71FAAD4A" w:rsidR="00201DD5" w:rsidRPr="00201DD5" w:rsidRDefault="00201DD5" w:rsidP="00AE633A">
      <w:pPr>
        <w:widowControl w:val="0"/>
        <w:autoSpaceDE w:val="0"/>
        <w:autoSpaceDN w:val="0"/>
        <w:adjustRightInd w:val="0"/>
        <w:spacing w:after="0" w:line="360" w:lineRule="auto"/>
        <w:contextualSpacing/>
        <w:jc w:val="both"/>
        <w:rPr>
          <w:rFonts w:ascii="Arabic Transparent" w:hAnsi="Arabic Transparent" w:cs="Arabic Transparent"/>
          <w:sz w:val="28"/>
          <w:szCs w:val="28"/>
          <w:rtl/>
        </w:rPr>
      </w:pPr>
      <w:r w:rsidRPr="00201DD5">
        <w:rPr>
          <w:rFonts w:ascii="Arabic Transparent" w:hAnsi="Arabic Transparent" w:cs="Arabic Transparent"/>
          <w:sz w:val="28"/>
          <w:szCs w:val="28"/>
          <w:rtl/>
        </w:rPr>
        <w:t>3- بالنسبة للتفاوت الواقع بين الصور الصحيحة للمعاملة، وصورية المعاملة في التطبيق، فإنَّ مهمة المجتهد أن يبين ضوابط الصورة الصحيحة "وتبقى مسؤولية المصرف، وقسم التدقيق الشرعي الداخلي من التأكد من سير المعاملة وفق الضوابط والشروط الشرعية</w:t>
      </w:r>
      <w:r w:rsidRPr="00F8716C">
        <w:rPr>
          <w:rFonts w:ascii="Arabic Transparent" w:hAnsi="Arabic Transparent" w:cs="Arabic Transparent"/>
          <w:sz w:val="28"/>
          <w:szCs w:val="28"/>
          <w:rtl/>
          <w:lang w:bidi="ar-JO"/>
        </w:rPr>
        <w:t>"</w:t>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vertAlign w:val="superscript"/>
          <w:rtl/>
          <w:lang w:bidi="ar-JO"/>
        </w:rPr>
        <w:footnoteReference w:id="832"/>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rtl/>
        </w:rPr>
        <w:t>، فإن حدث خلل أو تقصير في هذا الجانب فلا يبرر ذلك انتقال المسألة من الإباحة إلى التحريم، وكذلك القياس على ضعف الخدمات وصعوبة التعامل وعدم الالتزام بأخلاقيات المهنة، كله لا ينسخ شرعية المعاملات التي تقوم بها المصارف الإسلامية</w:t>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vertAlign w:val="superscript"/>
          <w:rtl/>
          <w:lang w:bidi="ar-JO"/>
        </w:rPr>
        <w:footnoteReference w:id="833"/>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rtl/>
        </w:rPr>
        <w:t>.</w:t>
      </w:r>
    </w:p>
    <w:p w14:paraId="7ECA8379" w14:textId="77777777" w:rsidR="00201DD5" w:rsidRPr="00201DD5" w:rsidRDefault="00201DD5" w:rsidP="00201DD5">
      <w:pPr>
        <w:widowControl w:val="0"/>
        <w:autoSpaceDE w:val="0"/>
        <w:autoSpaceDN w:val="0"/>
        <w:adjustRightInd w:val="0"/>
        <w:spacing w:after="0" w:line="360" w:lineRule="auto"/>
        <w:contextualSpacing/>
        <w:jc w:val="both"/>
        <w:rPr>
          <w:rFonts w:ascii="Arabic Transparent" w:hAnsi="Arabic Transparent" w:cs="Arabic Transparent"/>
          <w:sz w:val="28"/>
          <w:szCs w:val="28"/>
          <w:rtl/>
          <w:lang w:bidi="ar-JO"/>
        </w:rPr>
      </w:pPr>
      <w:r w:rsidRPr="00201DD5">
        <w:rPr>
          <w:rFonts w:ascii="Arabic Transparent" w:hAnsi="Arabic Transparent" w:cs="Arabic Transparent"/>
          <w:sz w:val="28"/>
          <w:szCs w:val="28"/>
          <w:rtl/>
        </w:rPr>
        <w:t xml:space="preserve">4-عند مراعاة أصول ضبط التفاوت، يؤخذ بعين الاعتبار ما كان الأصل فيه الإباحة وتعرّض لأوصاف معتبرة بالتحريم، فيزول التحريم بزوال الأوصاف المعتبرة، التي تتعلق بالواقعة أو بالسائل ويظهر ذلك جلياً من خلال تحقيق المناط الخاص، </w:t>
      </w:r>
      <w:r w:rsidRPr="00201DD5">
        <w:rPr>
          <w:rFonts w:ascii="Arabic Transparent" w:hAnsi="Arabic Transparent" w:cs="Arabic Transparent"/>
          <w:sz w:val="28"/>
          <w:szCs w:val="28"/>
          <w:rtl/>
          <w:lang w:bidi="ar-JO"/>
        </w:rPr>
        <w:t xml:space="preserve">بيد أن بعض الفتاوى اعتبرت أوصفاً عارضة ليس لها علاقة بالحكم وهي خارجة عن محل النزاع، مثل: </w:t>
      </w:r>
    </w:p>
    <w:p w14:paraId="3A22C30D" w14:textId="77777777" w:rsidR="00201DD5" w:rsidRPr="00201DD5" w:rsidRDefault="00201DD5" w:rsidP="00201DD5">
      <w:pPr>
        <w:widowControl w:val="0"/>
        <w:autoSpaceDE w:val="0"/>
        <w:autoSpaceDN w:val="0"/>
        <w:adjustRightInd w:val="0"/>
        <w:spacing w:after="0" w:line="360" w:lineRule="auto"/>
        <w:contextualSpacing/>
        <w:jc w:val="both"/>
        <w:rPr>
          <w:rFonts w:ascii="Arabic Transparent" w:hAnsi="Arabic Transparent" w:cs="Arabic Transparent"/>
          <w:sz w:val="28"/>
          <w:szCs w:val="28"/>
          <w:rtl/>
          <w:lang w:bidi="ar-JO"/>
        </w:rPr>
      </w:pPr>
      <w:r w:rsidRPr="00201DD5">
        <w:rPr>
          <w:rFonts w:ascii="Arabic Transparent" w:hAnsi="Arabic Transparent" w:cs="Arabic Transparent"/>
          <w:sz w:val="28"/>
          <w:szCs w:val="28"/>
          <w:rtl/>
          <w:lang w:bidi="ar-JO"/>
        </w:rPr>
        <w:t>أ- كون الخدمة علاجًا، أو تعليماً مدرسياً، أو جامعياً، أو حجًا، أو عمرةً، أو سفرًا مباحاً، ليس هي علة الحكم بحد ذاتها؛ لأنَّ الفتاوى العامة في تمويل المنافع جعلت المدار على تملك المنفعة أو استئجارها وضبطها، لا على اسم المنفعة ما دامت مباحة ومتقومة مالياً.</w:t>
      </w:r>
    </w:p>
    <w:p w14:paraId="3A7146B2" w14:textId="1CA98F14" w:rsidR="00F900EE" w:rsidRDefault="00201DD5" w:rsidP="004E02F5">
      <w:pPr>
        <w:widowControl w:val="0"/>
        <w:autoSpaceDE w:val="0"/>
        <w:autoSpaceDN w:val="0"/>
        <w:adjustRightInd w:val="0"/>
        <w:spacing w:after="0" w:line="360" w:lineRule="auto"/>
        <w:contextualSpacing/>
        <w:jc w:val="both"/>
        <w:rPr>
          <w:rFonts w:ascii="Arabic Transparent" w:hAnsi="Arabic Transparent" w:cs="Arabic Transparent"/>
          <w:sz w:val="28"/>
          <w:szCs w:val="28"/>
          <w:rtl/>
          <w:lang w:bidi="ar-JO"/>
        </w:rPr>
      </w:pPr>
      <w:r w:rsidRPr="00201DD5">
        <w:rPr>
          <w:rFonts w:ascii="Arabic Transparent" w:hAnsi="Arabic Transparent" w:cs="Arabic Transparent"/>
          <w:sz w:val="28"/>
          <w:szCs w:val="28"/>
          <w:rtl/>
          <w:lang w:bidi="ar-JO"/>
        </w:rPr>
        <w:t xml:space="preserve">ب- جميع الأثار الإيجابية في الجوانب السياسية والاجتماعية والاقتصادية مثل: التكافل الاجتماعي، والتخفيف على المحتاجين، وزيادة عدد المستفيدين من المنفعة، ومنع تسرّب الأطفال </w:t>
      </w:r>
      <w:r w:rsidRPr="00201DD5">
        <w:rPr>
          <w:rFonts w:ascii="Arabic Transparent" w:hAnsi="Arabic Transparent" w:cs="Arabic Transparent"/>
          <w:sz w:val="28"/>
          <w:szCs w:val="28"/>
          <w:rtl/>
          <w:lang w:bidi="ar-JO"/>
        </w:rPr>
        <w:lastRenderedPageBreak/>
        <w:t>من المدارس؛</w:t>
      </w:r>
    </w:p>
    <w:p w14:paraId="2FE2C36A" w14:textId="77777777" w:rsidR="00F900EE" w:rsidRDefault="00F900EE">
      <w:pPr>
        <w:bidi w:val="0"/>
        <w:spacing w:after="0" w:line="240" w:lineRule="auto"/>
        <w:rPr>
          <w:rFonts w:ascii="Arabic Transparent" w:hAnsi="Arabic Transparent" w:cs="Arabic Transparent"/>
          <w:sz w:val="28"/>
          <w:szCs w:val="28"/>
          <w:rtl/>
          <w:lang w:bidi="ar-JO"/>
        </w:rPr>
      </w:pPr>
      <w:r>
        <w:rPr>
          <w:rFonts w:ascii="Arabic Transparent" w:hAnsi="Arabic Transparent" w:cs="Arabic Transparent"/>
          <w:sz w:val="28"/>
          <w:szCs w:val="28"/>
          <w:rtl/>
          <w:lang w:bidi="ar-JO"/>
        </w:rPr>
        <w:br w:type="page"/>
      </w:r>
    </w:p>
    <w:p w14:paraId="62A19A92" w14:textId="5DE878DB" w:rsidR="00201DD5" w:rsidRPr="00201DD5" w:rsidRDefault="00201DD5" w:rsidP="00201DD5">
      <w:pPr>
        <w:widowControl w:val="0"/>
        <w:autoSpaceDE w:val="0"/>
        <w:autoSpaceDN w:val="0"/>
        <w:adjustRightInd w:val="0"/>
        <w:spacing w:after="0" w:line="360" w:lineRule="auto"/>
        <w:contextualSpacing/>
        <w:jc w:val="both"/>
        <w:rPr>
          <w:rFonts w:ascii="Arabic Transparent" w:hAnsi="Arabic Transparent" w:cs="Arabic Transparent"/>
          <w:sz w:val="28"/>
          <w:szCs w:val="28"/>
          <w:rtl/>
          <w:lang w:bidi="ar-JO"/>
        </w:rPr>
      </w:pPr>
      <w:r w:rsidRPr="00201DD5">
        <w:rPr>
          <w:rFonts w:ascii="Arabic Transparent" w:hAnsi="Arabic Transparent" w:cs="Arabic Transparent"/>
          <w:sz w:val="28"/>
          <w:szCs w:val="28"/>
          <w:rtl/>
          <w:lang w:bidi="ar-JO"/>
        </w:rPr>
        <w:t>هي في مجملها تحسينات ومقاصد داعمة، وليست هي المناط العقدي الذي به يثبت الحل، أو الحرمة</w:t>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vertAlign w:val="superscript"/>
          <w:rtl/>
          <w:lang w:bidi="ar-JO"/>
        </w:rPr>
        <w:footnoteReference w:id="834"/>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rtl/>
          <w:lang w:bidi="ar-JO"/>
        </w:rPr>
        <w:t>.</w:t>
      </w:r>
    </w:p>
    <w:p w14:paraId="33BFB9F8" w14:textId="36D3C1C2" w:rsidR="00C849E4" w:rsidRDefault="00201DD5" w:rsidP="00F900EE">
      <w:pPr>
        <w:widowControl w:val="0"/>
        <w:autoSpaceDE w:val="0"/>
        <w:autoSpaceDN w:val="0"/>
        <w:adjustRightInd w:val="0"/>
        <w:spacing w:after="0" w:line="360" w:lineRule="auto"/>
        <w:contextualSpacing/>
        <w:jc w:val="both"/>
        <w:rPr>
          <w:rFonts w:ascii="Arabic Transparent" w:hAnsi="Arabic Transparent" w:cs="Arabic Transparent"/>
          <w:sz w:val="28"/>
          <w:szCs w:val="28"/>
          <w:rtl/>
          <w:lang w:bidi="ar-JO"/>
        </w:rPr>
      </w:pPr>
      <w:r w:rsidRPr="00201DD5">
        <w:rPr>
          <w:rFonts w:ascii="Arabic Transparent" w:hAnsi="Arabic Transparent" w:cs="Arabic Transparent"/>
          <w:sz w:val="28"/>
          <w:szCs w:val="28"/>
          <w:rtl/>
          <w:lang w:bidi="ar-JO"/>
        </w:rPr>
        <w:t>ج- الاشتراطات الإدارية التي تتعلق بالمصرف لقبول إعطاء التمويل مثل: سن العميل، ومدة التمويل، والحد الأقصى للمبلغ الممول والحد الأقل، واشتراط تحويل الراتب، وأن يكون خاضعاً للضمان، أو موظف قطاع عام، وغيرها من الاشتراطات الإدارية والتنظيمية كلها أوصاف طردية ملغاة ليس لها علاقة بالحكم الشرعي</w:t>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vertAlign w:val="superscript"/>
          <w:rtl/>
          <w:lang w:bidi="ar-JO"/>
        </w:rPr>
        <w:footnoteReference w:id="835"/>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rtl/>
          <w:lang w:bidi="ar-JO"/>
        </w:rPr>
        <w:t>.</w:t>
      </w:r>
    </w:p>
    <w:p w14:paraId="4DB7B2DA" w14:textId="77777777" w:rsidR="00201DD5" w:rsidRPr="00201DD5" w:rsidRDefault="00201DD5" w:rsidP="00201DD5">
      <w:pPr>
        <w:widowControl w:val="0"/>
        <w:autoSpaceDE w:val="0"/>
        <w:autoSpaceDN w:val="0"/>
        <w:adjustRightInd w:val="0"/>
        <w:spacing w:after="0" w:line="360" w:lineRule="auto"/>
        <w:contextualSpacing/>
        <w:jc w:val="both"/>
        <w:rPr>
          <w:rFonts w:ascii="Arabic Transparent" w:hAnsi="Arabic Transparent" w:cs="Arabic Transparent"/>
          <w:sz w:val="28"/>
          <w:szCs w:val="28"/>
          <w:rtl/>
          <w:lang w:bidi="ar-JO"/>
        </w:rPr>
      </w:pPr>
      <w:r w:rsidRPr="00201DD5">
        <w:rPr>
          <w:rFonts w:ascii="Arabic Transparent" w:hAnsi="Arabic Transparent" w:cs="Arabic Transparent"/>
          <w:sz w:val="28"/>
          <w:szCs w:val="28"/>
          <w:rtl/>
          <w:lang w:bidi="ar-JO"/>
        </w:rPr>
        <w:t>د- "التعليل بصورية المعاملة، وأنه ترتيب مصطنع، وعقد صوري في حقيقته قرض بفائدة، يقوم به المصرف كاملا"</w:t>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vertAlign w:val="superscript"/>
          <w:rtl/>
          <w:lang w:bidi="ar-JO"/>
        </w:rPr>
        <w:footnoteReference w:id="836"/>
      </w:r>
      <w:r w:rsidRPr="00201DD5">
        <w:rPr>
          <w:rFonts w:ascii="Arabic Transparent" w:hAnsi="Arabic Transparent" w:cs="Arabic Transparent"/>
          <w:sz w:val="28"/>
          <w:szCs w:val="28"/>
          <w:vertAlign w:val="superscript"/>
          <w:rtl/>
          <w:lang w:bidi="ar-JO"/>
        </w:rPr>
        <w:t>)</w:t>
      </w:r>
      <w:r w:rsidRPr="00201DD5">
        <w:rPr>
          <w:rFonts w:ascii="Arabic Transparent" w:hAnsi="Arabic Transparent" w:cs="Arabic Transparent"/>
          <w:sz w:val="28"/>
          <w:szCs w:val="28"/>
          <w:rtl/>
          <w:lang w:bidi="ar-JO"/>
        </w:rPr>
        <w:t>، وهذه الإطلاقات من قبيل الوصف الطردي، مع وجود صور أخرى أُعيد تصميمها بحيث يتحقق فيها تعيين المنفعة، والتملّك حقيقةً، أو حكماً، والقبض المعتبر والتعرُّض للمخاطرة، وتحظى بموافقة الهيئات الشرعية المتخصصة بالفتوى.</w:t>
      </w:r>
    </w:p>
    <w:p w14:paraId="1B552E70" w14:textId="77777777" w:rsidR="00201DD5" w:rsidRPr="00201DD5" w:rsidRDefault="00201DD5" w:rsidP="00201DD5">
      <w:pPr>
        <w:rPr>
          <w:rFonts w:ascii="Arabic Transparent" w:hAnsi="Arabic Transparent" w:cs="Arabic Transparent"/>
          <w:sz w:val="28"/>
          <w:szCs w:val="28"/>
          <w:rtl/>
          <w:lang w:bidi="ar-JO"/>
        </w:rPr>
      </w:pPr>
      <w:r w:rsidRPr="00201DD5">
        <w:rPr>
          <w:rFonts w:ascii="Arabic Transparent" w:hAnsi="Arabic Transparent" w:cs="Arabic Transparent"/>
          <w:sz w:val="28"/>
          <w:szCs w:val="28"/>
          <w:rtl/>
          <w:lang w:bidi="ar-JO"/>
        </w:rPr>
        <w:br w:type="page"/>
      </w:r>
    </w:p>
    <w:p w14:paraId="2DE33EFA" w14:textId="77777777" w:rsidR="00201DD5" w:rsidRPr="00001A51" w:rsidRDefault="00201DD5" w:rsidP="00201DD5">
      <w:pPr>
        <w:spacing w:after="0" w:line="360" w:lineRule="auto"/>
        <w:jc w:val="center"/>
        <w:rPr>
          <w:rFonts w:ascii="Arabic Transparent" w:hAnsi="Arabic Transparent" w:cs="Arabic Transparent"/>
          <w:b/>
          <w:bCs/>
          <w:sz w:val="32"/>
          <w:szCs w:val="32"/>
          <w:rtl/>
          <w:lang w:bidi="ar-JO"/>
        </w:rPr>
      </w:pPr>
      <w:r w:rsidRPr="00001A51">
        <w:rPr>
          <w:rFonts w:ascii="Arabic Transparent" w:hAnsi="Arabic Transparent" w:cs="Arabic Transparent"/>
          <w:b/>
          <w:bCs/>
          <w:sz w:val="32"/>
          <w:szCs w:val="32"/>
          <w:rtl/>
          <w:lang w:bidi="ar-JO"/>
        </w:rPr>
        <w:t>المبحث الثاني:</w:t>
      </w:r>
    </w:p>
    <w:p w14:paraId="01F3D0D2" w14:textId="77777777" w:rsidR="00201DD5" w:rsidRPr="00001A51" w:rsidRDefault="00201DD5" w:rsidP="00201DD5">
      <w:pPr>
        <w:spacing w:after="0" w:line="360" w:lineRule="auto"/>
        <w:jc w:val="center"/>
        <w:rPr>
          <w:rFonts w:ascii="Arabic Transparent" w:hAnsi="Arabic Transparent" w:cs="Arabic Transparent"/>
          <w:b/>
          <w:bCs/>
          <w:sz w:val="32"/>
          <w:szCs w:val="32"/>
          <w:rtl/>
          <w:lang w:bidi="ar-JO"/>
        </w:rPr>
      </w:pPr>
      <w:r w:rsidRPr="00001A51">
        <w:rPr>
          <w:rFonts w:ascii="Arabic Transparent" w:hAnsi="Arabic Transparent" w:cs="Arabic Transparent"/>
          <w:b/>
          <w:bCs/>
          <w:sz w:val="32"/>
          <w:szCs w:val="32"/>
          <w:rtl/>
          <w:lang w:bidi="ar-JO"/>
        </w:rPr>
        <w:t>تطبيقات من الفتاوى المتعلقة بالديون المؤجلة</w:t>
      </w:r>
    </w:p>
    <w:p w14:paraId="019EAD28" w14:textId="11BE0B95" w:rsidR="00201DD5" w:rsidRPr="00001A51" w:rsidRDefault="005D7B91"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201DD5" w:rsidRPr="00001A51">
        <w:rPr>
          <w:rFonts w:ascii="Arabic Transparent" w:hAnsi="Arabic Transparent" w:cs="Arabic Transparent"/>
          <w:sz w:val="28"/>
          <w:szCs w:val="28"/>
          <w:rtl/>
          <w:lang w:bidi="ar-JO"/>
        </w:rPr>
        <w:t xml:space="preserve">هناك العديد من المستجدات في جانب المعاملات المالية التي تتعلق بالديون المؤجلة، والتي يجب أن يتحرى الناس التعامل بها بالمثل وعدم الزيادة عليها، سواء في غرامات التأخير، أو حكم الزيادة على القرض من طرف ثالث، أو الربط القياسي للديون والالتزامات الآجلة، وبيانها كما يأتي: </w:t>
      </w:r>
    </w:p>
    <w:p w14:paraId="3F659919" w14:textId="77777777" w:rsidR="00201DD5" w:rsidRPr="00001A51" w:rsidRDefault="00201DD5" w:rsidP="00201DD5">
      <w:pPr>
        <w:spacing w:after="0" w:line="360" w:lineRule="auto"/>
        <w:jc w:val="both"/>
        <w:rPr>
          <w:rFonts w:ascii="Arabic Transparent" w:hAnsi="Arabic Transparent" w:cs="Arabic Transparent"/>
          <w:b/>
          <w:bCs/>
          <w:sz w:val="32"/>
          <w:szCs w:val="32"/>
          <w:rtl/>
          <w:lang w:bidi="ar-JO"/>
        </w:rPr>
      </w:pPr>
      <w:r w:rsidRPr="00001A51">
        <w:rPr>
          <w:rFonts w:ascii="Arabic Transparent" w:hAnsi="Arabic Transparent" w:cs="Arabic Transparent"/>
          <w:b/>
          <w:bCs/>
          <w:sz w:val="32"/>
          <w:szCs w:val="32"/>
          <w:rtl/>
          <w:lang w:bidi="ar-JO"/>
        </w:rPr>
        <w:t xml:space="preserve">المطلب الأول: غرامة التأخير عن سداد الدين: </w:t>
      </w:r>
    </w:p>
    <w:p w14:paraId="37AF1C15" w14:textId="1E1FF8BF" w:rsidR="00201DD5" w:rsidRPr="00001A51" w:rsidRDefault="005D7B91"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201DD5" w:rsidRPr="00001A51">
        <w:rPr>
          <w:rFonts w:ascii="Arabic Transparent" w:hAnsi="Arabic Transparent" w:cs="Arabic Transparent"/>
          <w:sz w:val="28"/>
          <w:szCs w:val="28"/>
          <w:rtl/>
          <w:lang w:bidi="ar-JO"/>
        </w:rPr>
        <w:t>سوف نتعرف في هذا المطلب على حقيقة غرامة التأخير التي تفرض على الدين عند سداده، سواء أكان بشرط جزائي أم بغير شرط، سواء أكانت لصالح المصرف أم تصرف في وجوه الخير، وبيانها كما يأتي:</w:t>
      </w:r>
    </w:p>
    <w:p w14:paraId="53D52DB7" w14:textId="77777777" w:rsidR="00201DD5" w:rsidRPr="00001A51" w:rsidRDefault="00201DD5" w:rsidP="00201DD5">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 xml:space="preserve">الفرع الأول: حقيقة غرامة الدين:  </w:t>
      </w:r>
    </w:p>
    <w:p w14:paraId="3447A863" w14:textId="77777777" w:rsidR="00201DD5" w:rsidRPr="00001A51" w:rsidRDefault="00201DD5" w:rsidP="00201DD5">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 xml:space="preserve"> أولاً: تعريف الدين: </w:t>
      </w:r>
    </w:p>
    <w:p w14:paraId="3C13AED0" w14:textId="7E7C8309" w:rsidR="00201DD5" w:rsidRPr="00001A51" w:rsidRDefault="00201DD5"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744A1A" w:rsidRPr="00001A51">
        <w:rPr>
          <w:rFonts w:ascii="Arabic Transparent" w:hAnsi="Arabic Transparent" w:cs="Arabic Transparent" w:hint="cs"/>
          <w:sz w:val="28"/>
          <w:szCs w:val="28"/>
          <w:rtl/>
          <w:lang w:bidi="ar-JO"/>
        </w:rPr>
        <w:t xml:space="preserve">    </w:t>
      </w:r>
      <w:r w:rsidRPr="00001A51">
        <w:rPr>
          <w:rFonts w:ascii="Arabic Transparent" w:hAnsi="Arabic Transparent" w:cs="Arabic Transparent"/>
          <w:sz w:val="28"/>
          <w:szCs w:val="28"/>
          <w:rtl/>
          <w:lang w:bidi="ar-JO"/>
        </w:rPr>
        <w:t>الدَّين: "ما ثبت للغير في الذمة"</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837"/>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ويعرّف: بأنَّه: "كل عقد يكون أحد العوضين فيه عين حاضرة، والعوض الآخر نسيئة في الذمة"</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838"/>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xml:space="preserve"> والدين إجمالا يطلق على معني</w:t>
      </w:r>
      <w:r w:rsidR="00DA3039" w:rsidRPr="00001A51">
        <w:rPr>
          <w:rFonts w:ascii="Arabic Transparent" w:hAnsi="Arabic Transparent" w:cs="Arabic Transparent" w:hint="cs"/>
          <w:sz w:val="28"/>
          <w:szCs w:val="28"/>
          <w:rtl/>
          <w:lang w:bidi="ar-JO"/>
        </w:rPr>
        <w:t>ي</w:t>
      </w:r>
      <w:r w:rsidRPr="00001A51">
        <w:rPr>
          <w:rFonts w:ascii="Arabic Transparent" w:hAnsi="Arabic Transparent" w:cs="Arabic Transparent"/>
          <w:sz w:val="28"/>
          <w:szCs w:val="28"/>
          <w:rtl/>
          <w:lang w:bidi="ar-JO"/>
        </w:rPr>
        <w:t>ن:</w:t>
      </w:r>
    </w:p>
    <w:p w14:paraId="5A263B07" w14:textId="0252FF27" w:rsidR="00201DD5" w:rsidRPr="00001A51" w:rsidRDefault="00201DD5"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1- المعنى العام: "هو كل ما شغل ذمة الإنسان ويطالب به سواء أكان ضماناً، أو عملاً، أو زكاةً، أو مالاً، أو ثمرة علاقة تعاقدية، وغير ذلك"</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839"/>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w:t>
      </w:r>
    </w:p>
    <w:p w14:paraId="6474C6E9" w14:textId="754243ED" w:rsidR="00AE633A" w:rsidRPr="00001A51" w:rsidRDefault="00201DD5" w:rsidP="004E02F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2- المعنى الخاص: هو"مال ‌واجب ‌في ‌الذمة"</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840"/>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xml:space="preserve"> ووجوب هذ المال في الذمة يكون لقاء قرض أو بدل عين، أو ضمان متلف، وكل ما أثبته الشرع من التزام في ذمة المكلف.</w:t>
      </w:r>
    </w:p>
    <w:p w14:paraId="052D2A4C" w14:textId="77777777" w:rsidR="00201DD5" w:rsidRPr="00001A51" w:rsidRDefault="00201DD5" w:rsidP="00201DD5">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ثانياً: مشكلة تأخر السداد:</w:t>
      </w:r>
    </w:p>
    <w:p w14:paraId="42AD09F1" w14:textId="098EE2BD" w:rsidR="00F21D04" w:rsidRPr="00001A51" w:rsidRDefault="005D7B91" w:rsidP="00AE633A">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201DD5" w:rsidRPr="00001A51">
        <w:rPr>
          <w:rFonts w:ascii="Arabic Transparent" w:hAnsi="Arabic Transparent" w:cs="Arabic Transparent"/>
          <w:sz w:val="28"/>
          <w:szCs w:val="28"/>
          <w:rtl/>
          <w:lang w:bidi="ar-JO"/>
        </w:rPr>
        <w:t xml:space="preserve">من الحلول التي استعملها الناس منذ القدم لمواجهة مشكلة تأخر سداد المدين الموسر، هو الزيادة في أصل الدين مقابل الزيادة في الأجل، وهو المعهود في الإسلام "بربا الجاهلية أو ربا </w:t>
      </w:r>
      <w:r w:rsidR="00201DD5" w:rsidRPr="00001A51">
        <w:rPr>
          <w:rFonts w:ascii="Arabic Transparent" w:hAnsi="Arabic Transparent" w:cs="Arabic Transparent"/>
          <w:sz w:val="28"/>
          <w:szCs w:val="28"/>
          <w:rtl/>
          <w:lang w:bidi="ar-JO"/>
        </w:rPr>
        <w:lastRenderedPageBreak/>
        <w:t>النسيئة المحرم"</w:t>
      </w:r>
      <w:r w:rsidR="00201DD5" w:rsidRPr="00001A51">
        <w:rPr>
          <w:rFonts w:ascii="Arabic Transparent" w:hAnsi="Arabic Transparent" w:cs="Arabic Transparent"/>
          <w:sz w:val="28"/>
          <w:szCs w:val="28"/>
          <w:vertAlign w:val="superscript"/>
          <w:rtl/>
          <w:lang w:bidi="ar-JO"/>
        </w:rPr>
        <w:t>(</w:t>
      </w:r>
      <w:r w:rsidR="00201DD5" w:rsidRPr="00001A51">
        <w:rPr>
          <w:rFonts w:ascii="Arabic Transparent" w:hAnsi="Arabic Transparent" w:cs="Arabic Transparent"/>
          <w:sz w:val="28"/>
          <w:szCs w:val="28"/>
          <w:vertAlign w:val="superscript"/>
          <w:rtl/>
          <w:lang w:bidi="ar-JO"/>
        </w:rPr>
        <w:footnoteReference w:id="841"/>
      </w:r>
      <w:r w:rsidR="00201DD5" w:rsidRPr="00001A51">
        <w:rPr>
          <w:rFonts w:ascii="Arabic Transparent" w:hAnsi="Arabic Transparent" w:cs="Arabic Transparent"/>
          <w:sz w:val="28"/>
          <w:szCs w:val="28"/>
          <w:vertAlign w:val="superscript"/>
          <w:rtl/>
          <w:lang w:bidi="ar-JO"/>
        </w:rPr>
        <w:t>)</w:t>
      </w:r>
      <w:r w:rsidR="00AE633A" w:rsidRPr="00001A51">
        <w:rPr>
          <w:rFonts w:ascii="Arabic Transparent" w:hAnsi="Arabic Transparent" w:cs="Arabic Transparent" w:hint="cs"/>
          <w:sz w:val="28"/>
          <w:szCs w:val="28"/>
          <w:rtl/>
          <w:lang w:bidi="ar-JO"/>
        </w:rPr>
        <w:t>،</w:t>
      </w:r>
      <w:r w:rsidR="00201DD5" w:rsidRPr="00001A51">
        <w:rPr>
          <w:rFonts w:ascii="Arabic Transparent" w:hAnsi="Arabic Transparent" w:cs="Arabic Transparent"/>
          <w:sz w:val="28"/>
          <w:szCs w:val="28"/>
          <w:rtl/>
          <w:lang w:bidi="ar-JO"/>
        </w:rPr>
        <w:t xml:space="preserve"> وهو ما تجريه المصارف الربوية تحت عنوان: "جدولة الديون، أو الفائدة المركبة"</w:t>
      </w:r>
      <w:r w:rsidR="00201DD5" w:rsidRPr="00001A51">
        <w:rPr>
          <w:rFonts w:ascii="Arabic Transparent" w:hAnsi="Arabic Transparent" w:cs="Arabic Transparent"/>
          <w:sz w:val="28"/>
          <w:szCs w:val="28"/>
          <w:vertAlign w:val="superscript"/>
          <w:rtl/>
          <w:lang w:bidi="ar-JO"/>
        </w:rPr>
        <w:t>(</w:t>
      </w:r>
      <w:r w:rsidR="00201DD5" w:rsidRPr="00001A51">
        <w:rPr>
          <w:rFonts w:ascii="Arabic Transparent" w:hAnsi="Arabic Transparent" w:cs="Arabic Transparent"/>
          <w:sz w:val="28"/>
          <w:szCs w:val="28"/>
          <w:vertAlign w:val="superscript"/>
          <w:rtl/>
          <w:lang w:bidi="ar-JO"/>
        </w:rPr>
        <w:footnoteReference w:id="842"/>
      </w:r>
      <w:r w:rsidR="00201DD5" w:rsidRPr="00001A51">
        <w:rPr>
          <w:rFonts w:ascii="Arabic Transparent" w:hAnsi="Arabic Transparent" w:cs="Arabic Transparent"/>
          <w:sz w:val="28"/>
          <w:szCs w:val="28"/>
          <w:vertAlign w:val="superscript"/>
          <w:rtl/>
          <w:lang w:bidi="ar-JO"/>
        </w:rPr>
        <w:t>)</w:t>
      </w:r>
      <w:r w:rsidR="00201DD5" w:rsidRPr="00001A51">
        <w:rPr>
          <w:rFonts w:ascii="Arabic Transparent" w:hAnsi="Arabic Transparent" w:cs="Arabic Transparent"/>
          <w:sz w:val="28"/>
          <w:szCs w:val="28"/>
          <w:rtl/>
          <w:lang w:bidi="ar-JO"/>
        </w:rPr>
        <w:t>.</w:t>
      </w:r>
    </w:p>
    <w:p w14:paraId="499D1D70" w14:textId="77777777" w:rsidR="00F21D04" w:rsidRPr="00001A51" w:rsidRDefault="00F21D04">
      <w:pPr>
        <w:bidi w:val="0"/>
        <w:spacing w:after="0" w:line="240" w:lineRule="auto"/>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br w:type="page"/>
      </w:r>
    </w:p>
    <w:p w14:paraId="036348D5" w14:textId="46E21175" w:rsidR="00201DD5" w:rsidRPr="00001A51" w:rsidRDefault="005D7B91"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201DD5" w:rsidRPr="00001A51">
        <w:rPr>
          <w:rFonts w:ascii="Arabic Transparent" w:hAnsi="Arabic Transparent" w:cs="Arabic Transparent"/>
          <w:sz w:val="28"/>
          <w:szCs w:val="28"/>
          <w:rtl/>
          <w:lang w:bidi="ar-JO"/>
        </w:rPr>
        <w:t>وأما البنوك الإسلامية عندما أرادت أن تكافح التأخير للمدين المماطل الموسر الذي يعطل مصالح المصرف، ويؤدي إلى فوات الفرصة، وترتب الضرر المحقق بالمصرف، قدمت العديد من المقترحات لهيئات الرقابة الشرعية، والمجامع الفقهية، ودور الإفتاء وكانت ضمن هذه التساؤلات: "هل يجوز أخذ الزيادة على الدين مقابل مماطلة المدين المليء، حرصاً على إلزامه على الوفاء بالأوقات المتفق عليها؟ وما حكم إضافة شرط في العقود يجيز للمصرف أن يأخذ تعويضاً لقاء الضرر الفعلي الذي يقع عليه نتاج تأخير المدين في السداد؟ وما هو الحل الشرعي مع بعض العملاء الذي يتأخرون في السداد لعلمهم أن المصرف الإسلامي لا يرتب على تأخرهم غرامات معينة؟ علماً بأن إجراءات التقاضي تأخذ سنوات طويلة أمام المحاكم وبعدها يتم تقسيط المبلغ المستحق مما يحمِّل المصرف العديد من الخسائر الفادحة"</w:t>
      </w:r>
      <w:r w:rsidR="00201DD5" w:rsidRPr="00001A51">
        <w:rPr>
          <w:rFonts w:ascii="Arabic Transparent" w:hAnsi="Arabic Transparent" w:cs="Arabic Transparent"/>
          <w:sz w:val="28"/>
          <w:szCs w:val="28"/>
          <w:vertAlign w:val="superscript"/>
          <w:rtl/>
          <w:lang w:bidi="ar-JO"/>
        </w:rPr>
        <w:t>(</w:t>
      </w:r>
      <w:r w:rsidR="00201DD5" w:rsidRPr="00001A51">
        <w:rPr>
          <w:rFonts w:ascii="Arabic Transparent" w:hAnsi="Arabic Transparent" w:cs="Arabic Transparent"/>
          <w:sz w:val="28"/>
          <w:szCs w:val="28"/>
          <w:vertAlign w:val="superscript"/>
          <w:rtl/>
          <w:lang w:bidi="ar-JO"/>
        </w:rPr>
        <w:footnoteReference w:id="843"/>
      </w:r>
      <w:r w:rsidR="00201DD5" w:rsidRPr="00001A51">
        <w:rPr>
          <w:rFonts w:ascii="Arabic Transparent" w:hAnsi="Arabic Transparent" w:cs="Arabic Transparent"/>
          <w:sz w:val="28"/>
          <w:szCs w:val="28"/>
          <w:vertAlign w:val="superscript"/>
          <w:rtl/>
          <w:lang w:bidi="ar-JO"/>
        </w:rPr>
        <w:t>)</w:t>
      </w:r>
      <w:r w:rsidR="00201DD5" w:rsidRPr="00001A51">
        <w:rPr>
          <w:rFonts w:ascii="Arabic Transparent" w:hAnsi="Arabic Transparent" w:cs="Arabic Transparent"/>
          <w:sz w:val="28"/>
          <w:szCs w:val="28"/>
          <w:rtl/>
          <w:lang w:bidi="ar-JO"/>
        </w:rPr>
        <w:t xml:space="preserve">، وللإجابة عنها سوف نلخص اجتهادات المجيزين والمانعين كما يأتي: </w:t>
      </w:r>
    </w:p>
    <w:p w14:paraId="12EDC489" w14:textId="77777777" w:rsidR="00201DD5" w:rsidRPr="00001A51" w:rsidRDefault="00201DD5" w:rsidP="00201DD5">
      <w:pPr>
        <w:spacing w:after="0" w:line="360" w:lineRule="auto"/>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الفرع الثاني: فتاوى غرامة التأخير عرضاً وتحليلاً:</w:t>
      </w:r>
    </w:p>
    <w:p w14:paraId="4699753D" w14:textId="77777777" w:rsidR="00201DD5" w:rsidRPr="00001A51" w:rsidRDefault="00201DD5" w:rsidP="00201DD5">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 xml:space="preserve">أولاً: فتاوى الإباحة بضوابط: </w:t>
      </w:r>
    </w:p>
    <w:p w14:paraId="162ABBC9" w14:textId="597E7D27" w:rsidR="00AE633A" w:rsidRPr="00001A51" w:rsidRDefault="005D7B91" w:rsidP="004E02F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201DD5" w:rsidRPr="00001A51">
        <w:rPr>
          <w:rFonts w:ascii="Arabic Transparent" w:hAnsi="Arabic Transparent" w:cs="Arabic Transparent"/>
          <w:sz w:val="28"/>
          <w:szCs w:val="28"/>
          <w:rtl/>
          <w:lang w:bidi="ar-JO"/>
        </w:rPr>
        <w:t>إنَّ بعض الاجتهادات الجماعية، والفتاوى المصرفية، والأبحاث المحكّمة ذهبت إلى جواز أخذ الغرامة عن الديون المتأخرة</w:t>
      </w:r>
      <w:r w:rsidR="00201DD5" w:rsidRPr="00001A51">
        <w:rPr>
          <w:rFonts w:ascii="Aptos" w:hAnsi="Aptos"/>
          <w:rtl/>
        </w:rPr>
        <w:t xml:space="preserve"> </w:t>
      </w:r>
      <w:r w:rsidR="00201DD5" w:rsidRPr="00001A51">
        <w:rPr>
          <w:rFonts w:ascii="Arabic Transparent" w:hAnsi="Arabic Transparent" w:cs="Arabic Transparent"/>
          <w:sz w:val="28"/>
          <w:szCs w:val="28"/>
          <w:rtl/>
          <w:lang w:bidi="ar-JO"/>
        </w:rPr>
        <w:t>تدفع للجهات الخيرية، بشروط وضوابط محددة، وهي كما يأتي:</w:t>
      </w:r>
    </w:p>
    <w:p w14:paraId="4A22BB4A" w14:textId="77777777" w:rsidR="00F21D04" w:rsidRPr="00001A51" w:rsidRDefault="005D7B91" w:rsidP="00AE633A">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201DD5" w:rsidRPr="00001A51">
        <w:rPr>
          <w:rFonts w:ascii="Arabic Transparent" w:hAnsi="Arabic Transparent" w:cs="Arabic Transparent"/>
          <w:sz w:val="28"/>
          <w:szCs w:val="28"/>
          <w:rtl/>
          <w:lang w:bidi="ar-JO"/>
        </w:rPr>
        <w:t>فتاوى ندوة البركة الثانية عشر</w:t>
      </w:r>
      <w:r w:rsidR="00201DD5" w:rsidRPr="00001A51">
        <w:rPr>
          <w:rFonts w:ascii="Arabic Transparent" w:hAnsi="Arabic Transparent" w:cs="Arabic Transparent"/>
          <w:sz w:val="28"/>
          <w:szCs w:val="28"/>
          <w:vertAlign w:val="superscript"/>
          <w:rtl/>
          <w:lang w:bidi="ar-JO"/>
        </w:rPr>
        <w:t>(</w:t>
      </w:r>
      <w:r w:rsidR="00201DD5" w:rsidRPr="00001A51">
        <w:rPr>
          <w:rFonts w:ascii="Arabic Transparent" w:hAnsi="Arabic Transparent" w:cs="Arabic Transparent"/>
          <w:sz w:val="28"/>
          <w:szCs w:val="28"/>
          <w:vertAlign w:val="superscript"/>
          <w:rtl/>
          <w:lang w:bidi="ar-JO"/>
        </w:rPr>
        <w:footnoteReference w:id="844"/>
      </w:r>
      <w:r w:rsidR="00201DD5" w:rsidRPr="00001A51">
        <w:rPr>
          <w:rFonts w:ascii="Arabic Transparent" w:hAnsi="Arabic Transparent" w:cs="Arabic Transparent"/>
          <w:sz w:val="28"/>
          <w:szCs w:val="28"/>
          <w:vertAlign w:val="superscript"/>
          <w:rtl/>
          <w:lang w:bidi="ar-JO"/>
        </w:rPr>
        <w:t>)</w:t>
      </w:r>
      <w:r w:rsidR="00201DD5" w:rsidRPr="00001A51">
        <w:rPr>
          <w:rFonts w:ascii="Arabic Transparent" w:hAnsi="Arabic Transparent" w:cs="Arabic Transparent"/>
          <w:sz w:val="28"/>
          <w:szCs w:val="28"/>
          <w:rtl/>
          <w:lang w:bidi="ar-JO"/>
        </w:rPr>
        <w:t>، والمعايير الشرعية( أيوفي)، وفتاوى بنك صفوة الإسلامي</w:t>
      </w:r>
      <w:r w:rsidR="00201DD5" w:rsidRPr="00001A51">
        <w:rPr>
          <w:rFonts w:ascii="Arabic Transparent" w:hAnsi="Arabic Transparent" w:cs="Arabic Transparent"/>
          <w:sz w:val="28"/>
          <w:szCs w:val="28"/>
          <w:vertAlign w:val="superscript"/>
          <w:rtl/>
          <w:lang w:bidi="ar-JO"/>
        </w:rPr>
        <w:t>(</w:t>
      </w:r>
      <w:r w:rsidR="00201DD5" w:rsidRPr="00001A51">
        <w:rPr>
          <w:rFonts w:ascii="Arabic Transparent" w:hAnsi="Arabic Transparent" w:cs="Arabic Transparent"/>
          <w:sz w:val="28"/>
          <w:szCs w:val="28"/>
          <w:vertAlign w:val="superscript"/>
          <w:rtl/>
          <w:lang w:bidi="ar-JO"/>
        </w:rPr>
        <w:footnoteReference w:id="845"/>
      </w:r>
      <w:r w:rsidR="00201DD5" w:rsidRPr="00001A51">
        <w:rPr>
          <w:rFonts w:ascii="Arabic Transparent" w:hAnsi="Arabic Transparent" w:cs="Arabic Transparent"/>
          <w:sz w:val="28"/>
          <w:szCs w:val="28"/>
          <w:vertAlign w:val="superscript"/>
          <w:rtl/>
          <w:lang w:bidi="ar-JO"/>
        </w:rPr>
        <w:t>)</w:t>
      </w:r>
      <w:r w:rsidR="00201DD5" w:rsidRPr="00001A51">
        <w:rPr>
          <w:rFonts w:ascii="Arabic Transparent" w:hAnsi="Arabic Transparent" w:cs="Arabic Transparent"/>
          <w:sz w:val="28"/>
          <w:szCs w:val="28"/>
          <w:rtl/>
          <w:lang w:bidi="ar-JO"/>
        </w:rPr>
        <w:t xml:space="preserve">  والشيخ يوسف القرضاوي</w:t>
      </w:r>
      <w:r w:rsidR="00201DD5" w:rsidRPr="00001A51">
        <w:rPr>
          <w:rFonts w:ascii="Arabic Transparent" w:hAnsi="Arabic Transparent" w:cs="Arabic Transparent"/>
          <w:sz w:val="28"/>
          <w:szCs w:val="28"/>
          <w:vertAlign w:val="superscript"/>
          <w:rtl/>
          <w:lang w:bidi="ar-JO"/>
        </w:rPr>
        <w:t>(</w:t>
      </w:r>
      <w:r w:rsidR="00201DD5" w:rsidRPr="00001A51">
        <w:rPr>
          <w:rFonts w:ascii="Arabic Transparent" w:hAnsi="Arabic Transparent" w:cs="Arabic Transparent"/>
          <w:sz w:val="28"/>
          <w:szCs w:val="28"/>
          <w:vertAlign w:val="superscript"/>
          <w:rtl/>
          <w:lang w:bidi="ar-JO"/>
        </w:rPr>
        <w:footnoteReference w:id="846"/>
      </w:r>
      <w:r w:rsidR="00201DD5" w:rsidRPr="00001A51">
        <w:rPr>
          <w:rFonts w:ascii="Arabic Transparent" w:hAnsi="Arabic Transparent" w:cs="Arabic Transparent"/>
          <w:sz w:val="28"/>
          <w:szCs w:val="28"/>
          <w:vertAlign w:val="superscript"/>
          <w:rtl/>
          <w:lang w:bidi="ar-JO"/>
        </w:rPr>
        <w:t>)</w:t>
      </w:r>
      <w:r w:rsidR="00201DD5" w:rsidRPr="00001A51">
        <w:rPr>
          <w:rFonts w:ascii="Arabic Transparent" w:hAnsi="Arabic Transparent" w:cs="Arabic Transparent"/>
          <w:sz w:val="28"/>
          <w:szCs w:val="28"/>
          <w:rtl/>
          <w:lang w:bidi="ar-JO"/>
        </w:rPr>
        <w:t>، والدكتور وهبة الزحيلي</w:t>
      </w:r>
      <w:r w:rsidR="00201DD5" w:rsidRPr="00001A51">
        <w:rPr>
          <w:rFonts w:ascii="Arabic Transparent" w:hAnsi="Arabic Transparent" w:cs="Arabic Transparent"/>
          <w:sz w:val="28"/>
          <w:szCs w:val="28"/>
          <w:vertAlign w:val="superscript"/>
          <w:rtl/>
          <w:lang w:bidi="ar-JO"/>
        </w:rPr>
        <w:t>(</w:t>
      </w:r>
      <w:r w:rsidR="00201DD5" w:rsidRPr="00001A51">
        <w:rPr>
          <w:rFonts w:ascii="Arabic Transparent" w:hAnsi="Arabic Transparent" w:cs="Arabic Transparent"/>
          <w:sz w:val="28"/>
          <w:szCs w:val="28"/>
          <w:vertAlign w:val="superscript"/>
          <w:rtl/>
          <w:lang w:bidi="ar-JO"/>
        </w:rPr>
        <w:footnoteReference w:id="847"/>
      </w:r>
      <w:r w:rsidR="00201DD5" w:rsidRPr="00001A51">
        <w:rPr>
          <w:rFonts w:ascii="Arabic Transparent" w:hAnsi="Arabic Transparent" w:cs="Arabic Transparent"/>
          <w:sz w:val="28"/>
          <w:szCs w:val="28"/>
          <w:vertAlign w:val="superscript"/>
          <w:rtl/>
          <w:lang w:bidi="ar-JO"/>
        </w:rPr>
        <w:t>)</w:t>
      </w:r>
      <w:r w:rsidR="00201DD5" w:rsidRPr="00001A51">
        <w:rPr>
          <w:rFonts w:ascii="Arabic Transparent" w:hAnsi="Arabic Transparent" w:cs="Arabic Transparent"/>
          <w:sz w:val="28"/>
          <w:szCs w:val="28"/>
          <w:rtl/>
          <w:lang w:bidi="ar-JO"/>
        </w:rPr>
        <w:t>، والدكتور محمد تقي العثماني</w:t>
      </w:r>
      <w:r w:rsidR="00201DD5" w:rsidRPr="00001A51">
        <w:rPr>
          <w:rFonts w:ascii="Arabic Transparent" w:hAnsi="Arabic Transparent" w:cs="Arabic Transparent"/>
          <w:sz w:val="28"/>
          <w:szCs w:val="28"/>
          <w:vertAlign w:val="superscript"/>
          <w:rtl/>
          <w:lang w:bidi="ar-JO"/>
        </w:rPr>
        <w:t>(</w:t>
      </w:r>
      <w:r w:rsidR="00201DD5" w:rsidRPr="00001A51">
        <w:rPr>
          <w:rFonts w:ascii="Arabic Transparent" w:hAnsi="Arabic Transparent" w:cs="Arabic Transparent"/>
          <w:sz w:val="28"/>
          <w:szCs w:val="28"/>
          <w:vertAlign w:val="superscript"/>
          <w:rtl/>
          <w:lang w:bidi="ar-JO"/>
        </w:rPr>
        <w:footnoteReference w:id="848"/>
      </w:r>
      <w:r w:rsidR="00201DD5" w:rsidRPr="00001A51">
        <w:rPr>
          <w:rFonts w:ascii="Arabic Transparent" w:hAnsi="Arabic Transparent" w:cs="Arabic Transparent"/>
          <w:sz w:val="28"/>
          <w:szCs w:val="28"/>
          <w:vertAlign w:val="superscript"/>
          <w:rtl/>
          <w:lang w:bidi="ar-JO"/>
        </w:rPr>
        <w:t>)</w:t>
      </w:r>
      <w:r w:rsidR="00201DD5" w:rsidRPr="00001A51">
        <w:rPr>
          <w:rFonts w:ascii="Arabic Transparent" w:hAnsi="Arabic Transparent" w:cs="Arabic Transparent"/>
          <w:sz w:val="28"/>
          <w:szCs w:val="28"/>
          <w:rtl/>
          <w:lang w:bidi="ar-JO"/>
        </w:rPr>
        <w:t xml:space="preserve">، </w:t>
      </w:r>
      <w:r w:rsidR="00AE633A" w:rsidRPr="00001A51">
        <w:rPr>
          <w:rFonts w:ascii="Arabic Transparent" w:hAnsi="Arabic Transparent" w:cs="Arabic Transparent" w:hint="cs"/>
          <w:sz w:val="28"/>
          <w:szCs w:val="28"/>
          <w:rtl/>
          <w:lang w:bidi="ar-JO"/>
        </w:rPr>
        <w:t>و</w:t>
      </w:r>
      <w:r w:rsidR="00201DD5" w:rsidRPr="00001A51">
        <w:rPr>
          <w:rFonts w:ascii="Arabic Transparent" w:hAnsi="Arabic Transparent" w:cs="Arabic Transparent"/>
          <w:sz w:val="28"/>
          <w:szCs w:val="28"/>
          <w:rtl/>
          <w:lang w:bidi="ar-JO"/>
        </w:rPr>
        <w:t xml:space="preserve">الدكتور </w:t>
      </w:r>
    </w:p>
    <w:p w14:paraId="60CB56FD" w14:textId="77777777" w:rsidR="00F21D04" w:rsidRPr="00001A51" w:rsidRDefault="00F21D04">
      <w:pPr>
        <w:bidi w:val="0"/>
        <w:spacing w:after="0" w:line="240" w:lineRule="auto"/>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br w:type="page"/>
      </w:r>
    </w:p>
    <w:p w14:paraId="42DBB00D" w14:textId="3177ECFC" w:rsidR="00201DD5" w:rsidRPr="00001A51" w:rsidRDefault="00201DD5" w:rsidP="00AE633A">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محمد شبير</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849"/>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والدكتور محمد أنس الزرقا</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850"/>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والدكتور محمد القري</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851"/>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والصديق محمد الضرير</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852"/>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w:t>
      </w:r>
    </w:p>
    <w:p w14:paraId="00FDC7A8" w14:textId="28AF7B71" w:rsidR="00201DD5" w:rsidRPr="00001A51" w:rsidRDefault="005D7B91"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201DD5" w:rsidRPr="00001A51">
        <w:rPr>
          <w:rFonts w:ascii="Arabic Transparent" w:hAnsi="Arabic Transparent" w:cs="Arabic Transparent"/>
          <w:sz w:val="28"/>
          <w:szCs w:val="28"/>
          <w:rtl/>
          <w:lang w:bidi="ar-JO"/>
        </w:rPr>
        <w:t xml:space="preserve">واختلف المجتهدين السابقين في تبرير (أخذ الزيادة على الدين) إلى عدة أقوال، وهي: </w:t>
      </w:r>
    </w:p>
    <w:p w14:paraId="4528411F" w14:textId="2446C616" w:rsidR="00AE633A" w:rsidRPr="00001A51" w:rsidRDefault="00201DD5" w:rsidP="004E02F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1- يجوز أخذ الغرامة للحثِّ على الالتزام، بشرط ألا يمهل البنك العميل ويزيد له في الزمن مقابلها، وإنما يطالبه في السداد بتاريخ معين، وتصرف هذه الغرامات في أوجه الخير التي لا يستفيد منها المصرف الإسلامي</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853"/>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w:t>
      </w:r>
    </w:p>
    <w:p w14:paraId="316921C2" w14:textId="77777777" w:rsidR="00201DD5" w:rsidRPr="00001A51" w:rsidRDefault="00201DD5"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2- جواز فرض الغرامات لتعويض الضرر الواقع، ولا يصح للمصرف الإسلامي أن ينتفع بها إلا في حدود الضرر الفعلي الذي وقع له، فيدفع ما يلزم من تغطية مصاريف التقاضي، وتحصيل نفقات المطالبة، ويدفع ما زاد عن ذلك في وجوه الخير والبر، أو رده إلى المماطل كما في بيع الرهن</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854"/>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xml:space="preserve">. </w:t>
      </w:r>
    </w:p>
    <w:p w14:paraId="2940D3ED" w14:textId="445BE981" w:rsidR="004E02F5" w:rsidRPr="00001A51" w:rsidRDefault="00201DD5"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3-</w:t>
      </w:r>
      <w:r w:rsidRPr="00001A51">
        <w:rPr>
          <w:rFonts w:ascii="Arabic Transparent" w:hAnsi="Arabic Transparent" w:cs="Arabic Transparent"/>
          <w:b/>
          <w:bCs/>
          <w:sz w:val="28"/>
          <w:szCs w:val="28"/>
          <w:rtl/>
          <w:lang w:bidi="ar-JO"/>
        </w:rPr>
        <w:t xml:space="preserve"> </w:t>
      </w:r>
      <w:r w:rsidRPr="00001A51">
        <w:rPr>
          <w:rFonts w:ascii="Arabic Transparent" w:hAnsi="Arabic Transparent" w:cs="Arabic Transparent"/>
          <w:sz w:val="28"/>
          <w:szCs w:val="28"/>
          <w:rtl/>
          <w:lang w:bidi="ar-JO"/>
        </w:rPr>
        <w:t>جواز فرض الغرامات لتعويض فوات فرصة الربح، وأن يأخذها المصرف الإسلامي لنفسه، عوضاً عن فوات الأرباح التي يتحصل عليها مع مرور الزمن، وتعويضاً مقابل تفويت فرصة الربح على المصرف كما لو كان المال في حساباته</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855"/>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w:t>
      </w:r>
    </w:p>
    <w:p w14:paraId="1519E16B" w14:textId="77777777" w:rsidR="004E02F5" w:rsidRPr="00001A51" w:rsidRDefault="004E02F5">
      <w:pPr>
        <w:bidi w:val="0"/>
        <w:spacing w:after="0" w:line="240" w:lineRule="auto"/>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br w:type="page"/>
      </w:r>
    </w:p>
    <w:p w14:paraId="370EEF05" w14:textId="77777777" w:rsidR="00201DD5" w:rsidRPr="00001A51" w:rsidRDefault="00201DD5" w:rsidP="00201DD5">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 xml:space="preserve">ثانياً: فتاوى التحريم مطلقاً: </w:t>
      </w:r>
    </w:p>
    <w:p w14:paraId="22B4684F" w14:textId="44095B32" w:rsidR="00AE633A" w:rsidRPr="00001A51" w:rsidRDefault="005D7B91" w:rsidP="004E02F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b/>
          <w:bCs/>
          <w:sz w:val="28"/>
          <w:szCs w:val="28"/>
          <w:rtl/>
          <w:lang w:bidi="ar-JO"/>
        </w:rPr>
        <w:t xml:space="preserve">     </w:t>
      </w:r>
      <w:r w:rsidR="00201DD5" w:rsidRPr="00001A51">
        <w:rPr>
          <w:rFonts w:ascii="Arabic Transparent" w:hAnsi="Arabic Transparent" w:cs="Arabic Transparent"/>
          <w:sz w:val="28"/>
          <w:szCs w:val="28"/>
          <w:rtl/>
          <w:lang w:bidi="ar-JO"/>
        </w:rPr>
        <w:t>إنَّ بعض الاجتهادات الجماعية والفتاوى المصرفية، والأبحاث المحكمة ذهبت إلى تحريم أخذ الغرامة عن الديون المتأخرة؛ لأنها ذريعة إلى ربا الجاهلية، والمشتهر في قول المدين للدائن عند حلول السداد، "حيث كانوا يزيدون في الدين ليزدادوا في الأجل"</w:t>
      </w:r>
      <w:r w:rsidR="00201DD5" w:rsidRPr="00001A51">
        <w:rPr>
          <w:rFonts w:ascii="Arabic Transparent" w:hAnsi="Arabic Transparent" w:cs="Arabic Transparent"/>
          <w:sz w:val="28"/>
          <w:szCs w:val="28"/>
          <w:vertAlign w:val="superscript"/>
          <w:rtl/>
          <w:lang w:bidi="ar-JO"/>
        </w:rPr>
        <w:t>(</w:t>
      </w:r>
      <w:r w:rsidR="00201DD5" w:rsidRPr="00001A51">
        <w:rPr>
          <w:rFonts w:ascii="Arabic Transparent" w:hAnsi="Arabic Transparent" w:cs="Arabic Transparent"/>
          <w:sz w:val="28"/>
          <w:szCs w:val="28"/>
          <w:vertAlign w:val="superscript"/>
          <w:rtl/>
          <w:lang w:bidi="ar-JO"/>
        </w:rPr>
        <w:footnoteReference w:id="856"/>
      </w:r>
      <w:r w:rsidR="00201DD5" w:rsidRPr="00001A51">
        <w:rPr>
          <w:rFonts w:ascii="Arabic Transparent" w:hAnsi="Arabic Transparent" w:cs="Arabic Transparent"/>
          <w:sz w:val="28"/>
          <w:szCs w:val="28"/>
          <w:vertAlign w:val="superscript"/>
          <w:rtl/>
          <w:lang w:bidi="ar-JO"/>
        </w:rPr>
        <w:t>)</w:t>
      </w:r>
      <w:r w:rsidR="00D9288F" w:rsidRPr="00001A51">
        <w:rPr>
          <w:rFonts w:ascii="Arabic Transparent" w:hAnsi="Arabic Transparent" w:cs="Arabic Transparent" w:hint="cs"/>
          <w:sz w:val="28"/>
          <w:szCs w:val="28"/>
          <w:vertAlign w:val="superscript"/>
          <w:rtl/>
          <w:lang w:bidi="ar-JO"/>
        </w:rPr>
        <w:t>،</w:t>
      </w:r>
      <w:r w:rsidR="00D9288F" w:rsidRPr="00001A51">
        <w:rPr>
          <w:rFonts w:ascii="Arabic Transparent" w:hAnsi="Arabic Transparent" w:cs="Arabic Transparent" w:hint="cs"/>
          <w:sz w:val="28"/>
          <w:szCs w:val="28"/>
          <w:rtl/>
          <w:lang w:bidi="ar-JO"/>
        </w:rPr>
        <w:t xml:space="preserve"> </w:t>
      </w:r>
      <w:r w:rsidR="00201DD5" w:rsidRPr="00001A51">
        <w:rPr>
          <w:rFonts w:ascii="Arabic Transparent" w:hAnsi="Arabic Transparent" w:cs="Arabic Transparent"/>
          <w:sz w:val="28"/>
          <w:szCs w:val="28"/>
          <w:rtl/>
          <w:lang w:bidi="ar-JO"/>
        </w:rPr>
        <w:t xml:space="preserve">وحرم ثلة من المجتهدين المعاصرين الدخول في عقد يشترط هذا الشرط ؛لأنه مفسد للعقد ابتداءً. وهم: </w:t>
      </w:r>
    </w:p>
    <w:p w14:paraId="7270C10A" w14:textId="49EC46D3" w:rsidR="00201DD5" w:rsidRPr="00001A51" w:rsidRDefault="00201DD5" w:rsidP="00AE633A">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sz w:val="28"/>
          <w:szCs w:val="28"/>
          <w:rtl/>
          <w:lang w:bidi="ar-JO"/>
        </w:rPr>
        <w:t>المجمع الفقهي الإسلامي</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857"/>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ومجمع الفقه الإسلامي الدولي</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858"/>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وفتاوى الموسوعة الميسرة</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859"/>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xml:space="preserve"> ومجلس الإفتاء الأردني</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860"/>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،ودار الإفتاء المصرية</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861"/>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xml:space="preserve"> </w:t>
      </w:r>
      <w:r w:rsidR="00DA3039" w:rsidRPr="00001A51">
        <w:rPr>
          <w:rFonts w:ascii="Arabic Transparent" w:hAnsi="Arabic Transparent" w:cs="Arabic Transparent" w:hint="cs"/>
          <w:sz w:val="28"/>
          <w:szCs w:val="28"/>
          <w:rtl/>
          <w:lang w:bidi="ar-JO"/>
        </w:rPr>
        <w:t>والدكتور</w:t>
      </w:r>
      <w:r w:rsidRPr="00001A51">
        <w:rPr>
          <w:rFonts w:ascii="Arabic Transparent" w:hAnsi="Arabic Transparent" w:cs="Arabic Transparent"/>
          <w:sz w:val="28"/>
          <w:szCs w:val="28"/>
          <w:rtl/>
          <w:lang w:bidi="ar-JO"/>
        </w:rPr>
        <w:t xml:space="preserve"> محمد المنجد</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862"/>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b/>
          <w:bCs/>
          <w:sz w:val="28"/>
          <w:szCs w:val="28"/>
          <w:rtl/>
          <w:lang w:bidi="ar-JO"/>
        </w:rPr>
        <w:t xml:space="preserve"> </w:t>
      </w:r>
      <w:r w:rsidRPr="00001A51">
        <w:rPr>
          <w:rFonts w:ascii="Arabic Transparent" w:hAnsi="Arabic Transparent" w:cs="Arabic Transparent"/>
          <w:sz w:val="28"/>
          <w:szCs w:val="28"/>
          <w:rtl/>
          <w:lang w:bidi="ar-JO"/>
        </w:rPr>
        <w:t>وغيرهم.</w:t>
      </w:r>
    </w:p>
    <w:p w14:paraId="49171196" w14:textId="150A768B" w:rsidR="00F21D04" w:rsidRPr="00001A51" w:rsidRDefault="005D7B91" w:rsidP="00F21D04">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201DD5" w:rsidRPr="00001A51">
        <w:rPr>
          <w:rFonts w:ascii="Arabic Transparent" w:hAnsi="Arabic Transparent" w:cs="Arabic Transparent"/>
          <w:sz w:val="28"/>
          <w:szCs w:val="28"/>
          <w:rtl/>
          <w:lang w:bidi="ar-JO"/>
        </w:rPr>
        <w:t>سبب التحريم المطلق، أن الزيادة بجميع صورها من ربا الديون فتحرم سداً للذريعة، وقد اقترحوا جملة من البدائل الشرعية الوقائية والعلاجية</w:t>
      </w:r>
      <w:r w:rsidR="00201DD5" w:rsidRPr="00001A51">
        <w:rPr>
          <w:rFonts w:ascii="Arabic Transparent" w:hAnsi="Arabic Transparent" w:cs="Arabic Transparent"/>
          <w:sz w:val="28"/>
          <w:szCs w:val="28"/>
          <w:vertAlign w:val="superscript"/>
          <w:rtl/>
          <w:lang w:bidi="ar-JO"/>
        </w:rPr>
        <w:t>(</w:t>
      </w:r>
      <w:r w:rsidR="00201DD5" w:rsidRPr="00001A51">
        <w:rPr>
          <w:rFonts w:ascii="Arabic Transparent" w:hAnsi="Arabic Transparent" w:cs="Arabic Transparent"/>
          <w:sz w:val="28"/>
          <w:szCs w:val="28"/>
          <w:vertAlign w:val="superscript"/>
          <w:rtl/>
          <w:lang w:bidi="ar-JO"/>
        </w:rPr>
        <w:footnoteReference w:id="863"/>
      </w:r>
      <w:r w:rsidR="00201DD5" w:rsidRPr="00001A51">
        <w:rPr>
          <w:rFonts w:ascii="Arabic Transparent" w:hAnsi="Arabic Transparent" w:cs="Arabic Transparent"/>
          <w:sz w:val="28"/>
          <w:szCs w:val="28"/>
          <w:vertAlign w:val="superscript"/>
          <w:rtl/>
          <w:lang w:bidi="ar-JO"/>
        </w:rPr>
        <w:t>)</w:t>
      </w:r>
      <w:r w:rsidR="00201DD5" w:rsidRPr="00001A51">
        <w:rPr>
          <w:rFonts w:ascii="Arabic Transparent" w:hAnsi="Arabic Transparent" w:cs="Arabic Transparent"/>
          <w:sz w:val="28"/>
          <w:szCs w:val="28"/>
          <w:rtl/>
          <w:lang w:bidi="ar-JO"/>
        </w:rPr>
        <w:t xml:space="preserve"> والتي يمكن أن تخلص المصرف من ظلم المدين المماطل وهي: </w:t>
      </w:r>
      <w:r w:rsidR="00F21D04" w:rsidRPr="00001A51">
        <w:rPr>
          <w:rFonts w:ascii="Arabic Transparent" w:hAnsi="Arabic Transparent" w:cs="Arabic Transparent"/>
          <w:sz w:val="28"/>
          <w:szCs w:val="28"/>
          <w:rtl/>
          <w:lang w:bidi="ar-JO"/>
        </w:rPr>
        <w:br w:type="page"/>
      </w:r>
    </w:p>
    <w:p w14:paraId="4380CBB2" w14:textId="35FC5339" w:rsidR="00AE633A" w:rsidRPr="00001A51" w:rsidRDefault="00201DD5" w:rsidP="00AE633A">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1- جواز اشتراط حلول جميع الأقساط قبل موعدها المقرر، إذا تأخر المدين عن أداء بعض الأقساط، مع رضاه بهذا الشرط عند بداية عقد التقسيط</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864"/>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w:t>
      </w:r>
    </w:p>
    <w:p w14:paraId="6C7D4A8F" w14:textId="77777777" w:rsidR="00201DD5" w:rsidRPr="00001A51" w:rsidRDefault="00201DD5"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2- يجوز أن يرهن المبيع أو غيره، من أجل حفظ حقه في استيفاء جميع الأقساط المرتبة من بيع الرهن، ورد الباقي للمدين، وله أن يطلب كفيلاً يضمن له الوفاء بالدين، ويأخذ منه القسط عند تقصير المدين الأصيل بالسداد</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865"/>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w:t>
      </w:r>
    </w:p>
    <w:p w14:paraId="1DA2436B" w14:textId="77777777" w:rsidR="00201DD5" w:rsidRPr="00001A51" w:rsidRDefault="00201DD5"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3- اللجوء إلى القضاء من أجل المطالبة بتعويض عن الضرر الفعلي الذي حصل له، وإن كان فيه تفويت الفرصة في الربح على ضوء المسؤولية التقصيرية للمماطل.</w:t>
      </w:r>
    </w:p>
    <w:p w14:paraId="75010FE6" w14:textId="77777777" w:rsidR="00201DD5" w:rsidRPr="00001A51" w:rsidRDefault="00201DD5"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4- دراسة الكفاءة الائتمانية للعميل، من خلال تقرير كريف (</w:t>
      </w:r>
      <w:r w:rsidRPr="00001A51">
        <w:rPr>
          <w:rFonts w:ascii="Arabic Transparent" w:hAnsi="Arabic Transparent" w:cs="Arabic Transparent"/>
          <w:sz w:val="28"/>
          <w:szCs w:val="28"/>
          <w:lang w:bidi="ar-JO"/>
        </w:rPr>
        <w:t>CRIF</w:t>
      </w:r>
      <w:r w:rsidRPr="00001A51">
        <w:rPr>
          <w:rFonts w:ascii="Arabic Transparent" w:hAnsi="Arabic Transparent" w:cs="Arabic Transparent"/>
          <w:sz w:val="28"/>
          <w:szCs w:val="28"/>
          <w:rtl/>
          <w:lang w:bidi="ar-JO"/>
        </w:rPr>
        <w:t>) الائتماني في الأردن الذي يعرّف المصرف على الماضي الائتماني للعميل مع البنوك المحلية ومدى التزامه بسداد الديون</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866"/>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w:t>
      </w:r>
    </w:p>
    <w:p w14:paraId="44CBD4F4" w14:textId="77777777" w:rsidR="00201DD5" w:rsidRPr="00001A51" w:rsidRDefault="00201DD5" w:rsidP="00201DD5">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 xml:space="preserve">ثالثاً: تحليل الفتاوى السابقة وتنقيح المناط العام:  </w:t>
      </w:r>
    </w:p>
    <w:p w14:paraId="5AB56BC8" w14:textId="45C33406" w:rsidR="00201DD5" w:rsidRPr="00001A51" w:rsidRDefault="005D7B91"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201DD5" w:rsidRPr="00001A51">
        <w:rPr>
          <w:rFonts w:ascii="Arabic Transparent" w:hAnsi="Arabic Transparent" w:cs="Arabic Transparent"/>
          <w:sz w:val="28"/>
          <w:szCs w:val="28"/>
          <w:rtl/>
          <w:lang w:bidi="ar-JO"/>
        </w:rPr>
        <w:t xml:space="preserve"> بعد الاستقراء العام للفتاوى السابقة وتحليلها، تبين أن جميع العلماء متفقون على أن الزيادة على الدين باشتراط أو من دون اشتراط من الربا المحرم الذي كان في الجاهلية، تحت عنوان "زدني أنظرك"</w:t>
      </w:r>
      <w:r w:rsidR="00201DD5" w:rsidRPr="00001A51">
        <w:rPr>
          <w:rFonts w:ascii="Arabic Transparent" w:hAnsi="Arabic Transparent" w:cs="Arabic Transparent"/>
          <w:sz w:val="28"/>
          <w:szCs w:val="28"/>
          <w:vertAlign w:val="superscript"/>
          <w:rtl/>
          <w:lang w:bidi="ar-JO"/>
        </w:rPr>
        <w:t>(</w:t>
      </w:r>
      <w:r w:rsidR="00201DD5" w:rsidRPr="00001A51">
        <w:rPr>
          <w:rFonts w:ascii="Arabic Transparent" w:hAnsi="Arabic Transparent" w:cs="Arabic Transparent"/>
          <w:sz w:val="28"/>
          <w:szCs w:val="28"/>
          <w:vertAlign w:val="superscript"/>
          <w:rtl/>
          <w:lang w:bidi="ar-JO"/>
        </w:rPr>
        <w:footnoteReference w:id="867"/>
      </w:r>
      <w:r w:rsidR="00201DD5" w:rsidRPr="00001A51">
        <w:rPr>
          <w:rFonts w:ascii="Arabic Transparent" w:hAnsi="Arabic Transparent" w:cs="Arabic Transparent"/>
          <w:sz w:val="28"/>
          <w:szCs w:val="28"/>
          <w:vertAlign w:val="superscript"/>
          <w:rtl/>
          <w:lang w:bidi="ar-JO"/>
        </w:rPr>
        <w:t>)</w:t>
      </w:r>
      <w:r w:rsidR="00201DD5" w:rsidRPr="00001A51">
        <w:rPr>
          <w:rFonts w:ascii="Arabic Transparent" w:hAnsi="Arabic Transparent" w:cs="Arabic Transparent"/>
          <w:sz w:val="28"/>
          <w:szCs w:val="28"/>
          <w:rtl/>
          <w:lang w:bidi="ar-JO"/>
        </w:rPr>
        <w:t xml:space="preserve">، </w:t>
      </w:r>
    </w:p>
    <w:p w14:paraId="779AD399" w14:textId="17F5DCC5" w:rsidR="00F21D04" w:rsidRPr="00001A51" w:rsidRDefault="00744A1A" w:rsidP="00F21D04">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hint="cs"/>
          <w:sz w:val="28"/>
          <w:szCs w:val="28"/>
          <w:rtl/>
          <w:lang w:bidi="ar-JO"/>
        </w:rPr>
        <w:t xml:space="preserve">     </w:t>
      </w:r>
      <w:r w:rsidR="00201DD5" w:rsidRPr="00001A51">
        <w:rPr>
          <w:rFonts w:ascii="Arabic Transparent" w:hAnsi="Arabic Transparent" w:cs="Arabic Transparent"/>
          <w:sz w:val="28"/>
          <w:szCs w:val="28"/>
          <w:rtl/>
          <w:lang w:bidi="ar-JO"/>
        </w:rPr>
        <w:t xml:space="preserve">ومن قواعد المعاملات عدم جواز الزيادة على الدين المؤجل، ومن جوّز الزيادة في حدود معينة على </w:t>
      </w:r>
      <w:r w:rsidR="00DA3039" w:rsidRPr="00001A51">
        <w:rPr>
          <w:rFonts w:ascii="Arabic Transparent" w:hAnsi="Arabic Transparent" w:cs="Arabic Transparent" w:hint="cs"/>
          <w:sz w:val="28"/>
          <w:szCs w:val="28"/>
          <w:rtl/>
          <w:lang w:bidi="ar-JO"/>
        </w:rPr>
        <w:t>قروض تمويل</w:t>
      </w:r>
      <w:r w:rsidR="00201DD5" w:rsidRPr="00001A51">
        <w:rPr>
          <w:rFonts w:ascii="Arabic Transparent" w:hAnsi="Arabic Transparent" w:cs="Arabic Transparent"/>
          <w:sz w:val="28"/>
          <w:szCs w:val="28"/>
          <w:rtl/>
          <w:lang w:bidi="ar-JO"/>
        </w:rPr>
        <w:t xml:space="preserve"> الاستثمار الذي يرجو منه المصرف استثمار أمواله وأموال المودعين، ففي هذه الحالة نظر المجيزون إلى تكييف المدين على أنه ظالم، وحاله حال الغاصب الذي يطالب بالضمان وزيادة لفوات منافع المغصوب، فلو كانت شاة مغصوبةً، يؤمر </w:t>
      </w:r>
      <w:r w:rsidR="00DA3039" w:rsidRPr="00001A51">
        <w:rPr>
          <w:rFonts w:ascii="Arabic Transparent" w:hAnsi="Arabic Transparent" w:cs="Arabic Transparent" w:hint="cs"/>
          <w:sz w:val="28"/>
          <w:szCs w:val="28"/>
          <w:rtl/>
          <w:lang w:bidi="ar-JO"/>
        </w:rPr>
        <w:t>الغاصب بضمان</w:t>
      </w:r>
      <w:r w:rsidR="00201DD5" w:rsidRPr="00001A51">
        <w:rPr>
          <w:rFonts w:ascii="Arabic Transparent" w:hAnsi="Arabic Transparent" w:cs="Arabic Transparent"/>
          <w:sz w:val="28"/>
          <w:szCs w:val="28"/>
          <w:rtl/>
          <w:lang w:bidi="ar-JO"/>
        </w:rPr>
        <w:t xml:space="preserve"> ثمنها </w:t>
      </w:r>
      <w:r w:rsidR="00201DD5" w:rsidRPr="00001A51">
        <w:rPr>
          <w:rFonts w:ascii="Arabic Transparent" w:hAnsi="Arabic Transparent" w:cs="Arabic Transparent"/>
          <w:sz w:val="28"/>
          <w:szCs w:val="28"/>
          <w:rtl/>
          <w:lang w:bidi="ar-JO"/>
        </w:rPr>
        <w:lastRenderedPageBreak/>
        <w:t xml:space="preserve">واللبن الذي استعمله خلال فترة غصبه </w:t>
      </w:r>
      <w:r w:rsidR="00DA3039" w:rsidRPr="00001A51">
        <w:rPr>
          <w:rFonts w:ascii="Arabic Transparent" w:hAnsi="Arabic Transparent" w:cs="Arabic Transparent" w:hint="cs"/>
          <w:sz w:val="28"/>
          <w:szCs w:val="28"/>
          <w:rtl/>
          <w:lang w:bidi="ar-JO"/>
        </w:rPr>
        <w:t>وكان</w:t>
      </w:r>
      <w:r w:rsidR="00201DD5" w:rsidRPr="00001A51">
        <w:rPr>
          <w:rFonts w:ascii="Arabic Transparent" w:hAnsi="Arabic Transparent" w:cs="Arabic Transparent"/>
          <w:sz w:val="28"/>
          <w:szCs w:val="28"/>
          <w:rtl/>
          <w:lang w:bidi="ar-JO"/>
        </w:rPr>
        <w:t xml:space="preserve"> الرد: أن هذه المسألة هي محل خلاف، فالحنفية يقولون</w:t>
      </w:r>
      <w:r w:rsidR="005D7B91" w:rsidRPr="00001A51">
        <w:rPr>
          <w:rFonts w:ascii="Arabic Transparent" w:hAnsi="Arabic Transparent" w:cs="Arabic Transparent"/>
          <w:sz w:val="28"/>
          <w:szCs w:val="28"/>
          <w:rtl/>
          <w:lang w:bidi="ar-JO"/>
        </w:rPr>
        <w:t xml:space="preserve">: </w:t>
      </w:r>
      <w:r w:rsidR="00201DD5" w:rsidRPr="00001A51">
        <w:rPr>
          <w:rFonts w:ascii="Arabic Transparent" w:hAnsi="Arabic Transparent" w:cs="Arabic Transparent"/>
          <w:sz w:val="28"/>
          <w:szCs w:val="28"/>
          <w:rtl/>
          <w:lang w:bidi="ar-JO"/>
        </w:rPr>
        <w:t>"يستحق الغاصب ‌منافع ‌المغصوب بمقابلة ضمانه"</w:t>
      </w:r>
      <w:r w:rsidR="00201DD5" w:rsidRPr="00001A51">
        <w:rPr>
          <w:rFonts w:ascii="Arabic Transparent" w:hAnsi="Arabic Transparent" w:cs="Arabic Transparent"/>
          <w:sz w:val="28"/>
          <w:szCs w:val="28"/>
          <w:vertAlign w:val="superscript"/>
          <w:rtl/>
          <w:lang w:bidi="ar-JO"/>
        </w:rPr>
        <w:t>(</w:t>
      </w:r>
      <w:r w:rsidR="00201DD5" w:rsidRPr="00001A51">
        <w:rPr>
          <w:rFonts w:ascii="Arabic Transparent" w:hAnsi="Arabic Transparent" w:cs="Arabic Transparent"/>
          <w:sz w:val="28"/>
          <w:szCs w:val="28"/>
          <w:vertAlign w:val="superscript"/>
          <w:rtl/>
          <w:lang w:bidi="ar-JO"/>
        </w:rPr>
        <w:footnoteReference w:id="868"/>
      </w:r>
      <w:r w:rsidR="00201DD5" w:rsidRPr="00001A51">
        <w:rPr>
          <w:rFonts w:ascii="Arabic Transparent" w:hAnsi="Arabic Transparent" w:cs="Arabic Transparent"/>
          <w:sz w:val="28"/>
          <w:szCs w:val="28"/>
          <w:vertAlign w:val="superscript"/>
          <w:rtl/>
          <w:lang w:bidi="ar-JO"/>
        </w:rPr>
        <w:t>)</w:t>
      </w:r>
      <w:r w:rsidR="00201DD5" w:rsidRPr="00001A51">
        <w:rPr>
          <w:rFonts w:ascii="Arabic Transparent" w:hAnsi="Arabic Transparent" w:cs="Arabic Transparent"/>
          <w:sz w:val="28"/>
          <w:szCs w:val="28"/>
          <w:rtl/>
          <w:lang w:bidi="ar-JO"/>
        </w:rPr>
        <w:t>، وأما جمهور، الفقهاء من المالكية</w:t>
      </w:r>
      <w:r w:rsidR="00201DD5" w:rsidRPr="00001A51">
        <w:rPr>
          <w:rFonts w:ascii="Arabic Transparent" w:hAnsi="Arabic Transparent" w:cs="Arabic Transparent"/>
          <w:sz w:val="28"/>
          <w:szCs w:val="28"/>
          <w:vertAlign w:val="superscript"/>
          <w:rtl/>
          <w:lang w:bidi="ar-JO"/>
        </w:rPr>
        <w:t>(</w:t>
      </w:r>
      <w:r w:rsidR="00201DD5" w:rsidRPr="00001A51">
        <w:rPr>
          <w:rFonts w:ascii="Arabic Transparent" w:hAnsi="Arabic Transparent" w:cs="Arabic Transparent"/>
          <w:sz w:val="28"/>
          <w:szCs w:val="28"/>
          <w:vertAlign w:val="superscript"/>
          <w:rtl/>
          <w:lang w:bidi="ar-JO"/>
        </w:rPr>
        <w:footnoteReference w:id="869"/>
      </w:r>
      <w:r w:rsidR="00201DD5" w:rsidRPr="00001A51">
        <w:rPr>
          <w:rFonts w:ascii="Arabic Transparent" w:hAnsi="Arabic Transparent" w:cs="Arabic Transparent"/>
          <w:sz w:val="28"/>
          <w:szCs w:val="28"/>
          <w:vertAlign w:val="superscript"/>
          <w:rtl/>
          <w:lang w:bidi="ar-JO"/>
        </w:rPr>
        <w:t>)</w:t>
      </w:r>
      <w:r w:rsidR="00201DD5" w:rsidRPr="00001A51">
        <w:rPr>
          <w:rFonts w:ascii="Arabic Transparent" w:hAnsi="Arabic Transparent" w:cs="Arabic Transparent"/>
          <w:sz w:val="28"/>
          <w:szCs w:val="28"/>
          <w:rtl/>
          <w:lang w:bidi="ar-JO"/>
        </w:rPr>
        <w:t xml:space="preserve"> والشافعية</w:t>
      </w:r>
      <w:r w:rsidR="00201DD5" w:rsidRPr="00001A51">
        <w:rPr>
          <w:rFonts w:ascii="Arabic Transparent" w:hAnsi="Arabic Transparent" w:cs="Arabic Transparent"/>
          <w:sz w:val="28"/>
          <w:szCs w:val="28"/>
          <w:vertAlign w:val="superscript"/>
          <w:rtl/>
          <w:lang w:bidi="ar-JO"/>
        </w:rPr>
        <w:t>(</w:t>
      </w:r>
      <w:r w:rsidR="00201DD5" w:rsidRPr="00001A51">
        <w:rPr>
          <w:rFonts w:ascii="Arabic Transparent" w:hAnsi="Arabic Transparent" w:cs="Arabic Transparent"/>
          <w:sz w:val="28"/>
          <w:szCs w:val="28"/>
          <w:vertAlign w:val="superscript"/>
          <w:rtl/>
          <w:lang w:bidi="ar-JO"/>
        </w:rPr>
        <w:footnoteReference w:id="870"/>
      </w:r>
      <w:r w:rsidR="00201DD5" w:rsidRPr="00001A51">
        <w:rPr>
          <w:rFonts w:ascii="Arabic Transparent" w:hAnsi="Arabic Transparent" w:cs="Arabic Transparent"/>
          <w:sz w:val="28"/>
          <w:szCs w:val="28"/>
          <w:vertAlign w:val="superscript"/>
          <w:rtl/>
          <w:lang w:bidi="ar-JO"/>
        </w:rPr>
        <w:t>)</w:t>
      </w:r>
      <w:r w:rsidR="00F21D04" w:rsidRPr="00001A51">
        <w:rPr>
          <w:rFonts w:ascii="Arabic Transparent" w:hAnsi="Arabic Transparent" w:cs="Arabic Transparent" w:hint="cs"/>
          <w:sz w:val="28"/>
          <w:szCs w:val="28"/>
          <w:rtl/>
          <w:lang w:bidi="ar-JO"/>
        </w:rPr>
        <w:t xml:space="preserve"> </w:t>
      </w:r>
      <w:r w:rsidR="00F21D04" w:rsidRPr="00001A51">
        <w:rPr>
          <w:rFonts w:ascii="Arabic Transparent" w:hAnsi="Arabic Transparent" w:cs="Arabic Transparent"/>
          <w:sz w:val="28"/>
          <w:szCs w:val="28"/>
          <w:rtl/>
          <w:lang w:bidi="ar-JO"/>
        </w:rPr>
        <w:br w:type="page"/>
      </w:r>
    </w:p>
    <w:p w14:paraId="53B73662" w14:textId="3D441307" w:rsidR="00201DD5" w:rsidRPr="00001A51" w:rsidRDefault="00201DD5" w:rsidP="004E02F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والحنابلة</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871"/>
      </w:r>
      <w:r w:rsidRPr="00001A51">
        <w:rPr>
          <w:rFonts w:ascii="Arabic Transparent" w:hAnsi="Arabic Transparent" w:cs="Arabic Transparent"/>
          <w:sz w:val="28"/>
          <w:szCs w:val="28"/>
          <w:vertAlign w:val="superscript"/>
          <w:rtl/>
          <w:lang w:bidi="ar-JO"/>
        </w:rPr>
        <w:t>)</w:t>
      </w:r>
      <w:r w:rsidR="005D7B91" w:rsidRPr="00001A51">
        <w:rPr>
          <w:rFonts w:ascii="Arabic Transparent" w:hAnsi="Arabic Transparent" w:cs="Arabic Transparent"/>
          <w:sz w:val="28"/>
          <w:szCs w:val="28"/>
          <w:rtl/>
          <w:lang w:bidi="ar-JO"/>
        </w:rPr>
        <w:t xml:space="preserve">، </w:t>
      </w:r>
      <w:r w:rsidRPr="00001A51">
        <w:rPr>
          <w:rFonts w:ascii="Arabic Transparent" w:hAnsi="Arabic Transparent" w:cs="Arabic Transparent"/>
          <w:sz w:val="28"/>
          <w:szCs w:val="28"/>
          <w:rtl/>
          <w:lang w:bidi="ar-JO"/>
        </w:rPr>
        <w:t>فلهم "أن منافع المغصوب وغلته مضمونة على الغاصب"</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872"/>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التساؤل الثاني: هل يكيّف المدين الغني المماطل كما هو الغاصب لتقاس عليه الأحكام الشرعية؟ وإن كان كذلك فيأخذ المصرف الإسلامي حقه من خلال القضاء العادل أم من خلال قيد غرامة على مبلغ الدين مباشرة.</w:t>
      </w:r>
    </w:p>
    <w:p w14:paraId="36AE34C7" w14:textId="36C778B2" w:rsidR="00201DD5" w:rsidRPr="00001A51" w:rsidRDefault="005D7B91" w:rsidP="00201DD5">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 xml:space="preserve">     </w:t>
      </w:r>
      <w:r w:rsidR="00201DD5" w:rsidRPr="00001A51">
        <w:rPr>
          <w:rFonts w:ascii="Arabic Transparent" w:hAnsi="Arabic Transparent" w:cs="Arabic Transparent"/>
          <w:sz w:val="28"/>
          <w:szCs w:val="28"/>
          <w:rtl/>
          <w:lang w:bidi="ar-JO"/>
        </w:rPr>
        <w:t>وبعد استثناء الأوصاف غير المؤثرة في الحكم على المسألة، وهي التعزير والعقوبة التي هي من سلطة الإمام في الدولة أو من ينوب عنه، واستثناء نوع المدين، ونوع العقود التي تعامل معها وعدد النقود وغيرها، فأصل المسألة والمناط العام الذي ثبتت حرمته بالشريعة الإسلامية ألا وهو كل زيادة مالية بشرط أو بغير شرط على دين ثبت في الذمة لمجرد التأخر في الوفاء، فهي حرام شرعاً</w:t>
      </w:r>
      <w:r w:rsidR="00201DD5" w:rsidRPr="00001A51">
        <w:rPr>
          <w:rFonts w:ascii="Arabic Transparent" w:hAnsi="Arabic Transparent" w:cs="Arabic Transparent"/>
          <w:sz w:val="28"/>
          <w:szCs w:val="28"/>
          <w:vertAlign w:val="superscript"/>
          <w:rtl/>
          <w:lang w:bidi="ar-JO"/>
        </w:rPr>
        <w:t>(</w:t>
      </w:r>
      <w:r w:rsidR="00201DD5" w:rsidRPr="00001A51">
        <w:rPr>
          <w:rFonts w:ascii="Arabic Transparent" w:hAnsi="Arabic Transparent" w:cs="Arabic Transparent"/>
          <w:sz w:val="28"/>
          <w:szCs w:val="28"/>
          <w:vertAlign w:val="superscript"/>
          <w:rtl/>
          <w:lang w:bidi="ar-JO"/>
        </w:rPr>
        <w:footnoteReference w:id="873"/>
      </w:r>
      <w:r w:rsidR="00201DD5" w:rsidRPr="00001A51">
        <w:rPr>
          <w:rFonts w:ascii="Arabic Transparent" w:hAnsi="Arabic Transparent" w:cs="Arabic Transparent"/>
          <w:sz w:val="28"/>
          <w:szCs w:val="28"/>
          <w:vertAlign w:val="superscript"/>
          <w:rtl/>
          <w:lang w:bidi="ar-JO"/>
        </w:rPr>
        <w:t>)</w:t>
      </w:r>
      <w:r w:rsidR="00D9288F" w:rsidRPr="00001A51">
        <w:rPr>
          <w:rFonts w:ascii="Arabic Transparent" w:hAnsi="Arabic Transparent" w:cs="Arabic Transparent" w:hint="cs"/>
          <w:sz w:val="28"/>
          <w:szCs w:val="28"/>
          <w:rtl/>
          <w:lang w:bidi="ar-JO"/>
        </w:rPr>
        <w:t>.</w:t>
      </w:r>
    </w:p>
    <w:p w14:paraId="542B94B4" w14:textId="77777777" w:rsidR="00201DD5" w:rsidRPr="00001A51" w:rsidRDefault="00201DD5" w:rsidP="00201DD5">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الفرع الثالث: وجه التفاوت في تحقيق المناط الخاص</w:t>
      </w:r>
    </w:p>
    <w:p w14:paraId="26F49223" w14:textId="06D99D3A" w:rsidR="00201DD5" w:rsidRPr="00001A51" w:rsidRDefault="005D7B91" w:rsidP="00201DD5">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 xml:space="preserve">     </w:t>
      </w:r>
      <w:r w:rsidR="00201DD5" w:rsidRPr="00001A51">
        <w:rPr>
          <w:rFonts w:ascii="Arabic Transparent" w:hAnsi="Arabic Transparent" w:cs="Arabic Transparent"/>
          <w:sz w:val="28"/>
          <w:szCs w:val="28"/>
          <w:rtl/>
          <w:lang w:bidi="ar-JO"/>
        </w:rPr>
        <w:t xml:space="preserve">إنّ التفاوت الذي تثبته الفتاوى التي تجيز غرامة التأخير لا يظهر في أصل القاعدة العامة التي ثبتت بالنصوص القطعية، فمسألة الزيادة على الدين لأجل الزمن محرَّمة كما بينا سابقاً، ويظهر التفاوت الذي يثبت به حكماً جديداً عند تحقيق المناط الخاص بما يأتي: </w:t>
      </w:r>
    </w:p>
    <w:p w14:paraId="30D6B8A2" w14:textId="3017DCFC" w:rsidR="00201DD5" w:rsidRPr="00001A51" w:rsidRDefault="00201DD5" w:rsidP="00201DD5">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أولاً: تفاوت في الحكم يعود للواقعة</w:t>
      </w:r>
      <w:r w:rsidR="00151AED" w:rsidRPr="00001A51">
        <w:rPr>
          <w:rFonts w:ascii="Arabic Transparent" w:hAnsi="Arabic Transparent" w:cs="Arabic Transparent"/>
          <w:b/>
          <w:bCs/>
          <w:sz w:val="28"/>
          <w:szCs w:val="28"/>
          <w:rtl/>
          <w:lang w:bidi="ar-JO"/>
        </w:rPr>
        <w:t xml:space="preserve">: </w:t>
      </w:r>
    </w:p>
    <w:p w14:paraId="3875F9F7" w14:textId="4AA42F9E" w:rsidR="00201DD5" w:rsidRPr="00001A51" w:rsidRDefault="005D7B91"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201DD5" w:rsidRPr="00001A51">
        <w:rPr>
          <w:rFonts w:ascii="Arabic Transparent" w:hAnsi="Arabic Transparent" w:cs="Arabic Transparent"/>
          <w:sz w:val="28"/>
          <w:szCs w:val="28"/>
          <w:rtl/>
          <w:lang w:bidi="ar-JO"/>
        </w:rPr>
        <w:t>إنَّ التفاوت في الحكم الذي يعود إلى الواقعة في تقرير حكم الزيادة، يكون في وجود تكييف شرعي للزيادة من قبل الحلول والبدائل الشرعية المتوفرة، والتي تُمكن المصرف من الحفاظ على</w:t>
      </w:r>
    </w:p>
    <w:p w14:paraId="67879F74" w14:textId="4DE50DA1" w:rsidR="00AE633A" w:rsidRPr="00001A51" w:rsidRDefault="00201DD5" w:rsidP="004E02F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مصالحه وسير أرباح استثماراته، بالطرق التي تجعل التعويض جائزاً عند المجتهدين المعاصرين وهي كما يأتي: </w:t>
      </w:r>
    </w:p>
    <w:p w14:paraId="16CB84FE" w14:textId="080CE385" w:rsidR="00201DD5" w:rsidRPr="00001A51" w:rsidRDefault="00201DD5"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1- إذا كانت الغرامة حكماً قضائياً، حكم بها بعد ثبوت الضرر من تأخر الغني فهي ليس ذات صورة الزيادة المحرمة في مقابلة تأخير الدين</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874"/>
      </w:r>
      <w:r w:rsidR="00DA3039" w:rsidRPr="00001A51">
        <w:rPr>
          <w:rFonts w:ascii="Arabic Transparent" w:hAnsi="Arabic Transparent" w:cs="Arabic Transparent" w:hint="cs"/>
          <w:sz w:val="28"/>
          <w:szCs w:val="28"/>
          <w:vertAlign w:val="superscript"/>
          <w:rtl/>
          <w:lang w:bidi="ar-JO"/>
        </w:rPr>
        <w:t>)</w:t>
      </w:r>
      <w:r w:rsidR="00DA3039" w:rsidRPr="00001A51">
        <w:rPr>
          <w:rFonts w:ascii="Arabic Transparent" w:hAnsi="Arabic Transparent" w:cs="Arabic Transparent" w:hint="cs"/>
          <w:sz w:val="28"/>
          <w:szCs w:val="28"/>
          <w:rtl/>
          <w:lang w:bidi="ar-JO"/>
        </w:rPr>
        <w:t>.</w:t>
      </w:r>
    </w:p>
    <w:p w14:paraId="3004A739" w14:textId="77777777" w:rsidR="00F21D04" w:rsidRPr="00001A51" w:rsidRDefault="00201DD5"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2- إذا كانت الزيادة (الغرامة ليست مرتبطة بالدين تحديداً) وكان لها غاية الزجر والردع والتنظيم وسداً للذريعة، فهي جائزة على خلاف الأصل، كتعجيل تقديم الإقرار الضريبي، كتعجيل تسجيل </w:t>
      </w:r>
      <w:r w:rsidRPr="00001A51">
        <w:rPr>
          <w:rFonts w:ascii="Arabic Transparent" w:hAnsi="Arabic Transparent" w:cs="Arabic Transparent"/>
          <w:sz w:val="28"/>
          <w:szCs w:val="28"/>
          <w:rtl/>
          <w:lang w:bidi="ar-JO"/>
        </w:rPr>
        <w:lastRenderedPageBreak/>
        <w:t xml:space="preserve">الطالب الجامعي، وتعجيل ترخيص البناء ورخصة السيارة، وغيرها، بشرط أن تكون الغرامة قليلة </w:t>
      </w:r>
    </w:p>
    <w:p w14:paraId="5B15DB01" w14:textId="77777777" w:rsidR="00F21D04" w:rsidRPr="00001A51" w:rsidRDefault="00F21D04">
      <w:pPr>
        <w:bidi w:val="0"/>
        <w:spacing w:after="0" w:line="240" w:lineRule="auto"/>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br w:type="page"/>
      </w:r>
    </w:p>
    <w:p w14:paraId="18B9B282" w14:textId="3D90122B" w:rsidR="00201DD5" w:rsidRPr="00001A51" w:rsidRDefault="00201DD5"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وغير مرتبطة بالمال، وأما إذا تمحّضت الغرامة بنسبة مئوية تتعلق بالمال فهي من قبل الربا الذي فيه أكل لأموال الناس بالباطل</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875"/>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w:t>
      </w:r>
    </w:p>
    <w:p w14:paraId="2701DB7A" w14:textId="77777777" w:rsidR="00201DD5" w:rsidRPr="00001A51" w:rsidRDefault="00201DD5"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3- إذا كانت الواقعة: "عقد استصناع أو مقاولة أو توريد، وليست ديناً محضاً، فإن الشرط الجزائي قد ينظر فيه بصفته تعويضاً عن ضرر تأخر الأعمال لا زيادة على أصل الدين"</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876"/>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w:t>
      </w:r>
    </w:p>
    <w:p w14:paraId="0D4D9E48" w14:textId="06CD221B" w:rsidR="00201DD5" w:rsidRPr="00001A51" w:rsidRDefault="00201DD5"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4- يتحدد الحكم وينتقل من الحكم العام المقرر في الشريعة بمراعاة أمور تتفاوت في الواقعات وهي: الأول: "طبيعة الالتزام، </w:t>
      </w:r>
      <w:r w:rsidR="00DA3039" w:rsidRPr="00001A51">
        <w:rPr>
          <w:rFonts w:ascii="Arabic Transparent" w:hAnsi="Arabic Transparent" w:cs="Arabic Transparent" w:hint="cs"/>
          <w:sz w:val="28"/>
          <w:szCs w:val="28"/>
          <w:rtl/>
          <w:lang w:bidi="ar-JO"/>
        </w:rPr>
        <w:t>دين</w:t>
      </w:r>
      <w:r w:rsidR="00DA3039" w:rsidRPr="00001A51">
        <w:rPr>
          <w:rFonts w:ascii="Arabic Transparent" w:hAnsi="Arabic Transparent" w:cs="Arabic Transparent" w:hint="eastAsia"/>
          <w:sz w:val="28"/>
          <w:szCs w:val="28"/>
          <w:rtl/>
          <w:lang w:bidi="ar-JO"/>
        </w:rPr>
        <w:t>،</w:t>
      </w:r>
      <w:r w:rsidRPr="00001A51">
        <w:rPr>
          <w:rFonts w:ascii="Arabic Transparent" w:hAnsi="Arabic Transparent" w:cs="Arabic Transparent"/>
          <w:sz w:val="28"/>
          <w:szCs w:val="28"/>
          <w:rtl/>
          <w:lang w:bidi="ar-JO"/>
        </w:rPr>
        <w:t xml:space="preserve"> أم عمل، أم خدمة، الثاني: الجهة الملزمة بالغرامة: الجهة القضائية، أم شخصية اعتبارية، الثالث: المعالجة</w:t>
      </w:r>
      <w:r w:rsidR="005D7B91" w:rsidRPr="00001A51">
        <w:rPr>
          <w:rFonts w:ascii="Arabic Transparent" w:hAnsi="Arabic Transparent" w:cs="Arabic Transparent"/>
          <w:sz w:val="28"/>
          <w:szCs w:val="28"/>
          <w:rtl/>
          <w:lang w:bidi="ar-JO"/>
        </w:rPr>
        <w:t xml:space="preserve">: </w:t>
      </w:r>
      <w:r w:rsidRPr="00001A51">
        <w:rPr>
          <w:rFonts w:ascii="Arabic Transparent" w:hAnsi="Arabic Transparent" w:cs="Arabic Transparent"/>
          <w:sz w:val="28"/>
          <w:szCs w:val="28"/>
          <w:rtl/>
          <w:lang w:bidi="ar-JO"/>
        </w:rPr>
        <w:t>زيادة على الدين نفسه، وتكون زيادة مئوية، أم ردع بمبلغ مقطوع منفصل عن الدين، الرابع: حال المتعامل: في سعة واختيار، أم في ضرورة وحاجة عامة، الخامس: نوع الضرر: ضرر متوقع ومحتمل، أم ضرر فعلي ناشئ يثبته القضاء"</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877"/>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w:t>
      </w:r>
    </w:p>
    <w:p w14:paraId="10E6AE9F" w14:textId="273C696E" w:rsidR="00201DD5" w:rsidRPr="00001A51" w:rsidRDefault="00201DD5" w:rsidP="004E02F5">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sz w:val="28"/>
          <w:szCs w:val="28"/>
          <w:rtl/>
          <w:lang w:bidi="ar-JO"/>
        </w:rPr>
        <w:t>5- التفاوت في هذه المسألة في التحديد متقلب كثيراً، لتغير الأحوال والمعطيات لكل مسألة فعند الاستقراء تجد أن الهيئة الشرعية الواحدة لديها مسائل بالإباحة وأخرى بالتحريم وفق المعطيات التي تتعامل معها</w:t>
      </w:r>
      <w:r w:rsidR="00AE633A" w:rsidRPr="00001A51">
        <w:rPr>
          <w:rFonts w:ascii="Arabic Transparent" w:hAnsi="Arabic Transparent" w:cs="Arabic Transparent" w:hint="cs"/>
          <w:sz w:val="28"/>
          <w:szCs w:val="28"/>
          <w:rtl/>
          <w:lang w:bidi="ar-JO"/>
        </w:rPr>
        <w:t>،</w:t>
      </w:r>
      <w:r w:rsidRPr="00001A51">
        <w:rPr>
          <w:rFonts w:ascii="Arabic Transparent" w:hAnsi="Arabic Transparent" w:cs="Arabic Transparent"/>
          <w:sz w:val="28"/>
          <w:szCs w:val="28"/>
          <w:rtl/>
          <w:lang w:bidi="ar-JO"/>
        </w:rPr>
        <w:t xml:space="preserve"> والغاية من الغرامة التي تريد أن تفرضها المؤسسة</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878"/>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w:t>
      </w:r>
    </w:p>
    <w:p w14:paraId="7CC5C660" w14:textId="0153CAE7" w:rsidR="00201DD5" w:rsidRPr="00001A51" w:rsidRDefault="00201DD5" w:rsidP="00201DD5">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ثانياً: تفاوت في الحكم يعود للاجتهاد ومناهجه</w:t>
      </w:r>
      <w:r w:rsidR="00151AED" w:rsidRPr="00001A51">
        <w:rPr>
          <w:rFonts w:ascii="Arabic Transparent" w:hAnsi="Arabic Transparent" w:cs="Arabic Transparent"/>
          <w:b/>
          <w:bCs/>
          <w:sz w:val="28"/>
          <w:szCs w:val="28"/>
          <w:rtl/>
          <w:lang w:bidi="ar-JO"/>
        </w:rPr>
        <w:t xml:space="preserve">: </w:t>
      </w:r>
    </w:p>
    <w:p w14:paraId="4A584F0E" w14:textId="20F1B670" w:rsidR="00201DD5" w:rsidRPr="00001A51" w:rsidRDefault="005D7B91"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201DD5" w:rsidRPr="00001A51">
        <w:rPr>
          <w:rFonts w:ascii="Arabic Transparent" w:hAnsi="Arabic Transparent" w:cs="Arabic Transparent"/>
          <w:sz w:val="28"/>
          <w:szCs w:val="28"/>
          <w:rtl/>
          <w:lang w:bidi="ar-JO"/>
        </w:rPr>
        <w:t xml:space="preserve">من التفاوت الذي يؤثر في الحكم ما يعود إلى الاجتهاد ومناهجه، أما بالنظر إلى مسألة غرامات التأخير، نجد أنَّ جلَّ التطبيقات تختلف من جهة الأوصاف المتغيرة بتغير الوقائع، وأما من جهة الاجتهاد ومناهجه، فالتفاوت قليل وهو كما يأتي: </w:t>
      </w:r>
    </w:p>
    <w:p w14:paraId="38DDA16E" w14:textId="04B62BBA" w:rsidR="00327C97" w:rsidRPr="00001A51" w:rsidRDefault="00201DD5"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1- بالنظر إلى أسباب التفاوت في الفتاوى السابقة فهي تعود إلى التفاوت في التقدير الاجتهادي والتكييف الفقهي، فمن أقدم الفتاوى المجمعية التي تحدثت حول هذه المسألة ونظرت إلى كونها محرمة؛ لأنها تأخذ صورة زيادة الدين مقابل الأجل؛ لذلك ألحقوها بربا الجاهلية وربا الديون</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879"/>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xml:space="preserve">. </w:t>
      </w:r>
    </w:p>
    <w:p w14:paraId="5BB82B60" w14:textId="77777777" w:rsidR="00327C97" w:rsidRPr="00001A51" w:rsidRDefault="00327C97">
      <w:pPr>
        <w:bidi w:val="0"/>
        <w:spacing w:after="0" w:line="240" w:lineRule="auto"/>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br w:type="page"/>
      </w:r>
    </w:p>
    <w:p w14:paraId="2986CE88" w14:textId="77777777" w:rsidR="00201DD5" w:rsidRPr="00001A51" w:rsidRDefault="00201DD5"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2- يكيّف الفريق القائل بإباحة المسألة على أنها تعويض عن ضرر نشأ منفصلاً عن حق الدائن، وهو بسبب تأخر منافع مال الدين، وضرر تكاليف التقاضي، وغيرها من الخسائر التي سوف يتحملها المصرف، فكان النظر الفقهي أنها ليست نسبة متعلقة بالمال، بل هي وجدت للردع والزجر عن التراخي في سداد الدين</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880"/>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w:t>
      </w:r>
    </w:p>
    <w:p w14:paraId="3496D510" w14:textId="09969380" w:rsidR="00201DD5" w:rsidRPr="00001A51" w:rsidRDefault="00201DD5" w:rsidP="004E02F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3- اتجه العديد من المجتهدين إلى إعمال النظريات الفقهية مثل نظرية الضمان، ونظرية التعسف في استعمال الحق، وغيرها، لتبرير التعويض عن الضرر الفعلي، وكذلك اتصف الفريق الذي يرى جواز الغرامة بالتقديم الاجتهاد المصلحي من خلال تغليب مصلحة المصارف الإسلامية على مصلحة العملاء، مع وجود بدائل قضائية ورضائية تحفظ له الحق</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881"/>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w:t>
      </w:r>
    </w:p>
    <w:p w14:paraId="1978A60D" w14:textId="77777777" w:rsidR="00201DD5" w:rsidRPr="00001A51" w:rsidRDefault="00201DD5" w:rsidP="00201DD5">
      <w:pPr>
        <w:spacing w:after="0" w:line="360" w:lineRule="auto"/>
        <w:jc w:val="both"/>
        <w:rPr>
          <w:rFonts w:ascii="Arabic Transparent" w:hAnsi="Arabic Transparent" w:cs="Arabic Transparent"/>
          <w:b/>
          <w:bCs/>
          <w:sz w:val="32"/>
          <w:szCs w:val="32"/>
          <w:rtl/>
          <w:lang w:bidi="ar-JO"/>
        </w:rPr>
      </w:pPr>
      <w:r w:rsidRPr="00001A51">
        <w:rPr>
          <w:rFonts w:ascii="Arabic Transparent" w:hAnsi="Arabic Transparent" w:cs="Arabic Transparent"/>
          <w:b/>
          <w:bCs/>
          <w:sz w:val="28"/>
          <w:szCs w:val="28"/>
          <w:rtl/>
          <w:lang w:bidi="ar-JO"/>
        </w:rPr>
        <w:t>الفرع الرابع: مراعاة أصول ضبط التفاوت</w:t>
      </w:r>
      <w:r w:rsidRPr="00001A51">
        <w:rPr>
          <w:rFonts w:ascii="Arabic Transparent" w:hAnsi="Arabic Transparent" w:cs="Arabic Transparent"/>
          <w:b/>
          <w:bCs/>
          <w:sz w:val="32"/>
          <w:szCs w:val="32"/>
          <w:rtl/>
          <w:lang w:bidi="ar-JO"/>
        </w:rPr>
        <w:t>:</w:t>
      </w:r>
    </w:p>
    <w:p w14:paraId="4486EF07" w14:textId="01B57AA2" w:rsidR="00201DD5" w:rsidRPr="00201DD5" w:rsidRDefault="005D7B91" w:rsidP="00201DD5">
      <w:pPr>
        <w:widowControl w:val="0"/>
        <w:autoSpaceDE w:val="0"/>
        <w:autoSpaceDN w:val="0"/>
        <w:adjustRightInd w:val="0"/>
        <w:spacing w:after="0" w:line="360" w:lineRule="auto"/>
        <w:contextualSpacing/>
        <w:jc w:val="both"/>
        <w:rPr>
          <w:rFonts w:ascii="Arabic Transparent" w:hAnsi="Arabic Transparent" w:cs="Arabic Transparent"/>
          <w:sz w:val="28"/>
          <w:szCs w:val="28"/>
          <w:rtl/>
          <w:lang w:bidi="ar-JO"/>
        </w:rPr>
      </w:pPr>
      <w:r w:rsidRPr="00001A51">
        <w:rPr>
          <w:rFonts w:ascii="Arabic Transparent" w:hAnsi="Arabic Transparent" w:cs="Arabic Transparent"/>
          <w:b/>
          <w:bCs/>
          <w:sz w:val="28"/>
          <w:szCs w:val="28"/>
          <w:rtl/>
          <w:lang w:bidi="ar-JO"/>
        </w:rPr>
        <w:t xml:space="preserve">     </w:t>
      </w:r>
      <w:r w:rsidR="00201DD5" w:rsidRPr="00001A51">
        <w:rPr>
          <w:rFonts w:ascii="Arabic Transparent" w:hAnsi="Arabic Transparent" w:cs="Arabic Transparent"/>
          <w:sz w:val="28"/>
          <w:szCs w:val="28"/>
          <w:rtl/>
          <w:lang w:bidi="ar-JO"/>
        </w:rPr>
        <w:t xml:space="preserve"> </w:t>
      </w:r>
      <w:r w:rsidR="00201DD5" w:rsidRPr="00201DD5">
        <w:rPr>
          <w:rFonts w:ascii="Arabic Transparent" w:hAnsi="Arabic Transparent" w:cs="Arabic Transparent"/>
          <w:sz w:val="28"/>
          <w:szCs w:val="28"/>
          <w:rtl/>
          <w:lang w:bidi="ar-JO"/>
        </w:rPr>
        <w:t>عند مراعاة أصول ضبط التفاوت والتي تساهم في ضبط التفاوت في الحكم الذي ينسب للواقعة أو للاجتهاد، يتبين للباحث ما يأتي:</w:t>
      </w:r>
    </w:p>
    <w:p w14:paraId="620DF921" w14:textId="323BB3CA" w:rsidR="00327C97" w:rsidRPr="00001A51" w:rsidRDefault="00201DD5" w:rsidP="004E02F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1- يراعى في النقود التفاوت زيادةً ونقصاناً عند المعاوضة بالسلع، ولا يراعى عند المعاوضة بالنقود، وعند المعاوضة بالزمن، وقد نقل غير واحد الإجماع</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882"/>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xml:space="preserve"> على عدم جواز التفاوت بالجنس أو القدر أو الوصف</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883"/>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xml:space="preserve"> عند سداد الدين ولو على سبيل المنفعة أو الهدية، قال ابن حجر: "وفيه جواز وفاء ما هو أفضل من المثل المقترض إذا لم تقع شرطية ذلك في العقد، فيحرم حينئذ اتفاقاً"</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884"/>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xml:space="preserve">، فإذا كانت من غير اتفاق كانت على سبيل الهبة، وأما بعض المصارف فيعتبرونها من </w:t>
      </w:r>
      <w:r w:rsidRPr="00001A51">
        <w:rPr>
          <w:rFonts w:ascii="Arabic Transparent" w:hAnsi="Arabic Transparent" w:cs="Arabic Transparent"/>
          <w:sz w:val="28"/>
          <w:szCs w:val="28"/>
          <w:rtl/>
          <w:lang w:bidi="ar-JO"/>
        </w:rPr>
        <w:lastRenderedPageBreak/>
        <w:t>الصدقة اللازمة التي تخرج في وجوه البر، وإن الإلزام بالهبة يعيدها إلى صورة الشرطية التي تقع قبل أو بعد العقد، وتدخل صاحبها بالمغرم والمأثم.</w:t>
      </w:r>
    </w:p>
    <w:p w14:paraId="376D1EA8" w14:textId="77777777" w:rsidR="00327C97" w:rsidRPr="00001A51" w:rsidRDefault="00327C97">
      <w:pPr>
        <w:bidi w:val="0"/>
        <w:spacing w:after="0" w:line="240" w:lineRule="auto"/>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br w:type="page"/>
      </w:r>
    </w:p>
    <w:p w14:paraId="3E266576" w14:textId="0FB9B2D3" w:rsidR="00201DD5" w:rsidRPr="00001A51" w:rsidRDefault="00201DD5" w:rsidP="004E02F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2- لا يمكن تنزيل جميع صور غرامات التأخر على ربا الديون وربا الجاهلية المحرم، للاختلاف بينهما في بعض الوجوه، منها أن المقرض كان يقول زدني أنظرك استغلالاً وجشعاً وطمعاً بمزيد ربح عند تعثر المدين عن سداد دينه (القرض)، وأما الغرامة التي تفرض غايتها ردع المدين والمليء عن المماطلة عن سداد دينه (عوض السلعة)، فتحتاج كل حالة إلى اجتهاد مستقل ونظر منفرد من أجل مراعاة التفاوت عند تحقيق المناط الخاص</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885"/>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w:t>
      </w:r>
    </w:p>
    <w:p w14:paraId="7D4824DF" w14:textId="2C925429" w:rsidR="00201DD5" w:rsidRPr="00001A51" w:rsidRDefault="00201DD5" w:rsidP="004E02F5">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sz w:val="28"/>
          <w:szCs w:val="28"/>
          <w:rtl/>
          <w:lang w:bidi="ar-JO"/>
        </w:rPr>
        <w:t xml:space="preserve">3- من الإنصاف العلمي ألا تُعطى جميع صور غرامة التأخر حكماً واحداً، فهي صور تتفاوت في الأوصاف والأجناس والمقادير، فيتولد عنه التفاوت في الحكم، وهي كما يأتي: </w:t>
      </w:r>
    </w:p>
    <w:p w14:paraId="53BB73AD" w14:textId="77777777" w:rsidR="00201DD5" w:rsidRPr="00001A51" w:rsidRDefault="00201DD5"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b/>
          <w:bCs/>
          <w:sz w:val="28"/>
          <w:szCs w:val="28"/>
          <w:rtl/>
          <w:lang w:bidi="ar-JO"/>
        </w:rPr>
        <w:t>أ-</w:t>
      </w:r>
      <w:r w:rsidRPr="00001A51">
        <w:rPr>
          <w:rFonts w:ascii="Arabic Transparent" w:hAnsi="Arabic Transparent" w:cs="Arabic Transparent"/>
          <w:sz w:val="28"/>
          <w:szCs w:val="28"/>
          <w:rtl/>
          <w:lang w:bidi="ar-JO"/>
        </w:rPr>
        <w:t xml:space="preserve"> الغرامة التي يكون فيها التعويض لأجل التأخير حصراً: وهذه الصورة محرمة، ونقلنا الإجماع عن غير واحد من العلماء المتقدمين والمتأخرين والمعاصرين على حرمتها</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886"/>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w:t>
      </w:r>
    </w:p>
    <w:p w14:paraId="595186A4" w14:textId="77777777" w:rsidR="00201DD5" w:rsidRPr="00001A51" w:rsidRDefault="00201DD5"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ب- الغرامة التي يلزم فيها المدين الموسر بالتعويض عن الضرر الفعلي، لا الضرر التقديري، والضرر الفعلي هو الذي يجوز له المطالبة به أمام المحاكم، والتعويض عن المنافع المعطلة </w:t>
      </w:r>
    </w:p>
    <w:p w14:paraId="27A736C5" w14:textId="08696E07" w:rsidR="00201DD5" w:rsidRPr="00001A51" w:rsidRDefault="00201DD5"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بمماطلة المدين من الأوصاف التي تجوز لحديث </w:t>
      </w:r>
      <w:r w:rsidR="00311235" w:rsidRPr="00001A51">
        <w:rPr>
          <w:rFonts w:ascii="Arabic Transparent" w:hAnsi="Arabic Transparent" w:cs="Arabic Transparent" w:hint="cs"/>
          <w:sz w:val="28"/>
          <w:szCs w:val="28"/>
          <w:rtl/>
          <w:lang w:bidi="ar-JO"/>
        </w:rPr>
        <w:t>"</w:t>
      </w:r>
      <w:r w:rsidRPr="00001A51">
        <w:rPr>
          <w:rFonts w:ascii="Arabic Transparent" w:hAnsi="Arabic Transparent" w:cs="Arabic Transparent"/>
          <w:sz w:val="28"/>
          <w:szCs w:val="28"/>
          <w:rtl/>
          <w:lang w:bidi="ar-JO"/>
        </w:rPr>
        <w:t>ليُّ الواجد يُحلّ عرضه وعقوبَته</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887"/>
      </w:r>
      <w:r w:rsidRPr="00001A51">
        <w:rPr>
          <w:rFonts w:ascii="Arabic Transparent" w:hAnsi="Arabic Transparent" w:cs="Arabic Transparent"/>
          <w:sz w:val="28"/>
          <w:szCs w:val="28"/>
          <w:vertAlign w:val="superscript"/>
          <w:rtl/>
          <w:lang w:bidi="ar-JO"/>
        </w:rPr>
        <w:t>)</w:t>
      </w:r>
      <w:r w:rsidR="00311235" w:rsidRPr="00001A51">
        <w:rPr>
          <w:rFonts w:ascii="Arabic Transparent" w:hAnsi="Arabic Transparent" w:cs="Arabic Transparent" w:hint="cs"/>
          <w:sz w:val="28"/>
          <w:szCs w:val="28"/>
          <w:rtl/>
          <w:lang w:bidi="ar-JO"/>
        </w:rPr>
        <w:t>"</w:t>
      </w:r>
      <w:r w:rsidRPr="00001A51">
        <w:rPr>
          <w:rFonts w:ascii="Arabic Transparent" w:hAnsi="Arabic Transparent" w:cs="Arabic Transparent"/>
          <w:sz w:val="28"/>
          <w:szCs w:val="28"/>
          <w:vertAlign w:val="superscript"/>
          <w:rtl/>
          <w:lang w:bidi="ar-JO"/>
        </w:rPr>
        <w:footnoteReference w:id="888"/>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والتي يجوز معها أخذ التعويض عن الضرر الواقع فعلاً، كعجز المصرف الوفاء بالتزام عليه، فيرتب عليه ضرائب وغرامات ورسوم للغير بسبب الدين الكبير للمدين المماطل والذي يجب رفعه وإزالته، وهي مما اختاره الشيخ صديق الضرير وآخرون</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889"/>
      </w:r>
      <w:r w:rsidRPr="00001A51">
        <w:rPr>
          <w:rFonts w:ascii="Arabic Transparent" w:hAnsi="Arabic Transparent" w:cs="Arabic Transparent"/>
          <w:sz w:val="28"/>
          <w:szCs w:val="28"/>
          <w:vertAlign w:val="superscript"/>
          <w:rtl/>
          <w:lang w:bidi="ar-JO"/>
        </w:rPr>
        <w:t>)</w:t>
      </w:r>
    </w:p>
    <w:p w14:paraId="0F7EDDAD" w14:textId="77777777" w:rsidR="00327C97" w:rsidRPr="00001A51" w:rsidRDefault="00201DD5"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ج-</w:t>
      </w:r>
      <w:r w:rsidRPr="00001A51">
        <w:rPr>
          <w:rFonts w:ascii="Arabic Transparent" w:hAnsi="Arabic Transparent" w:cs="Arabic Transparent"/>
          <w:b/>
          <w:bCs/>
          <w:sz w:val="28"/>
          <w:szCs w:val="28"/>
          <w:rtl/>
          <w:lang w:bidi="ar-JO"/>
        </w:rPr>
        <w:t xml:space="preserve"> </w:t>
      </w:r>
      <w:r w:rsidRPr="00001A51">
        <w:rPr>
          <w:rFonts w:ascii="Arabic Transparent" w:hAnsi="Arabic Transparent" w:cs="Arabic Transparent"/>
          <w:sz w:val="28"/>
          <w:szCs w:val="28"/>
          <w:rtl/>
          <w:lang w:bidi="ar-JO"/>
        </w:rPr>
        <w:t xml:space="preserve">اشتراط المصرف بالتزام المدين بالصدقة حال تأخره في السداد، وهذه الصورة محل اختلاف، وجمهور العلماء المعاصرين على جوازها؛ لأنها تخالف الصورة الممنوعة من كل وجه، فالتعويض </w:t>
      </w:r>
    </w:p>
    <w:p w14:paraId="68FC79F6" w14:textId="77777777" w:rsidR="00327C97" w:rsidRPr="00001A51" w:rsidRDefault="00327C97">
      <w:pPr>
        <w:bidi w:val="0"/>
        <w:spacing w:after="0" w:line="240" w:lineRule="auto"/>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br w:type="page"/>
      </w:r>
    </w:p>
    <w:p w14:paraId="54ECDA57" w14:textId="110ADE3D" w:rsidR="00201DD5" w:rsidRPr="00001A51" w:rsidRDefault="00201DD5"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لأجل الردع والزجر، وهو مبلغ مقطوع ليس له علاقة بالدين، ويُخرج إلى غير الدائن، وخرجوا هذا الرأي على قول بعض فقهاء المالكية</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890"/>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w:t>
      </w:r>
    </w:p>
    <w:p w14:paraId="3E2C0944" w14:textId="71AEC5E0" w:rsidR="00AE633A" w:rsidRPr="00001A51" w:rsidRDefault="00201DD5" w:rsidP="004E02F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د-</w:t>
      </w:r>
      <w:r w:rsidRPr="00001A51">
        <w:rPr>
          <w:rFonts w:ascii="Arabic Transparent" w:hAnsi="Arabic Transparent" w:cs="Arabic Transparent"/>
          <w:b/>
          <w:bCs/>
          <w:sz w:val="28"/>
          <w:szCs w:val="28"/>
          <w:rtl/>
          <w:lang w:bidi="ar-JO"/>
        </w:rPr>
        <w:t xml:space="preserve"> </w:t>
      </w:r>
      <w:r w:rsidRPr="00001A51">
        <w:rPr>
          <w:rFonts w:ascii="Arabic Transparent" w:hAnsi="Arabic Transparent" w:cs="Arabic Transparent"/>
          <w:sz w:val="28"/>
          <w:szCs w:val="28"/>
          <w:rtl/>
          <w:lang w:bidi="ar-JO"/>
        </w:rPr>
        <w:t>هناك العديد من الوسائل التي يستعملها المصرف لتعويض الضرر دون اللجوء إلى غرامات التأخير، منها اشتراط العربون عيناً، أو نقداً، أو هامش الجدية، أو الرهن، أو الكفيل، أو التأمين التبادلي في مواجهة المخاطر، وغيرها من وسائل لحماية الديون.</w:t>
      </w:r>
    </w:p>
    <w:p w14:paraId="59FCCFBC" w14:textId="77777777" w:rsidR="00201DD5" w:rsidRPr="00001A51" w:rsidRDefault="00201DD5" w:rsidP="00201DD5">
      <w:pPr>
        <w:spacing w:after="0" w:line="360" w:lineRule="auto"/>
        <w:jc w:val="both"/>
        <w:rPr>
          <w:rFonts w:ascii="Arabic Transparent" w:hAnsi="Arabic Transparent" w:cs="Arabic Transparent"/>
          <w:b/>
          <w:bCs/>
          <w:sz w:val="32"/>
          <w:szCs w:val="32"/>
          <w:rtl/>
          <w:lang w:bidi="ar-JO"/>
        </w:rPr>
      </w:pPr>
      <w:r w:rsidRPr="00001A51">
        <w:rPr>
          <w:rFonts w:ascii="Arabic Transparent" w:hAnsi="Arabic Transparent" w:cs="Arabic Transparent"/>
          <w:b/>
          <w:bCs/>
          <w:sz w:val="32"/>
          <w:szCs w:val="32"/>
          <w:rtl/>
          <w:lang w:bidi="ar-JO"/>
        </w:rPr>
        <w:t>المطلب الثاني: دفع الزيادة في القرض من طرف ثالث.</w:t>
      </w:r>
    </w:p>
    <w:p w14:paraId="52BA4FEA" w14:textId="3B3A738E" w:rsidR="00201DD5" w:rsidRPr="00001A51" w:rsidRDefault="00201DD5" w:rsidP="00201DD5">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الفرع الأول: حقيقة تقديم المنفعة من طرف ثالث</w:t>
      </w:r>
      <w:r w:rsidR="005D7B91" w:rsidRPr="00001A51">
        <w:rPr>
          <w:rFonts w:ascii="Arabic Transparent" w:hAnsi="Arabic Transparent" w:cs="Arabic Transparent"/>
          <w:b/>
          <w:bCs/>
          <w:sz w:val="28"/>
          <w:szCs w:val="28"/>
          <w:rtl/>
          <w:lang w:bidi="ar-JO"/>
        </w:rPr>
        <w:t xml:space="preserve">: </w:t>
      </w:r>
    </w:p>
    <w:p w14:paraId="50989E12" w14:textId="7D0829CB" w:rsidR="00201DD5" w:rsidRPr="00001A51" w:rsidRDefault="005D7B91"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201DD5" w:rsidRPr="00001A51">
        <w:rPr>
          <w:rFonts w:ascii="Arabic Transparent" w:hAnsi="Arabic Transparent" w:cs="Arabic Transparent"/>
          <w:sz w:val="28"/>
          <w:szCs w:val="28"/>
          <w:rtl/>
          <w:lang w:bidi="ar-JO"/>
        </w:rPr>
        <w:t xml:space="preserve">هي من المسائل التي قرر مجمع الفقه الإسلامي الدولي </w:t>
      </w:r>
      <w:r w:rsidR="00311235" w:rsidRPr="00001A51">
        <w:rPr>
          <w:rFonts w:ascii="Arabic Transparent" w:hAnsi="Arabic Transparent" w:cs="Arabic Transparent" w:hint="cs"/>
          <w:sz w:val="28"/>
          <w:szCs w:val="28"/>
          <w:rtl/>
          <w:lang w:bidi="ar-JO"/>
        </w:rPr>
        <w:t>"</w:t>
      </w:r>
      <w:r w:rsidR="00201DD5" w:rsidRPr="00001A51">
        <w:rPr>
          <w:rFonts w:ascii="Arabic Transparent" w:hAnsi="Arabic Transparent" w:cs="Arabic Transparent"/>
          <w:sz w:val="28"/>
          <w:szCs w:val="28"/>
          <w:rtl/>
          <w:lang w:bidi="ar-JO"/>
        </w:rPr>
        <w:t>تأجيل النظر فيها لعدم كفاية واستيفاء النظر فيها في دورته السابقة (26) لعام 2025م، ولمزيد من البحث والدراسة تأجلت للجلسة القادمة</w:t>
      </w:r>
      <w:r w:rsidR="00311235" w:rsidRPr="00001A51">
        <w:rPr>
          <w:rFonts w:ascii="Arabic Transparent" w:hAnsi="Arabic Transparent" w:cs="Arabic Transparent" w:hint="cs"/>
          <w:sz w:val="28"/>
          <w:szCs w:val="28"/>
          <w:rtl/>
          <w:lang w:bidi="ar-JO"/>
        </w:rPr>
        <w:t>"</w:t>
      </w:r>
      <w:r w:rsidR="00201DD5" w:rsidRPr="00001A51">
        <w:rPr>
          <w:rFonts w:ascii="Arabic Transparent" w:hAnsi="Arabic Transparent" w:cs="Arabic Transparent"/>
          <w:sz w:val="28"/>
          <w:szCs w:val="28"/>
          <w:vertAlign w:val="superscript"/>
          <w:rtl/>
          <w:lang w:bidi="ar-JO"/>
        </w:rPr>
        <w:t>(</w:t>
      </w:r>
      <w:r w:rsidR="00201DD5" w:rsidRPr="00001A51">
        <w:rPr>
          <w:rFonts w:ascii="Arabic Transparent" w:hAnsi="Arabic Transparent" w:cs="Arabic Transparent"/>
          <w:sz w:val="28"/>
          <w:szCs w:val="28"/>
          <w:vertAlign w:val="superscript"/>
          <w:rtl/>
          <w:lang w:bidi="ar-JO"/>
        </w:rPr>
        <w:footnoteReference w:id="891"/>
      </w:r>
      <w:r w:rsidR="00201DD5" w:rsidRPr="00001A51">
        <w:rPr>
          <w:rFonts w:ascii="Arabic Transparent" w:hAnsi="Arabic Transparent" w:cs="Arabic Transparent"/>
          <w:sz w:val="28"/>
          <w:szCs w:val="28"/>
          <w:vertAlign w:val="superscript"/>
          <w:rtl/>
          <w:lang w:bidi="ar-JO"/>
        </w:rPr>
        <w:t>)</w:t>
      </w:r>
      <w:r w:rsidR="00201DD5" w:rsidRPr="00001A51">
        <w:rPr>
          <w:rFonts w:ascii="Arabic Transparent" w:hAnsi="Arabic Transparent" w:cs="Arabic Transparent"/>
          <w:sz w:val="28"/>
          <w:szCs w:val="28"/>
          <w:rtl/>
          <w:lang w:bidi="ar-JO"/>
        </w:rPr>
        <w:t>، وعرّفت بأنها: "عملية اقتراض تقع بين طرفين يتدخل طرف ثالث لتقديم منفعة للمقرض زيادة على مبلغ القرض في صورة فوائد أو عمولات"</w:t>
      </w:r>
      <w:r w:rsidR="00201DD5" w:rsidRPr="00001A51">
        <w:rPr>
          <w:rFonts w:ascii="Arabic Transparent" w:hAnsi="Arabic Transparent" w:cs="Arabic Transparent"/>
          <w:sz w:val="28"/>
          <w:szCs w:val="28"/>
          <w:vertAlign w:val="superscript"/>
          <w:rtl/>
          <w:lang w:bidi="ar-JO"/>
        </w:rPr>
        <w:t>(</w:t>
      </w:r>
      <w:r w:rsidR="00201DD5" w:rsidRPr="00001A51">
        <w:rPr>
          <w:rFonts w:ascii="Arabic Transparent" w:hAnsi="Arabic Transparent" w:cs="Arabic Transparent"/>
          <w:sz w:val="28"/>
          <w:szCs w:val="28"/>
          <w:vertAlign w:val="superscript"/>
          <w:rtl/>
          <w:lang w:bidi="ar-JO"/>
        </w:rPr>
        <w:footnoteReference w:id="892"/>
      </w:r>
      <w:r w:rsidR="00201DD5" w:rsidRPr="00001A51">
        <w:rPr>
          <w:rFonts w:ascii="Arabic Transparent" w:hAnsi="Arabic Transparent" w:cs="Arabic Transparent"/>
          <w:sz w:val="28"/>
          <w:szCs w:val="28"/>
          <w:vertAlign w:val="superscript"/>
          <w:rtl/>
          <w:lang w:bidi="ar-JO"/>
        </w:rPr>
        <w:t>)</w:t>
      </w:r>
      <w:r w:rsidR="00201DD5" w:rsidRPr="00001A51">
        <w:rPr>
          <w:rFonts w:ascii="Arabic Transparent" w:hAnsi="Arabic Transparent" w:cs="Arabic Transparent"/>
          <w:sz w:val="28"/>
          <w:szCs w:val="28"/>
          <w:rtl/>
          <w:lang w:bidi="ar-JO"/>
        </w:rPr>
        <w:t xml:space="preserve"> فهل حصول المقرض على منفعة من طرف ثالث يغير حكم القاعدة العامة في ربا الديون؟ والتي تقتضي بتحريم المنافع المقابلة للقرض.</w:t>
      </w:r>
    </w:p>
    <w:p w14:paraId="09F4FF1F" w14:textId="54F6C5EE" w:rsidR="004E02F5" w:rsidRPr="00001A51" w:rsidRDefault="005D7B91" w:rsidP="00201DD5">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sz w:val="28"/>
          <w:szCs w:val="28"/>
          <w:rtl/>
          <w:lang w:bidi="ar-JO"/>
        </w:rPr>
        <w:t xml:space="preserve">     </w:t>
      </w:r>
      <w:r w:rsidR="00201DD5" w:rsidRPr="00001A51">
        <w:rPr>
          <w:rFonts w:ascii="Arabic Transparent" w:hAnsi="Arabic Transparent" w:cs="Arabic Transparent"/>
          <w:sz w:val="28"/>
          <w:szCs w:val="28"/>
          <w:rtl/>
          <w:lang w:bidi="ar-JO"/>
        </w:rPr>
        <w:t xml:space="preserve"> وهنا نظر المجتهدون المعاصرون إلى التكييف الفقهي لالتزام الطرف الثالث، من حيث ماهية علاقته بالعقد، فهل له منفعة مقابل دفع العوض، مثل: عمولة السمسرة، أو ليس له منفعة، ووجوده صوري، بناءً على ذلك اختلف المجتهدون المعاصرون إلى ثلاثة أقوال: القول الأول: ذهب إلى إباحة المسألة مطلقاًً بجميع صورها المعاصرة، والقول الثاني: ذهب إلى التفصيل فيجيز الصور التي تكون علاقة الطرف الثالث فيها حقيقية، بأن يدفع مقابل منفعة له، والقول الثالث: ذهب إلى التحريم مطلقاً لكبل صورها، وفتواهم كما يأتي:</w:t>
      </w:r>
    </w:p>
    <w:p w14:paraId="1A14190D" w14:textId="77777777" w:rsidR="004E02F5" w:rsidRPr="00001A51" w:rsidRDefault="004E02F5">
      <w:pPr>
        <w:bidi w:val="0"/>
        <w:spacing w:after="0" w:line="240" w:lineRule="auto"/>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br w:type="page"/>
      </w:r>
    </w:p>
    <w:p w14:paraId="16EBEEED" w14:textId="1EF5F317" w:rsidR="00201DD5" w:rsidRPr="00001A51" w:rsidRDefault="00201DD5" w:rsidP="00201DD5">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الفرع الثاني: فتاوى دفع الزيادة في القرض من طرف ثالث عرضاً وتحليلاً</w:t>
      </w:r>
      <w:r w:rsidR="00151AED" w:rsidRPr="00001A51">
        <w:rPr>
          <w:rFonts w:ascii="Arabic Transparent" w:hAnsi="Arabic Transparent" w:cs="Arabic Transparent"/>
          <w:b/>
          <w:bCs/>
          <w:sz w:val="28"/>
          <w:szCs w:val="28"/>
          <w:rtl/>
          <w:lang w:bidi="ar-JO"/>
        </w:rPr>
        <w:t xml:space="preserve">: </w:t>
      </w:r>
    </w:p>
    <w:p w14:paraId="7439C972" w14:textId="77777777" w:rsidR="00201DD5" w:rsidRPr="00001A51" w:rsidRDefault="00201DD5" w:rsidP="00201DD5">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 xml:space="preserve">أولاً: فتاوى الإباحة مطلقاً: </w:t>
      </w:r>
    </w:p>
    <w:p w14:paraId="3CA92AFE" w14:textId="1286CDDE" w:rsidR="00AE633A" w:rsidRPr="00001A51" w:rsidRDefault="005D7B91" w:rsidP="004E02F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201DD5" w:rsidRPr="00001A51">
        <w:rPr>
          <w:rFonts w:ascii="Arabic Transparent" w:hAnsi="Arabic Transparent" w:cs="Arabic Transparent"/>
          <w:sz w:val="28"/>
          <w:szCs w:val="28"/>
          <w:rtl/>
          <w:lang w:bidi="ar-JO"/>
        </w:rPr>
        <w:t>ذهب فريق من العلماء المعاصرين المشاركين في الدورة (26/2025)</w:t>
      </w:r>
      <w:r w:rsidR="00201DD5" w:rsidRPr="00001A51">
        <w:rPr>
          <w:rFonts w:ascii="Arabic Transparent" w:hAnsi="Arabic Transparent" w:cs="Arabic Transparent"/>
          <w:sz w:val="28"/>
          <w:szCs w:val="28"/>
          <w:vertAlign w:val="superscript"/>
          <w:rtl/>
          <w:lang w:bidi="ar-JO"/>
        </w:rPr>
        <w:t xml:space="preserve"> </w:t>
      </w:r>
      <w:r w:rsidR="00201DD5" w:rsidRPr="00001A51">
        <w:rPr>
          <w:rFonts w:ascii="Arabic Transparent" w:hAnsi="Arabic Transparent" w:cs="Arabic Transparent"/>
          <w:sz w:val="28"/>
          <w:szCs w:val="28"/>
          <w:rtl/>
          <w:lang w:bidi="ar-JO"/>
        </w:rPr>
        <w:t>إلى القول بإباحة كل صور دفع الزيادة في القرض من طرف ثالث، عملاً بالإباحة الأصلية، ولأن الطرف الثالث طرف حقيقي في كثير من الصور المعاصرة، والقائلون هم</w:t>
      </w:r>
      <w:r w:rsidR="00201DD5" w:rsidRPr="00001A51">
        <w:rPr>
          <w:rFonts w:ascii="Arabic Transparent" w:hAnsi="Arabic Transparent" w:cs="Arabic Transparent"/>
          <w:sz w:val="28"/>
          <w:szCs w:val="28"/>
          <w:vertAlign w:val="superscript"/>
          <w:rtl/>
          <w:lang w:bidi="ar-JO"/>
        </w:rPr>
        <w:t>(</w:t>
      </w:r>
      <w:r w:rsidR="00201DD5" w:rsidRPr="00001A51">
        <w:rPr>
          <w:rFonts w:ascii="Arabic Transparent" w:hAnsi="Arabic Transparent" w:cs="Arabic Transparent"/>
          <w:sz w:val="28"/>
          <w:szCs w:val="28"/>
          <w:vertAlign w:val="superscript"/>
          <w:rtl/>
          <w:lang w:bidi="ar-JO"/>
        </w:rPr>
        <w:footnoteReference w:id="893"/>
      </w:r>
      <w:r w:rsidR="00201DD5" w:rsidRPr="00001A51">
        <w:rPr>
          <w:rFonts w:ascii="Arabic Transparent" w:hAnsi="Arabic Transparent" w:cs="Arabic Transparent"/>
          <w:sz w:val="28"/>
          <w:szCs w:val="28"/>
          <w:vertAlign w:val="superscript"/>
          <w:rtl/>
          <w:lang w:bidi="ar-JO"/>
        </w:rPr>
        <w:t>)</w:t>
      </w:r>
      <w:r w:rsidR="00201DD5" w:rsidRPr="00001A51">
        <w:rPr>
          <w:rFonts w:ascii="Arabic Transparent" w:hAnsi="Arabic Transparent" w:cs="Arabic Transparent"/>
          <w:sz w:val="28"/>
          <w:szCs w:val="28"/>
          <w:rtl/>
          <w:lang w:bidi="ar-JO"/>
        </w:rPr>
        <w:t>:</w:t>
      </w:r>
    </w:p>
    <w:p w14:paraId="4A423BC5" w14:textId="632180AB" w:rsidR="00201DD5" w:rsidRPr="00001A51" w:rsidRDefault="00201DD5"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الدكتور محمد القري، والدكتور عبدالله الشمري، والدكتور محمد عيسى والدكتور محمد نقاسي.</w:t>
      </w:r>
    </w:p>
    <w:p w14:paraId="7A66F1C1" w14:textId="77777777" w:rsidR="00201DD5" w:rsidRPr="00001A51" w:rsidRDefault="00201DD5"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b/>
          <w:bCs/>
          <w:sz w:val="28"/>
          <w:szCs w:val="28"/>
          <w:rtl/>
          <w:lang w:bidi="ar-JO"/>
        </w:rPr>
        <w:t>ثانياً: فتاوى التفصيل وفق الحالة:</w:t>
      </w:r>
      <w:r w:rsidRPr="00001A51">
        <w:rPr>
          <w:rFonts w:ascii="Arabic Transparent" w:hAnsi="Arabic Transparent" w:cs="Arabic Transparent"/>
          <w:sz w:val="28"/>
          <w:szCs w:val="28"/>
          <w:rtl/>
          <w:lang w:bidi="ar-JO"/>
        </w:rPr>
        <w:t xml:space="preserve"> </w:t>
      </w:r>
    </w:p>
    <w:p w14:paraId="5A5573B2" w14:textId="2F4C66E4" w:rsidR="00201DD5" w:rsidRPr="00001A51" w:rsidRDefault="005D7B91"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201DD5" w:rsidRPr="00001A51">
        <w:rPr>
          <w:rFonts w:ascii="Arabic Transparent" w:hAnsi="Arabic Transparent" w:cs="Arabic Transparent"/>
          <w:sz w:val="28"/>
          <w:szCs w:val="28"/>
          <w:rtl/>
          <w:lang w:bidi="ar-JO"/>
        </w:rPr>
        <w:t xml:space="preserve">  ذهب فريق من العلماء المعاصرين المشاركين في الدورة (26/2025) إلى الإباحة مع بعض التفصيل من خلال النظر في كل واقعة معاصرة، وتكييف علاقة الطرف الثالث، فإن كانت حقيقية فله دور بالتبرع، أو السمسرة، أو المعاوضة، فتجوز وإذا كان صورة لتغطية دفع الفائدة المقررة من الطرف الثاني فلا تجوز، والقائلون هم</w:t>
      </w:r>
      <w:r w:rsidR="00201DD5" w:rsidRPr="00001A51">
        <w:rPr>
          <w:rFonts w:ascii="Arabic Transparent" w:hAnsi="Arabic Transparent" w:cs="Arabic Transparent"/>
          <w:sz w:val="28"/>
          <w:szCs w:val="28"/>
          <w:vertAlign w:val="superscript"/>
          <w:rtl/>
          <w:lang w:bidi="ar-JO"/>
        </w:rPr>
        <w:t>(</w:t>
      </w:r>
      <w:r w:rsidR="00201DD5" w:rsidRPr="00001A51">
        <w:rPr>
          <w:rFonts w:ascii="Arabic Transparent" w:hAnsi="Arabic Transparent" w:cs="Arabic Transparent"/>
          <w:sz w:val="28"/>
          <w:szCs w:val="28"/>
          <w:vertAlign w:val="superscript"/>
          <w:rtl/>
          <w:lang w:bidi="ar-JO"/>
        </w:rPr>
        <w:footnoteReference w:id="894"/>
      </w:r>
      <w:r w:rsidR="00201DD5" w:rsidRPr="00001A51">
        <w:rPr>
          <w:rFonts w:ascii="Arabic Transparent" w:hAnsi="Arabic Transparent" w:cs="Arabic Transparent"/>
          <w:sz w:val="28"/>
          <w:szCs w:val="28"/>
          <w:vertAlign w:val="superscript"/>
          <w:rtl/>
          <w:lang w:bidi="ar-JO"/>
        </w:rPr>
        <w:t>)</w:t>
      </w:r>
      <w:r w:rsidR="00201DD5" w:rsidRPr="00001A51">
        <w:rPr>
          <w:rFonts w:ascii="Arabic Transparent" w:hAnsi="Arabic Transparent" w:cs="Arabic Transparent"/>
          <w:sz w:val="28"/>
          <w:szCs w:val="28"/>
          <w:rtl/>
          <w:lang w:bidi="ar-JO"/>
        </w:rPr>
        <w:t xml:space="preserve">: </w:t>
      </w:r>
    </w:p>
    <w:p w14:paraId="1B4453CD" w14:textId="11B0AFA6" w:rsidR="00201DD5" w:rsidRPr="00001A51" w:rsidRDefault="002E3823"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hint="cs"/>
          <w:sz w:val="28"/>
          <w:szCs w:val="28"/>
          <w:rtl/>
          <w:lang w:bidi="ar-JO"/>
        </w:rPr>
        <w:t xml:space="preserve">    </w:t>
      </w:r>
      <w:r w:rsidR="00201DD5" w:rsidRPr="00001A51">
        <w:rPr>
          <w:rFonts w:ascii="Arabic Transparent" w:hAnsi="Arabic Transparent" w:cs="Arabic Transparent"/>
          <w:sz w:val="28"/>
          <w:szCs w:val="28"/>
          <w:rtl/>
          <w:lang w:bidi="ar-JO"/>
        </w:rPr>
        <w:t>الدكتور عبدالعزيز آل الشيخ، والدكتور محمد أسكيا، والدكتور عبدالله السعيدي، والدكتور العياشي فداد، والدكتورة خولة النوباني.</w:t>
      </w:r>
    </w:p>
    <w:p w14:paraId="274F94AC" w14:textId="77777777" w:rsidR="00201DD5" w:rsidRPr="00001A51" w:rsidRDefault="00201DD5" w:rsidP="00201DD5">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 xml:space="preserve">ثالثاً: فتاوى التحريم مطلقاً: </w:t>
      </w:r>
    </w:p>
    <w:p w14:paraId="330762FA" w14:textId="1AAF9533" w:rsidR="00201DD5" w:rsidRPr="00001A51" w:rsidRDefault="005D7B91"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201DD5" w:rsidRPr="00001A51">
        <w:rPr>
          <w:rFonts w:ascii="Arabic Transparent" w:hAnsi="Arabic Transparent" w:cs="Arabic Transparent"/>
          <w:sz w:val="28"/>
          <w:szCs w:val="28"/>
          <w:rtl/>
          <w:lang w:bidi="ar-JO"/>
        </w:rPr>
        <w:t>ذهب فريق من العلماء المعاصرين المشاركين في الدورة (26/2025) إلى القول بالتحريم مطلقاً لكل صور دفع الزيادة في القرض من طرف ثالث، وحجتهم أن كل منفعة زائدة على القرض ربا بصرف النظر عن دافعها، سواء أكان التاجرً، أو الحكومة، أو جهة ضمان، فكل صورها المعاصرة، لا تجوز، والقائلون هم</w:t>
      </w:r>
      <w:r w:rsidR="00201DD5" w:rsidRPr="00001A51">
        <w:rPr>
          <w:rFonts w:ascii="Arabic Transparent" w:hAnsi="Arabic Transparent" w:cs="Arabic Transparent"/>
          <w:sz w:val="28"/>
          <w:szCs w:val="28"/>
          <w:vertAlign w:val="superscript"/>
          <w:rtl/>
          <w:lang w:bidi="ar-JO"/>
        </w:rPr>
        <w:t>(</w:t>
      </w:r>
      <w:r w:rsidR="00201DD5" w:rsidRPr="00001A51">
        <w:rPr>
          <w:rFonts w:ascii="Arabic Transparent" w:hAnsi="Arabic Transparent" w:cs="Arabic Transparent"/>
          <w:sz w:val="28"/>
          <w:szCs w:val="28"/>
          <w:vertAlign w:val="superscript"/>
          <w:rtl/>
          <w:lang w:bidi="ar-JO"/>
        </w:rPr>
        <w:footnoteReference w:id="895"/>
      </w:r>
      <w:r w:rsidR="00201DD5" w:rsidRPr="00001A51">
        <w:rPr>
          <w:rFonts w:ascii="Arabic Transparent" w:hAnsi="Arabic Transparent" w:cs="Arabic Transparent"/>
          <w:sz w:val="28"/>
          <w:szCs w:val="28"/>
          <w:vertAlign w:val="superscript"/>
          <w:rtl/>
          <w:lang w:bidi="ar-JO"/>
        </w:rPr>
        <w:t>)</w:t>
      </w:r>
      <w:r w:rsidR="00201DD5" w:rsidRPr="00001A51">
        <w:rPr>
          <w:rFonts w:ascii="Arabic Transparent" w:hAnsi="Arabic Transparent" w:cs="Arabic Transparent"/>
          <w:sz w:val="28"/>
          <w:szCs w:val="28"/>
          <w:rtl/>
          <w:lang w:bidi="ar-JO"/>
        </w:rPr>
        <w:t>:</w:t>
      </w:r>
    </w:p>
    <w:p w14:paraId="3D6CD827" w14:textId="3C355416" w:rsidR="00327C97" w:rsidRPr="00001A51" w:rsidRDefault="002E3823"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hint="cs"/>
          <w:sz w:val="28"/>
          <w:szCs w:val="28"/>
          <w:rtl/>
          <w:lang w:bidi="ar-JO"/>
        </w:rPr>
        <w:t xml:space="preserve">     </w:t>
      </w:r>
      <w:r w:rsidR="00201DD5" w:rsidRPr="00001A51">
        <w:rPr>
          <w:rFonts w:ascii="Arabic Transparent" w:hAnsi="Arabic Transparent" w:cs="Arabic Transparent"/>
          <w:sz w:val="28"/>
          <w:szCs w:val="28"/>
          <w:rtl/>
          <w:lang w:bidi="ar-JO"/>
        </w:rPr>
        <w:t>الشيخ عبدالله بن منيع، والدكتور فياض حسنين، والدكتور محمد كرم الله، والدكتور محمد شعيب، والدكتور محمد سيلا، والدكتور محمد ليبا، والدكتور خالد السياري، والدكتور حامد مصطفى، والدكتور علي بورويبة، والدكتور رحال بالعادل، والدكتور محمد العمري.</w:t>
      </w:r>
    </w:p>
    <w:p w14:paraId="761A3CC3" w14:textId="77777777" w:rsidR="00327C97" w:rsidRPr="00001A51" w:rsidRDefault="00327C97">
      <w:pPr>
        <w:bidi w:val="0"/>
        <w:spacing w:after="0" w:line="240" w:lineRule="auto"/>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br w:type="page"/>
      </w:r>
    </w:p>
    <w:p w14:paraId="13AD2703" w14:textId="74C3DDA9" w:rsidR="00201DD5" w:rsidRPr="00001A51" w:rsidRDefault="00201DD5" w:rsidP="00201DD5">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ثالثاً: تحليل الفتاوى السابقة وتنقيح المناط العام:</w:t>
      </w:r>
    </w:p>
    <w:p w14:paraId="351A159B" w14:textId="6CE74A9C" w:rsidR="00201DD5" w:rsidRPr="00001A51" w:rsidRDefault="005D7B91" w:rsidP="004E02F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201DD5" w:rsidRPr="00001A51">
        <w:rPr>
          <w:rFonts w:ascii="Arabic Transparent" w:hAnsi="Arabic Transparent" w:cs="Arabic Transparent"/>
          <w:sz w:val="28"/>
          <w:szCs w:val="28"/>
          <w:rtl/>
          <w:lang w:bidi="ar-JO"/>
        </w:rPr>
        <w:t xml:space="preserve">عند تحليل الفتاوى السابقة، يظهر أن غالبية الفتاوى </w:t>
      </w:r>
      <w:r w:rsidR="00201DD5" w:rsidRPr="00001A51">
        <w:rPr>
          <w:rFonts w:ascii="Arabic Transparent" w:hAnsi="Arabic Transparent" w:cs="Arabic Transparent"/>
          <w:caps/>
          <w:sz w:val="28"/>
          <w:szCs w:val="28"/>
          <w:rtl/>
          <w:lang w:bidi="ar-JO"/>
        </w:rPr>
        <w:t>ترجّح</w:t>
      </w:r>
      <w:r w:rsidR="00201DD5" w:rsidRPr="00001A51">
        <w:rPr>
          <w:rFonts w:ascii="Arabic Transparent" w:hAnsi="Arabic Transparent" w:cs="Arabic Transparent"/>
          <w:sz w:val="28"/>
          <w:szCs w:val="28"/>
          <w:rtl/>
          <w:lang w:bidi="ar-JO"/>
        </w:rPr>
        <w:t xml:space="preserve"> كفة التحريم المطلق لجميع الصور التي تتعلق بزيادة الطرف الثالث، </w:t>
      </w:r>
      <w:r w:rsidR="00DA3039" w:rsidRPr="00001A51">
        <w:rPr>
          <w:rFonts w:ascii="Arabic Transparent" w:hAnsi="Arabic Transparent" w:cs="Arabic Transparent" w:hint="cs"/>
          <w:sz w:val="28"/>
          <w:szCs w:val="28"/>
          <w:rtl/>
          <w:lang w:bidi="ar-JO"/>
        </w:rPr>
        <w:t>والبعض ذهب</w:t>
      </w:r>
      <w:r w:rsidR="00201DD5" w:rsidRPr="00001A51">
        <w:rPr>
          <w:rFonts w:ascii="Arabic Transparent" w:hAnsi="Arabic Transparent" w:cs="Arabic Transparent"/>
          <w:sz w:val="28"/>
          <w:szCs w:val="28"/>
          <w:rtl/>
          <w:lang w:bidi="ar-JO"/>
        </w:rPr>
        <w:t xml:space="preserve"> إلى الإباحة مطلقاً، والقليل ذهب إلى التفصيل في الصور الجزئية، وبعد النظر في البحوث المقدمة نجد أن بعض البحوث المحرمة كان البحث فيها خارجاً عن محل النزاع، فذهبت إلى تحريم الزيادة للاحتياط، أو لمنع التحايل، أو لقاعدة كل قرض جر منفعة فهو ربا</w:t>
      </w:r>
      <w:r w:rsidR="00201DD5" w:rsidRPr="00001A51">
        <w:rPr>
          <w:rFonts w:ascii="Arabic Transparent" w:hAnsi="Arabic Transparent" w:cs="Arabic Transparent"/>
          <w:sz w:val="28"/>
          <w:szCs w:val="28"/>
          <w:vertAlign w:val="superscript"/>
          <w:rtl/>
          <w:lang w:bidi="ar-JO"/>
        </w:rPr>
        <w:t>(</w:t>
      </w:r>
      <w:r w:rsidR="00201DD5" w:rsidRPr="00001A51">
        <w:rPr>
          <w:rFonts w:ascii="Arabic Transparent" w:hAnsi="Arabic Transparent" w:cs="Arabic Transparent"/>
          <w:sz w:val="28"/>
          <w:szCs w:val="28"/>
          <w:vertAlign w:val="superscript"/>
          <w:rtl/>
          <w:lang w:bidi="ar-JO"/>
        </w:rPr>
        <w:footnoteReference w:id="896"/>
      </w:r>
      <w:r w:rsidR="00201DD5" w:rsidRPr="00001A51">
        <w:rPr>
          <w:rFonts w:ascii="Arabic Transparent" w:hAnsi="Arabic Transparent" w:cs="Arabic Transparent"/>
          <w:sz w:val="28"/>
          <w:szCs w:val="28"/>
          <w:vertAlign w:val="superscript"/>
          <w:rtl/>
          <w:lang w:bidi="ar-JO"/>
        </w:rPr>
        <w:t>)</w:t>
      </w:r>
      <w:r w:rsidR="00201DD5" w:rsidRPr="00001A51">
        <w:rPr>
          <w:rFonts w:ascii="Arabic Transparent" w:hAnsi="Arabic Transparent" w:cs="Arabic Transparent"/>
          <w:sz w:val="28"/>
          <w:szCs w:val="28"/>
          <w:rtl/>
          <w:lang w:bidi="ar-JO"/>
        </w:rPr>
        <w:t>، أو لظاهر المسألة أو سداً لذرائع الربا، والمطلع على التبريرات السابقة مع عظمها إلا إنها خارجة عن محل النزاع الذي أحسن بعض الباحثين في تحديده، من خلال التكييف الفقهي لزيادة الطرف الثالث في العقد،</w:t>
      </w:r>
      <w:r w:rsidR="00AE633A" w:rsidRPr="00001A51">
        <w:rPr>
          <w:rFonts w:ascii="Arabic Transparent" w:hAnsi="Arabic Transparent" w:cs="Arabic Transparent" w:hint="cs"/>
          <w:sz w:val="28"/>
          <w:szCs w:val="28"/>
          <w:rtl/>
          <w:lang w:bidi="ar-JO"/>
        </w:rPr>
        <w:t xml:space="preserve"> </w:t>
      </w:r>
      <w:r w:rsidR="00201DD5" w:rsidRPr="00001A51">
        <w:rPr>
          <w:rFonts w:ascii="Arabic Transparent" w:hAnsi="Arabic Transparent" w:cs="Arabic Transparent"/>
          <w:sz w:val="28"/>
          <w:szCs w:val="28"/>
          <w:rtl/>
          <w:lang w:bidi="ar-JO"/>
        </w:rPr>
        <w:t>حيث أدركوا أن المجمع قد أصدر قرارات سابقة حول "جواز أخذ المصرف عمولة من التاجر (الطرف الثالث) في بطاقات الائتمان غير المغطاة"</w:t>
      </w:r>
      <w:r w:rsidR="00201DD5" w:rsidRPr="00001A51">
        <w:rPr>
          <w:rFonts w:ascii="Arabic Transparent" w:hAnsi="Arabic Transparent" w:cs="Arabic Transparent"/>
          <w:sz w:val="28"/>
          <w:szCs w:val="28"/>
          <w:vertAlign w:val="superscript"/>
          <w:rtl/>
          <w:lang w:bidi="ar-JO"/>
        </w:rPr>
        <w:t>(</w:t>
      </w:r>
      <w:r w:rsidR="00201DD5" w:rsidRPr="00001A51">
        <w:rPr>
          <w:rFonts w:ascii="Arabic Transparent" w:hAnsi="Arabic Transparent" w:cs="Arabic Transparent"/>
          <w:sz w:val="28"/>
          <w:szCs w:val="28"/>
          <w:vertAlign w:val="superscript"/>
          <w:rtl/>
          <w:lang w:bidi="ar-JO"/>
        </w:rPr>
        <w:footnoteReference w:id="897"/>
      </w:r>
      <w:r w:rsidR="00201DD5" w:rsidRPr="00001A51">
        <w:rPr>
          <w:rFonts w:ascii="Arabic Transparent" w:hAnsi="Arabic Transparent" w:cs="Arabic Transparent"/>
          <w:sz w:val="28"/>
          <w:szCs w:val="28"/>
          <w:vertAlign w:val="superscript"/>
          <w:rtl/>
          <w:lang w:bidi="ar-JO"/>
        </w:rPr>
        <w:t>)</w:t>
      </w:r>
      <w:r w:rsidR="00201DD5" w:rsidRPr="00001A51">
        <w:rPr>
          <w:rFonts w:ascii="Arabic Transparent" w:hAnsi="Arabic Transparent" w:cs="Arabic Transparent"/>
          <w:sz w:val="28"/>
          <w:szCs w:val="28"/>
          <w:rtl/>
          <w:lang w:bidi="ar-JO"/>
        </w:rPr>
        <w:t>، "ووجود طرف ثالث مستقل ومتبرع وضامن للخسارة في صكوك المقارضة"</w:t>
      </w:r>
      <w:r w:rsidR="00201DD5" w:rsidRPr="00001A51">
        <w:rPr>
          <w:rFonts w:ascii="Arabic Transparent" w:hAnsi="Arabic Transparent" w:cs="Arabic Transparent"/>
          <w:sz w:val="28"/>
          <w:szCs w:val="28"/>
          <w:vertAlign w:val="superscript"/>
          <w:rtl/>
          <w:lang w:bidi="ar-JO"/>
        </w:rPr>
        <w:t>(</w:t>
      </w:r>
      <w:r w:rsidR="00201DD5" w:rsidRPr="00001A51">
        <w:rPr>
          <w:rFonts w:ascii="Arabic Transparent" w:hAnsi="Arabic Transparent" w:cs="Arabic Transparent"/>
          <w:sz w:val="28"/>
          <w:szCs w:val="28"/>
          <w:vertAlign w:val="superscript"/>
          <w:rtl/>
          <w:lang w:bidi="ar-JO"/>
        </w:rPr>
        <w:footnoteReference w:id="898"/>
      </w:r>
      <w:r w:rsidR="00201DD5" w:rsidRPr="00001A51">
        <w:rPr>
          <w:rFonts w:ascii="Arabic Transparent" w:hAnsi="Arabic Transparent" w:cs="Arabic Transparent"/>
          <w:sz w:val="28"/>
          <w:szCs w:val="28"/>
          <w:vertAlign w:val="superscript"/>
          <w:rtl/>
          <w:lang w:bidi="ar-JO"/>
        </w:rPr>
        <w:t>)</w:t>
      </w:r>
      <w:r w:rsidR="00201DD5" w:rsidRPr="00001A51">
        <w:rPr>
          <w:rFonts w:ascii="Arabic Transparent" w:hAnsi="Arabic Transparent" w:cs="Arabic Transparent"/>
          <w:sz w:val="28"/>
          <w:szCs w:val="28"/>
          <w:rtl/>
          <w:lang w:bidi="ar-JO"/>
        </w:rPr>
        <w:t xml:space="preserve"> وغيرها من الصور، لذلك من وجد أن هناك علاقة معتبرة فقهاً لزيادة الطرف الثالث، قال بجواز المعاملة عند تحقيق المناط الخاص، ومن خلص إلى عدم وجود علاقة معتبرة لزيادة الطرف الثالث، والمنفعة في حقيقتها تعود للمقرض، قال بالتحريم عملاً بالحكم الأصلي للمسألة. </w:t>
      </w:r>
    </w:p>
    <w:p w14:paraId="22E7FEFF" w14:textId="392E355C" w:rsidR="00327C97" w:rsidRPr="00001A51" w:rsidRDefault="005D7B91" w:rsidP="00327C97">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201DD5" w:rsidRPr="00001A51">
        <w:rPr>
          <w:rFonts w:ascii="Arabic Transparent" w:hAnsi="Arabic Transparent" w:cs="Arabic Transparent"/>
          <w:sz w:val="28"/>
          <w:szCs w:val="28"/>
          <w:rtl/>
          <w:lang w:bidi="ar-JO"/>
        </w:rPr>
        <w:t>وعند تنقيح الأوصاف الزائدة يظهر أن المناط العام يقتضي تحريم كل منفعة مالية مشروطة للمقرض بعقد القرض تعد ربا سواء أكانت من المقرض أو من طرف آخر يسير في مصلحته من غير صفة مستقلة له</w:t>
      </w:r>
      <w:r w:rsidR="00201DD5" w:rsidRPr="00001A51">
        <w:rPr>
          <w:rFonts w:ascii="Arabic Transparent" w:hAnsi="Arabic Transparent" w:cs="Arabic Transparent"/>
          <w:sz w:val="28"/>
          <w:szCs w:val="28"/>
          <w:vertAlign w:val="superscript"/>
          <w:rtl/>
          <w:lang w:bidi="ar-JO"/>
        </w:rPr>
        <w:t>(</w:t>
      </w:r>
      <w:r w:rsidR="00201DD5" w:rsidRPr="00001A51">
        <w:rPr>
          <w:rFonts w:ascii="Arabic Transparent" w:hAnsi="Arabic Transparent" w:cs="Arabic Transparent"/>
          <w:sz w:val="28"/>
          <w:szCs w:val="28"/>
          <w:vertAlign w:val="superscript"/>
          <w:rtl/>
          <w:lang w:bidi="ar-JO"/>
        </w:rPr>
        <w:footnoteReference w:id="899"/>
      </w:r>
      <w:r w:rsidR="00201DD5" w:rsidRPr="00001A51">
        <w:rPr>
          <w:rFonts w:ascii="Arabic Transparent" w:hAnsi="Arabic Transparent" w:cs="Arabic Transparent"/>
          <w:sz w:val="28"/>
          <w:szCs w:val="28"/>
          <w:vertAlign w:val="superscript"/>
          <w:rtl/>
          <w:lang w:bidi="ar-JO"/>
        </w:rPr>
        <w:t>)</w:t>
      </w:r>
      <w:r w:rsidR="00201DD5" w:rsidRPr="00001A51">
        <w:rPr>
          <w:rFonts w:ascii="Arabic Transparent" w:hAnsi="Arabic Transparent" w:cs="Arabic Transparent"/>
          <w:sz w:val="28"/>
          <w:szCs w:val="28"/>
          <w:rtl/>
          <w:lang w:bidi="ar-JO"/>
        </w:rPr>
        <w:t xml:space="preserve">، فإن كان له صفة مستقلة غير لازمة، بصفته سمساراً، أو متبرعاً، أو مقدم خدمة، كالجامعة التي تدفع عمولة للمصرف ليقسط المصرف للطالب بنفس الثمن، وكالتاجر الذي يدفع جزءاً من ربحه للمصرف مقابل تقديم خدمة تقسيط المشتريات للزبائن، وكالحكومة التي تدفع عمولة للمصرف من أجل تمويل مشاريع الإسكان للمواطنين، وكذلك تحويل رواتب العاملين في شركة ما إلى مصرف إسلامي مقابل أن يجري المصرف تسهيلات خاصة لموظفي الشركة، وكذلك اتفاقية شراء السيارات الهجينة بمرابحة مخفضة مقابل أن يكون راتب المعلم محولاً إلى </w:t>
      </w:r>
      <w:r w:rsidR="00201DD5" w:rsidRPr="00001A51">
        <w:rPr>
          <w:rFonts w:ascii="Arabic Transparent" w:hAnsi="Arabic Transparent" w:cs="Arabic Transparent"/>
          <w:sz w:val="28"/>
          <w:szCs w:val="28"/>
          <w:rtl/>
          <w:lang w:bidi="ar-JO"/>
        </w:rPr>
        <w:lastRenderedPageBreak/>
        <w:t xml:space="preserve">ذاك </w:t>
      </w:r>
      <w:r w:rsidR="00327C97" w:rsidRPr="00001A51">
        <w:rPr>
          <w:rFonts w:ascii="Arabic Transparent" w:hAnsi="Arabic Transparent" w:cs="Arabic Transparent"/>
          <w:sz w:val="28"/>
          <w:szCs w:val="28"/>
          <w:rtl/>
          <w:lang w:bidi="ar-JO"/>
        </w:rPr>
        <w:br w:type="page"/>
      </w:r>
    </w:p>
    <w:p w14:paraId="7CF60C76" w14:textId="733DBF7C" w:rsidR="00201DD5" w:rsidRPr="00001A51" w:rsidRDefault="00201DD5" w:rsidP="004E02F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المصرف</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900"/>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والكثير من المسائل المعاصرة التي تجوز مع وجود علاقة حقيقة للطرف الثالث مع المصرف وليست وهمية، فهذه العقود تقوم على المنافع المشتركة بين أطراف العقد جرى التعامل بها منذ القدم، والمستغرب تحريم بعض العلماء لهذه العقود صراحة ظاناً منهم أن الطرف الثالث وجوده صورة لتمرير الربا للطرف الثاني، وهذا غير الواقع الذي تجري عليه الاتفاقات بين المؤسسات اليوم.</w:t>
      </w:r>
    </w:p>
    <w:p w14:paraId="0649102B" w14:textId="77777777" w:rsidR="00201DD5" w:rsidRPr="00001A51" w:rsidRDefault="00201DD5" w:rsidP="00201DD5">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 xml:space="preserve">الفرع الثالث: وجه التفاوت في تحقيق المناط الخاص: </w:t>
      </w:r>
    </w:p>
    <w:p w14:paraId="3BFDFA7E" w14:textId="6EF7ED82" w:rsidR="00201DD5" w:rsidRPr="00001A51" w:rsidRDefault="005D7B91"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201DD5" w:rsidRPr="00001A51">
        <w:rPr>
          <w:rFonts w:ascii="Arabic Transparent" w:hAnsi="Arabic Transparent" w:cs="Arabic Transparent"/>
          <w:sz w:val="28"/>
          <w:szCs w:val="28"/>
          <w:rtl/>
          <w:lang w:bidi="ar-JO"/>
        </w:rPr>
        <w:t xml:space="preserve">إن التفاوت الناشئ بين الفتاوى السابقة يعود للواقعة أحياناً أو إلى الاجتهاد ومناهجه وهو كما يأتي: </w:t>
      </w:r>
    </w:p>
    <w:p w14:paraId="197F8872" w14:textId="086ABFB2" w:rsidR="00201DD5" w:rsidRPr="00001A51" w:rsidRDefault="00201DD5" w:rsidP="00201DD5">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أولاً: تفاوت في الحكم يعود للواقعة</w:t>
      </w:r>
      <w:r w:rsidR="00151AED" w:rsidRPr="00001A51">
        <w:rPr>
          <w:rFonts w:ascii="Arabic Transparent" w:hAnsi="Arabic Transparent" w:cs="Arabic Transparent"/>
          <w:b/>
          <w:bCs/>
          <w:sz w:val="28"/>
          <w:szCs w:val="28"/>
          <w:rtl/>
          <w:lang w:bidi="ar-JO"/>
        </w:rPr>
        <w:t xml:space="preserve">: </w:t>
      </w:r>
    </w:p>
    <w:p w14:paraId="4CA23AA1" w14:textId="4563B691" w:rsidR="00201DD5" w:rsidRPr="00001A51" w:rsidRDefault="005D7B91"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201DD5" w:rsidRPr="00001A51">
        <w:rPr>
          <w:rFonts w:ascii="Arabic Transparent" w:hAnsi="Arabic Transparent" w:cs="Arabic Transparent"/>
          <w:sz w:val="28"/>
          <w:szCs w:val="28"/>
          <w:rtl/>
          <w:lang w:bidi="ar-JO"/>
        </w:rPr>
        <w:t>من التفاوت الذي يؤثر في الحكم ما يعود إلى الواقعة، وهو كما يأتي:</w:t>
      </w:r>
    </w:p>
    <w:p w14:paraId="06B01BB1" w14:textId="77777777" w:rsidR="00201DD5" w:rsidRPr="00001A51" w:rsidRDefault="00201DD5"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1- وصف الطرف الثالث ووجوده في حد ذاته لا يعني جواز المعاملة كما ذهب فريق من العلماء </w:t>
      </w:r>
    </w:p>
    <w:p w14:paraId="2D2309AD" w14:textId="77777777" w:rsidR="00201DD5" w:rsidRPr="00001A51" w:rsidRDefault="00201DD5"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بأنه: "المحلل"</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901"/>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الذي يخرج المعاملة من نمطية الربا التي تكون بين طرفين فهي تجوز في كل الصور.</w:t>
      </w:r>
    </w:p>
    <w:p w14:paraId="34370A6A" w14:textId="77777777" w:rsidR="00201DD5" w:rsidRPr="00001A51" w:rsidRDefault="00201DD5"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2- وصف الزيادة في عقد القرض، ليس دائماً يكون ربوياً كما ذهب الفريق الآخر من العلماء المانعين للمعاملة، فإذا كانت "من غير اشتراط وعلى سبيل الإحسان، وإذا كانت مستقلة بالعقود والأطراف"</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902"/>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xml:space="preserve"> فأين الضير في ذلك؟</w:t>
      </w:r>
    </w:p>
    <w:p w14:paraId="1E07CA29" w14:textId="7D4BB818" w:rsidR="00AE633A" w:rsidRPr="00001A51" w:rsidRDefault="00201DD5" w:rsidP="004E02F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3- توصيف المبلغ المدفوع من الطرف الثالث، هل هو فائدة ربوية، أم أجرة خدمة، أم تبرع، أم مبلغ ضمان؟ فإن أحكام المسائل تختلف بناءً عليه.</w:t>
      </w:r>
    </w:p>
    <w:p w14:paraId="7281B0FD" w14:textId="77777777" w:rsidR="00327C97" w:rsidRPr="00001A51" w:rsidRDefault="00201DD5"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4- هناك العديد من الأوصاف التي لا تعتبر، وهي تعد من الأوصاف الطردية الملغاة، ومنها التحوط من الوقوع في الحرام، ومنها العينة المثلثة أو الثلاثية</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903"/>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xml:space="preserve">، فزيادة الأطراف في العقد ليس له علاقة </w:t>
      </w:r>
    </w:p>
    <w:p w14:paraId="7E80255A" w14:textId="77777777" w:rsidR="00327C97" w:rsidRPr="00001A51" w:rsidRDefault="00327C97">
      <w:pPr>
        <w:bidi w:val="0"/>
        <w:spacing w:after="0" w:line="240" w:lineRule="auto"/>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br w:type="page"/>
      </w:r>
    </w:p>
    <w:p w14:paraId="4E50A1EB" w14:textId="746FC25B" w:rsidR="00201DD5" w:rsidRPr="00001A51" w:rsidRDefault="00201DD5"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بالتحايل، فالتحايل يقع ولا اعتبار للعدد، وكذلك نوع الزيادة، وهل هي يسيرة أم فاحشة، وكون الذي قدم الزيادة الحكومة، أم المصرف، أم الجامعة، أم المؤسسة فكلها أوصاف عارضة</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904"/>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w:t>
      </w:r>
    </w:p>
    <w:p w14:paraId="444A5C1D" w14:textId="3DD49DD8" w:rsidR="00201DD5" w:rsidRPr="00001A51" w:rsidRDefault="00201DD5" w:rsidP="00201DD5">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ثانياً: تفاوت في الحكم يعود للاجتهاد ومناهجه</w:t>
      </w:r>
      <w:r w:rsidR="00151AED" w:rsidRPr="00001A51">
        <w:rPr>
          <w:rFonts w:ascii="Arabic Transparent" w:hAnsi="Arabic Transparent" w:cs="Arabic Transparent"/>
          <w:b/>
          <w:bCs/>
          <w:sz w:val="28"/>
          <w:szCs w:val="28"/>
          <w:rtl/>
          <w:lang w:bidi="ar-JO"/>
        </w:rPr>
        <w:t xml:space="preserve">: </w:t>
      </w:r>
    </w:p>
    <w:p w14:paraId="73BC9588" w14:textId="7B07AB3A" w:rsidR="00201DD5" w:rsidRPr="00001A51" w:rsidRDefault="00D9288F"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hint="cs"/>
          <w:sz w:val="28"/>
          <w:szCs w:val="28"/>
          <w:rtl/>
          <w:lang w:bidi="ar-JO"/>
        </w:rPr>
        <w:t xml:space="preserve">     </w:t>
      </w:r>
      <w:r w:rsidR="00201DD5" w:rsidRPr="00001A51">
        <w:rPr>
          <w:rFonts w:ascii="Arabic Transparent" w:hAnsi="Arabic Transparent" w:cs="Arabic Transparent"/>
          <w:sz w:val="28"/>
          <w:szCs w:val="28"/>
          <w:rtl/>
          <w:lang w:bidi="ar-JO"/>
        </w:rPr>
        <w:t>من التفاوت الذي يؤثر في الحكم ما يعود إلى الاجتهاد ومناهجه، وهو كما يأتي:</w:t>
      </w:r>
    </w:p>
    <w:p w14:paraId="24C169CF" w14:textId="77777777" w:rsidR="00201DD5" w:rsidRPr="00001A51" w:rsidRDefault="00201DD5" w:rsidP="00201DD5">
      <w:pPr>
        <w:spacing w:after="0" w:line="360" w:lineRule="auto"/>
        <w:jc w:val="both"/>
        <w:rPr>
          <w:rFonts w:ascii="Arabic Transparent" w:hAnsi="Arabic Transparent" w:cs="Arabic Transparent"/>
          <w:sz w:val="28"/>
          <w:szCs w:val="28"/>
          <w:vertAlign w:val="superscript"/>
          <w:rtl/>
          <w:lang w:bidi="ar-JO"/>
        </w:rPr>
      </w:pPr>
      <w:r w:rsidRPr="00001A51">
        <w:rPr>
          <w:rFonts w:ascii="Arabic Transparent" w:hAnsi="Arabic Transparent" w:cs="Arabic Transparent"/>
          <w:sz w:val="28"/>
          <w:szCs w:val="28"/>
          <w:rtl/>
          <w:lang w:bidi="ar-JO"/>
        </w:rPr>
        <w:t>1- يختلف المجتهدون بطريقة التوصل للحكم، فمنهم من يخرج الجزئيات المعاصرة على الأصول ليصل للحكم ومنهم من يبحث للحكم الذي يريده عن أصل مناسب، وهذا يسمى "المنهج التبريري والتسويغي"</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905"/>
      </w:r>
      <w:r w:rsidRPr="00001A51">
        <w:rPr>
          <w:rFonts w:ascii="Arabic Transparent" w:hAnsi="Arabic Transparent" w:cs="Arabic Transparent"/>
          <w:sz w:val="28"/>
          <w:szCs w:val="28"/>
          <w:vertAlign w:val="superscript"/>
          <w:rtl/>
          <w:lang w:bidi="ar-JO"/>
        </w:rPr>
        <w:t>)</w:t>
      </w:r>
    </w:p>
    <w:p w14:paraId="2B04F727" w14:textId="77777777" w:rsidR="00201DD5" w:rsidRPr="00001A51" w:rsidRDefault="00201DD5"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2- يختلف المجتهدون المعاصرون في تفسير العقود، فالبعض يأخذ بظاهر العقود الصحيحة ولا يبطلها بمجرد التهمة، والبعض الآخر يمنع العقود بالنظر إلى الباعث الذي توصل له، وبالنظر للمآلات، وسد الذريعة، والاحتياط</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906"/>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xml:space="preserve">. </w:t>
      </w:r>
    </w:p>
    <w:p w14:paraId="6EE6F587" w14:textId="1AA9AB5E" w:rsidR="00201DD5" w:rsidRPr="00001A51" w:rsidRDefault="00201DD5" w:rsidP="006A788D">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3- يختلف منهج المجتهدين في دراسة الوقائع المعاصرة، فمنهم من يحاول جمع الوقائع تحت قاعدة، أو ضابط واحد، فيحكم عليها جميعاً بالتحريم، أو الإباحة، ومنهم من يفضل التمعّن بالجزئيات، فيدرس كل واقعة جديدة على حدة؛ لأنه يدرك التفاوت الذي بينها بالقدر والأوصاف ويعرف أن بعد تحقيق المناط الخاص سوف يخرج بنتائج ليست على نسق واحد ولا تنضبط بقاعدة واحدة، قال الشاطبي: "‌الاجتهاد بمعنى ‌تحقيق ‌المناط ‌الخاص: أنه يختلف باختلاف الأشخاص وما يناسبهم ويختلف باختلاف المكان وما يناسبه، والابتعاد عن العمل بمقتضى الطوارئ العارضة"</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907"/>
      </w:r>
      <w:r w:rsidRPr="00001A51">
        <w:rPr>
          <w:rFonts w:ascii="Arabic Transparent" w:hAnsi="Arabic Transparent" w:cs="Arabic Transparent"/>
          <w:sz w:val="28"/>
          <w:szCs w:val="28"/>
          <w:vertAlign w:val="superscript"/>
          <w:rtl/>
          <w:lang w:bidi="ar-JO"/>
        </w:rPr>
        <w:t>)</w:t>
      </w:r>
      <w:r w:rsidR="00AE633A" w:rsidRPr="00001A51">
        <w:rPr>
          <w:rFonts w:ascii="Arabic Transparent" w:hAnsi="Arabic Transparent" w:cs="Arabic Transparent" w:hint="cs"/>
          <w:sz w:val="28"/>
          <w:szCs w:val="28"/>
          <w:rtl/>
          <w:lang w:bidi="ar-JO"/>
        </w:rPr>
        <w:t>،</w:t>
      </w:r>
      <w:r w:rsidRPr="00001A51">
        <w:rPr>
          <w:rFonts w:ascii="Arabic Transparent" w:hAnsi="Arabic Transparent" w:cs="Arabic Transparent"/>
          <w:sz w:val="28"/>
          <w:szCs w:val="28"/>
          <w:rtl/>
          <w:lang w:bidi="ar-JO"/>
        </w:rPr>
        <w:t>من الأوصاف التي تعرض للمجتهد في الواقعة.</w:t>
      </w:r>
    </w:p>
    <w:p w14:paraId="2D663CFF" w14:textId="77777777" w:rsidR="00201DD5" w:rsidRPr="00001A51" w:rsidRDefault="00201DD5" w:rsidP="00201DD5">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الفرع الرابع: مراعاة أصول ضبط التفاوت:</w:t>
      </w:r>
    </w:p>
    <w:p w14:paraId="463ECD57" w14:textId="6959317E" w:rsidR="00201DD5" w:rsidRPr="00201DD5" w:rsidRDefault="00D9288F" w:rsidP="00201DD5">
      <w:pPr>
        <w:widowControl w:val="0"/>
        <w:autoSpaceDE w:val="0"/>
        <w:autoSpaceDN w:val="0"/>
        <w:adjustRightInd w:val="0"/>
        <w:spacing w:after="0" w:line="360" w:lineRule="auto"/>
        <w:contextualSpacing/>
        <w:jc w:val="both"/>
        <w:rPr>
          <w:rFonts w:ascii="Arabic Transparent" w:hAnsi="Arabic Transparent" w:cs="Arabic Transparent"/>
          <w:sz w:val="28"/>
          <w:szCs w:val="28"/>
          <w:rtl/>
          <w:lang w:bidi="ar-JO"/>
        </w:rPr>
      </w:pPr>
      <w:r w:rsidRPr="00001A51">
        <w:rPr>
          <w:rFonts w:ascii="Arabic Transparent" w:hAnsi="Arabic Transparent" w:cs="Arabic Transparent" w:hint="cs"/>
          <w:b/>
          <w:bCs/>
          <w:sz w:val="28"/>
          <w:szCs w:val="28"/>
          <w:rtl/>
          <w:lang w:bidi="ar-JO"/>
        </w:rPr>
        <w:t xml:space="preserve"> </w:t>
      </w:r>
      <w:r w:rsidR="005D7B91" w:rsidRPr="00001A51">
        <w:rPr>
          <w:rFonts w:ascii="Arabic Transparent" w:hAnsi="Arabic Transparent" w:cs="Arabic Transparent"/>
          <w:sz w:val="28"/>
          <w:szCs w:val="28"/>
          <w:rtl/>
          <w:lang w:bidi="ar-JO"/>
        </w:rPr>
        <w:t xml:space="preserve">    </w:t>
      </w:r>
      <w:r w:rsidR="00201DD5" w:rsidRPr="00201DD5">
        <w:rPr>
          <w:rFonts w:ascii="Arabic Transparent" w:hAnsi="Arabic Transparent" w:cs="Arabic Transparent"/>
          <w:sz w:val="28"/>
          <w:szCs w:val="28"/>
          <w:rtl/>
          <w:lang w:bidi="ar-JO"/>
        </w:rPr>
        <w:t xml:space="preserve">عند مراعاة أصول ضبط التفاوت </w:t>
      </w:r>
      <w:r w:rsidR="00503FC7">
        <w:rPr>
          <w:rFonts w:ascii="Arabic Transparent" w:hAnsi="Arabic Transparent" w:cs="Arabic Transparent" w:hint="cs"/>
          <w:sz w:val="28"/>
          <w:szCs w:val="28"/>
          <w:rtl/>
          <w:lang w:bidi="ar-JO"/>
        </w:rPr>
        <w:t xml:space="preserve">، </w:t>
      </w:r>
      <w:r w:rsidR="00201DD5" w:rsidRPr="00201DD5">
        <w:rPr>
          <w:rFonts w:ascii="Arabic Transparent" w:hAnsi="Arabic Transparent" w:cs="Arabic Transparent"/>
          <w:sz w:val="28"/>
          <w:szCs w:val="28"/>
          <w:rtl/>
          <w:lang w:bidi="ar-JO"/>
        </w:rPr>
        <w:t>والتي تساهم في ضبط التفاوت في الحكم الذي ينسب للواقعة أو للاجتهاد، يتبين للباحث ما يأتي:</w:t>
      </w:r>
    </w:p>
    <w:p w14:paraId="7258601D" w14:textId="7A3E4591" w:rsidR="00327C97" w:rsidRPr="00001A51" w:rsidRDefault="00201DD5"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lastRenderedPageBreak/>
        <w:t xml:space="preserve">بناء على تحليل التفاوت السابق وتعيين وجه التفاوت، يمكن أن نضبط التفاوت بين الفتاوى من خلال الأصول الآتية: </w:t>
      </w:r>
    </w:p>
    <w:p w14:paraId="41FFBD58" w14:textId="77777777" w:rsidR="00327C97" w:rsidRPr="00001A51" w:rsidRDefault="00327C97">
      <w:pPr>
        <w:bidi w:val="0"/>
        <w:spacing w:after="0" w:line="240" w:lineRule="auto"/>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br w:type="page"/>
      </w:r>
    </w:p>
    <w:p w14:paraId="45B453A2" w14:textId="383100FB" w:rsidR="00201DD5" w:rsidRPr="00001A51" w:rsidRDefault="00201DD5" w:rsidP="00AE633A">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1- إن القرض عقد من عقود الإرفاق والإحسان لا من عقود المعاوضات، </w:t>
      </w:r>
      <w:r w:rsidR="00503FC7" w:rsidRPr="00001A51">
        <w:rPr>
          <w:rFonts w:ascii="Arabic Transparent" w:hAnsi="Arabic Transparent" w:cs="Arabic Transparent" w:hint="cs"/>
          <w:sz w:val="28"/>
          <w:szCs w:val="28"/>
          <w:rtl/>
          <w:lang w:bidi="ar-JO"/>
        </w:rPr>
        <w:t>"</w:t>
      </w:r>
      <w:r w:rsidRPr="00001A51">
        <w:rPr>
          <w:rFonts w:ascii="Arabic Transparent" w:hAnsi="Arabic Transparent" w:cs="Arabic Transparent"/>
          <w:sz w:val="28"/>
          <w:szCs w:val="28"/>
          <w:rtl/>
          <w:lang w:bidi="ar-JO"/>
        </w:rPr>
        <w:t>والذي ينبغي أن تبقى فيه ذمة المقترض مشغولة برد المثل دون زيادة مال أو منفعة مشروطة تعود على المقرض</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908"/>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وإن لهذه القاعدة مستثنيات تظهر عند تحقيق المناط الخاص فلا يوجد في الشريعة قاعدة مستقرة تخلو من الاستثناء حيث يقول الطوفي:</w:t>
      </w:r>
      <w:r w:rsidR="00151AED" w:rsidRPr="00001A51">
        <w:rPr>
          <w:rFonts w:ascii="Arabic Transparent" w:hAnsi="Arabic Transparent" w:cs="Arabic Transparent"/>
          <w:sz w:val="28"/>
          <w:szCs w:val="28"/>
          <w:rtl/>
          <w:lang w:bidi="ar-JO"/>
        </w:rPr>
        <w:t xml:space="preserve"> "</w:t>
      </w:r>
      <w:r w:rsidRPr="00001A51">
        <w:rPr>
          <w:rFonts w:ascii="Arabic Transparent" w:hAnsi="Arabic Transparent" w:cs="Arabic Transparent"/>
          <w:sz w:val="28"/>
          <w:szCs w:val="28"/>
          <w:rtl/>
          <w:lang w:bidi="ar-JO"/>
        </w:rPr>
        <w:t>تخلف الحكم يحتمل أن يكون ‌لفوات ‌شرط، ‌أو وجود مانع"</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909"/>
      </w:r>
      <w:r w:rsidRPr="00001A51">
        <w:rPr>
          <w:rFonts w:ascii="Arabic Transparent" w:hAnsi="Arabic Transparent" w:cs="Arabic Transparent"/>
          <w:sz w:val="28"/>
          <w:szCs w:val="28"/>
          <w:vertAlign w:val="superscript"/>
          <w:rtl/>
          <w:lang w:bidi="ar-JO"/>
        </w:rPr>
        <w:t>)</w:t>
      </w:r>
      <w:r w:rsidR="00503FC7" w:rsidRPr="00001A51">
        <w:rPr>
          <w:rFonts w:ascii="Arabic Transparent" w:hAnsi="Arabic Transparent" w:cs="Arabic Transparent" w:hint="cs"/>
          <w:sz w:val="28"/>
          <w:szCs w:val="28"/>
          <w:rtl/>
          <w:lang w:bidi="ar-JO"/>
        </w:rPr>
        <w:t>.</w:t>
      </w:r>
    </w:p>
    <w:p w14:paraId="31F948BE" w14:textId="77777777" w:rsidR="00201DD5" w:rsidRPr="00001A51" w:rsidRDefault="00201DD5"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2- إنَّ من الاستثناءات للخروج عن إطار الحكم العام الذي يحرم الزيادة، نفي الاشتراط فإذا كانت الزيادة من طرف ثالث تبرعاً، وغير متعلقة بشرط سابق مع المقرض فإنها تخرج عن حكم الربا وتخرّج على باب الهبة والإحسان في الوفاء</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910"/>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w:t>
      </w:r>
    </w:p>
    <w:p w14:paraId="4368612A" w14:textId="4AFF6DF5" w:rsidR="00201DD5" w:rsidRPr="00001A51" w:rsidRDefault="00201DD5"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3- من أصول ضبط التفاوت في هذه المسألة، تحديد العلاقة بين المقترض والطرف الثالث، فإن كان وكيلاً في الدفع، أو كفيلاً، أو تابعاً له، فإن الزيادة التي يقدمها تأخذ حكم الربا المحرم، وأما إذا كان الطرف الثالث، مستقلاً يدفع الزيادة مقابل خدمة له، دون الرجوع على المقترض، فإن المسألة تجوز، وحالها "حال العينة التي تجوز بثلاثة أطراف مع الكراهة"</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911"/>
      </w:r>
      <w:r w:rsidRPr="00001A51">
        <w:rPr>
          <w:rFonts w:ascii="Arabic Transparent" w:hAnsi="Arabic Transparent" w:cs="Arabic Transparent"/>
          <w:sz w:val="28"/>
          <w:szCs w:val="28"/>
          <w:vertAlign w:val="superscript"/>
          <w:rtl/>
          <w:lang w:bidi="ar-JO"/>
        </w:rPr>
        <w:t>)</w:t>
      </w:r>
      <w:r w:rsidR="00503FC7" w:rsidRPr="00001A51">
        <w:rPr>
          <w:rFonts w:ascii="Arabic Transparent" w:hAnsi="Arabic Transparent" w:cs="Arabic Transparent" w:hint="cs"/>
          <w:sz w:val="28"/>
          <w:szCs w:val="28"/>
          <w:rtl/>
          <w:lang w:bidi="ar-JO"/>
        </w:rPr>
        <w:t>.</w:t>
      </w:r>
    </w:p>
    <w:p w14:paraId="211D4CE6" w14:textId="110542EF" w:rsidR="00201DD5" w:rsidRPr="00001A51" w:rsidRDefault="00201DD5" w:rsidP="004E02F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4- هناك الكثير من المسائل المعاصرة تندرج تحت هذا الموضوع، والتي من أصول ضبط التفاوت في الإفتاء فيها عدم الحكم عليها بالجملة من خلال النظر الشمولي، ولو نظرنا فيها باستقلال لوجدنا عدم تعيّن الحرمة فيها؛ لأنها تتفاوت وفق الأوصاف الجديدة التي تظهر فيها، والتي تحول صورة المسألة من القرض بزيادة محرمة، إلى القرض بزيادة يأخذها المصرف من طرف ثالث، مقابل منفعة تقديم التمويل للزبائن، والتي تسمى منتج المساومة كما في البنك الإسلامي الأردني</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912"/>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w:t>
      </w:r>
    </w:p>
    <w:p w14:paraId="7C1BD45D" w14:textId="76053C01" w:rsidR="00201DD5" w:rsidRPr="00001A51" w:rsidRDefault="00201DD5" w:rsidP="00201DD5">
      <w:pPr>
        <w:spacing w:after="0" w:line="360" w:lineRule="auto"/>
        <w:jc w:val="both"/>
        <w:rPr>
          <w:rFonts w:ascii="Arabic Transparent" w:hAnsi="Arabic Transparent" w:cs="Arabic Transparent"/>
          <w:b/>
          <w:bCs/>
          <w:sz w:val="32"/>
          <w:szCs w:val="32"/>
          <w:rtl/>
          <w:lang w:bidi="ar-JO"/>
        </w:rPr>
      </w:pPr>
      <w:r w:rsidRPr="00001A51">
        <w:rPr>
          <w:rFonts w:ascii="Arabic Transparent" w:hAnsi="Arabic Transparent" w:cs="Arabic Transparent"/>
          <w:b/>
          <w:bCs/>
          <w:sz w:val="32"/>
          <w:szCs w:val="32"/>
          <w:rtl/>
          <w:lang w:bidi="ar-JO"/>
        </w:rPr>
        <w:t>المطلب الثالث: الربط القياسي للديون والالتزامات الآجلة:</w:t>
      </w:r>
    </w:p>
    <w:p w14:paraId="52AEF88F" w14:textId="7C58A18C" w:rsidR="00327C97" w:rsidRPr="00001A51" w:rsidRDefault="00D9288F"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hint="cs"/>
          <w:sz w:val="28"/>
          <w:szCs w:val="28"/>
          <w:rtl/>
          <w:lang w:bidi="ar-JO"/>
        </w:rPr>
        <w:t xml:space="preserve">     </w:t>
      </w:r>
      <w:r w:rsidR="00201DD5" w:rsidRPr="00001A51">
        <w:rPr>
          <w:rFonts w:ascii="Arabic Transparent" w:hAnsi="Arabic Transparent" w:cs="Arabic Transparent"/>
          <w:sz w:val="28"/>
          <w:szCs w:val="28"/>
          <w:rtl/>
          <w:lang w:bidi="ar-JO"/>
        </w:rPr>
        <w:t xml:space="preserve">وهي المسائل التي وقع فيها العديد من الخلاف بسبب تفاوت الأوصاف المؤثرة فيها، والتي سوف نتحدث عن حقيقتها ونبين صورتها، ونبين المؤشرات التي ترتبط بالعملة ونستقرئ الفتاوى </w:t>
      </w:r>
      <w:r w:rsidR="00201DD5" w:rsidRPr="00001A51">
        <w:rPr>
          <w:rFonts w:ascii="Arabic Transparent" w:hAnsi="Arabic Transparent" w:cs="Arabic Transparent"/>
          <w:sz w:val="28"/>
          <w:szCs w:val="28"/>
          <w:rtl/>
          <w:lang w:bidi="ar-JO"/>
        </w:rPr>
        <w:lastRenderedPageBreak/>
        <w:t>التي وردت حولها، ونبين وجه التفاوت عند تحقيق المناط الخاص، وأصول ضبط التفاوت المقترحة لضبط مسائلها.</w:t>
      </w:r>
    </w:p>
    <w:p w14:paraId="6F3A6314" w14:textId="77777777" w:rsidR="00327C97" w:rsidRPr="00001A51" w:rsidRDefault="00327C97">
      <w:pPr>
        <w:bidi w:val="0"/>
        <w:spacing w:after="0" w:line="240" w:lineRule="auto"/>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br w:type="page"/>
      </w:r>
    </w:p>
    <w:p w14:paraId="2CDE22DA" w14:textId="77777777" w:rsidR="00201DD5" w:rsidRPr="00001A51" w:rsidRDefault="00201DD5" w:rsidP="00201DD5">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 xml:space="preserve">الفرع الأول: حقيقة أداء الديون والالتزامات الآجلة: </w:t>
      </w:r>
    </w:p>
    <w:p w14:paraId="2B094730" w14:textId="77777777" w:rsidR="004E02F5" w:rsidRPr="00001A51" w:rsidRDefault="005D7B91" w:rsidP="004E02F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201DD5" w:rsidRPr="00001A51">
        <w:rPr>
          <w:rFonts w:ascii="Arabic Transparent" w:hAnsi="Arabic Transparent" w:cs="Arabic Transparent"/>
          <w:sz w:val="28"/>
          <w:szCs w:val="28"/>
          <w:rtl/>
          <w:lang w:bidi="ar-JO"/>
        </w:rPr>
        <w:t>إن مما يؤرق المؤسسات المالية الإسلامية تغير قيمة النقود، أو التضخم والذي يسبب على المدى البعيد خسارة تلك المؤسسات للربح المتوقع من العمليات التمويليَّة التي تجريها، ومما يسبب لها الخسارة في الأصول المالية أحياناً، والعجز عن منافسة البنوك التقليدية في مجال التمويل.</w:t>
      </w:r>
    </w:p>
    <w:p w14:paraId="6B33DBEB" w14:textId="332975C7" w:rsidR="00AE633A" w:rsidRPr="00001A51" w:rsidRDefault="004E02F5" w:rsidP="009504E9">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hint="cs"/>
          <w:sz w:val="28"/>
          <w:szCs w:val="28"/>
          <w:rtl/>
          <w:lang w:bidi="ar-JO"/>
        </w:rPr>
        <w:t xml:space="preserve">    </w:t>
      </w:r>
      <w:r w:rsidR="005D7B91" w:rsidRPr="00001A51">
        <w:rPr>
          <w:rFonts w:ascii="Arabic Transparent" w:hAnsi="Arabic Transparent" w:cs="Arabic Transparent"/>
          <w:sz w:val="28"/>
          <w:szCs w:val="28"/>
          <w:rtl/>
          <w:lang w:bidi="ar-JO"/>
        </w:rPr>
        <w:t xml:space="preserve"> </w:t>
      </w:r>
      <w:r w:rsidR="00201DD5" w:rsidRPr="00001A51">
        <w:rPr>
          <w:rFonts w:ascii="Arabic Transparent" w:hAnsi="Arabic Transparent" w:cs="Arabic Transparent"/>
          <w:sz w:val="28"/>
          <w:szCs w:val="28"/>
          <w:rtl/>
          <w:lang w:bidi="ar-JO"/>
        </w:rPr>
        <w:t>وإن أساس هذا الموضوع عدم قدرة النقود الورقية أن تقوم بوظائف النقود على أكمل وجه، كما هو الحال في الفضة والذهب، التي من أهم خصائصها الثبات والاستقرار الدائم، بيد أن النقود الورقية غير المغطاة تتعرض لانخفاض القيمة وارتفاعها بشكل سريع نسبياً، فسبب هذا الأمر إشكالاً أمام المؤسسات المالية الكبرى، وبدأوا بالبحث عن الحلول التي يمكن من خلالها السيطرة على قيمة العملة والتي منها الربط القياسي، وقبل الحديث عن الربط القياسي لابد من بيان معنى التضخم والانكماش التي هي من أسباب تغير قيمة العملة</w:t>
      </w:r>
      <w:r w:rsidR="00201DD5" w:rsidRPr="00001A51">
        <w:rPr>
          <w:rFonts w:ascii="Arabic Transparent" w:hAnsi="Arabic Transparent" w:cs="Arabic Transparent"/>
          <w:sz w:val="28"/>
          <w:szCs w:val="28"/>
          <w:vertAlign w:val="superscript"/>
          <w:rtl/>
          <w:lang w:bidi="ar-JO"/>
        </w:rPr>
        <w:t>(</w:t>
      </w:r>
      <w:r w:rsidR="00201DD5" w:rsidRPr="00001A51">
        <w:rPr>
          <w:rFonts w:ascii="Arabic Transparent" w:hAnsi="Arabic Transparent" w:cs="Arabic Transparent"/>
          <w:sz w:val="28"/>
          <w:szCs w:val="28"/>
          <w:vertAlign w:val="superscript"/>
          <w:rtl/>
          <w:lang w:bidi="ar-JO"/>
        </w:rPr>
        <w:footnoteReference w:id="913"/>
      </w:r>
      <w:r w:rsidR="00201DD5" w:rsidRPr="00001A51">
        <w:rPr>
          <w:rFonts w:ascii="Arabic Transparent" w:hAnsi="Arabic Transparent" w:cs="Arabic Transparent"/>
          <w:sz w:val="28"/>
          <w:szCs w:val="28"/>
          <w:vertAlign w:val="superscript"/>
          <w:rtl/>
          <w:lang w:bidi="ar-JO"/>
        </w:rPr>
        <w:t>)</w:t>
      </w:r>
      <w:r w:rsidR="00201DD5" w:rsidRPr="00001A51">
        <w:rPr>
          <w:rFonts w:ascii="Arabic Transparent" w:hAnsi="Arabic Transparent" w:cs="Arabic Transparent"/>
          <w:sz w:val="28"/>
          <w:szCs w:val="28"/>
          <w:rtl/>
          <w:lang w:bidi="ar-JO"/>
        </w:rPr>
        <w:t xml:space="preserve"> وهو كما يأتي: </w:t>
      </w:r>
    </w:p>
    <w:p w14:paraId="37D59385" w14:textId="77777777" w:rsidR="00201DD5" w:rsidRPr="00001A51" w:rsidRDefault="00201DD5" w:rsidP="00201DD5">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أولاً: تعريف التضخم والانكماش:</w:t>
      </w:r>
    </w:p>
    <w:p w14:paraId="17893561" w14:textId="1B05AED5" w:rsidR="00201DD5" w:rsidRPr="00001A51" w:rsidRDefault="00201DD5"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1- التضخم لغة، </w:t>
      </w:r>
      <w:r w:rsidR="00503FC7" w:rsidRPr="00001A51">
        <w:rPr>
          <w:rFonts w:ascii="Arabic Transparent" w:hAnsi="Arabic Transparent" w:cs="Arabic Transparent" w:hint="cs"/>
          <w:sz w:val="28"/>
          <w:szCs w:val="28"/>
          <w:rtl/>
          <w:lang w:bidi="ar-JO"/>
        </w:rPr>
        <w:t>"</w:t>
      </w:r>
      <w:r w:rsidRPr="00001A51">
        <w:rPr>
          <w:rFonts w:ascii="Arabic Transparent" w:hAnsi="Arabic Transparent" w:cs="Arabic Transparent"/>
          <w:sz w:val="28"/>
          <w:szCs w:val="28"/>
          <w:rtl/>
          <w:lang w:bidi="ar-JO"/>
        </w:rPr>
        <w:t>هو من</w:t>
      </w:r>
      <w:r w:rsidR="00503FC7" w:rsidRPr="00001A51">
        <w:rPr>
          <w:rFonts w:ascii="Arabic Transparent" w:hAnsi="Arabic Transparent" w:cs="Arabic Transparent" w:hint="cs"/>
          <w:sz w:val="28"/>
          <w:szCs w:val="28"/>
          <w:rtl/>
          <w:lang w:bidi="ar-JO"/>
        </w:rPr>
        <w:t xml:space="preserve"> </w:t>
      </w:r>
      <w:r w:rsidRPr="00001A51">
        <w:rPr>
          <w:rFonts w:ascii="Arabic Transparent" w:hAnsi="Arabic Transparent" w:cs="Arabic Transparent"/>
          <w:sz w:val="28"/>
          <w:szCs w:val="28"/>
          <w:rtl/>
          <w:lang w:bidi="ar-JO"/>
        </w:rPr>
        <w:t>ضَخُمَ</w:t>
      </w:r>
      <w:r w:rsidR="00503FC7" w:rsidRPr="00001A51">
        <w:rPr>
          <w:rFonts w:ascii="Arabic Transparent" w:hAnsi="Arabic Transparent" w:cs="Arabic Transparent" w:hint="cs"/>
          <w:sz w:val="28"/>
          <w:szCs w:val="28"/>
          <w:rtl/>
          <w:lang w:bidi="ar-JO"/>
        </w:rPr>
        <w:t xml:space="preserve">، </w:t>
      </w:r>
      <w:r w:rsidRPr="00001A51">
        <w:rPr>
          <w:rFonts w:ascii="Arabic Transparent" w:hAnsi="Arabic Transparent" w:cs="Arabic Transparent"/>
          <w:sz w:val="28"/>
          <w:szCs w:val="28"/>
          <w:rtl/>
          <w:lang w:bidi="ar-JO"/>
        </w:rPr>
        <w:t>أي "ما عَظُمَ وارتفع شأنَّه"</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914"/>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w:t>
      </w:r>
      <w:r w:rsidRPr="00001A51">
        <w:rPr>
          <w:rFonts w:ascii="Arabic Transparent" w:hAnsi="Arabic Transparent" w:cs="Arabic Transparent"/>
          <w:b/>
          <w:bCs/>
          <w:sz w:val="28"/>
          <w:szCs w:val="28"/>
          <w:rtl/>
          <w:lang w:bidi="ar-JO"/>
        </w:rPr>
        <w:t xml:space="preserve"> </w:t>
      </w:r>
      <w:r w:rsidRPr="00001A51">
        <w:rPr>
          <w:rFonts w:ascii="Arabic Transparent" w:hAnsi="Arabic Transparent" w:cs="Arabic Transparent"/>
          <w:sz w:val="28"/>
          <w:szCs w:val="28"/>
          <w:rtl/>
          <w:lang w:bidi="ar-JO"/>
        </w:rPr>
        <w:t>واصطلاحاً: "الارتفاع العام للأسعار الناتج عن عدم التوازن بين التيار النقدي والتيار السلعي"</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915"/>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xml:space="preserve"> ويقصد به "زيادة قيمة سلة واسعة من السلع والخدمات في الأسواق المحلية، يعبر عنها بمؤشر أسعار المستهلك (</w:t>
      </w:r>
      <w:r w:rsidRPr="00001A51">
        <w:rPr>
          <w:rFonts w:ascii="Arabic Transparent" w:hAnsi="Arabic Transparent" w:cs="Arabic Transparent"/>
          <w:sz w:val="28"/>
          <w:szCs w:val="28"/>
          <w:lang w:bidi="ar-JO"/>
        </w:rPr>
        <w:t>CPI</w:t>
      </w:r>
      <w:r w:rsidRPr="00001A51">
        <w:rPr>
          <w:rFonts w:ascii="Arabic Transparent" w:hAnsi="Arabic Transparent" w:cs="Arabic Transparent"/>
          <w:sz w:val="28"/>
          <w:szCs w:val="28"/>
          <w:rtl/>
          <w:lang w:bidi="ar-JO"/>
        </w:rPr>
        <w:t>) عبر فترة زمنية محددة وبالاستعانة بمؤشرات أخرى"</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916"/>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w:t>
      </w:r>
    </w:p>
    <w:p w14:paraId="05D17879" w14:textId="413CBCFF" w:rsidR="00201DD5" w:rsidRPr="00001A51" w:rsidRDefault="005D7B91"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D9288F" w:rsidRPr="00001A51">
        <w:rPr>
          <w:rFonts w:ascii="Arabic Transparent" w:hAnsi="Arabic Transparent" w:cs="Arabic Transparent" w:hint="cs"/>
          <w:sz w:val="28"/>
          <w:szCs w:val="28"/>
          <w:rtl/>
          <w:lang w:bidi="ar-JO"/>
        </w:rPr>
        <w:t xml:space="preserve"> </w:t>
      </w:r>
      <w:r w:rsidR="00201DD5" w:rsidRPr="00001A51">
        <w:rPr>
          <w:rFonts w:ascii="Arabic Transparent" w:hAnsi="Arabic Transparent" w:cs="Arabic Transparent"/>
          <w:sz w:val="28"/>
          <w:szCs w:val="28"/>
          <w:rtl/>
          <w:lang w:bidi="ar-JO"/>
        </w:rPr>
        <w:t xml:space="preserve">إنَّ التعليل المنطقي لحدوث ظاهرة التضخم، هو وجود فجوة بين السلع والنقود تجعل أحدهما لا يقبل باستقرار الآخر بالأسواق، "والتيار النقدي: هو الذي يعبر عنه بالطلب الفعّال، مثل: عمليات </w:t>
      </w:r>
    </w:p>
    <w:p w14:paraId="59B6F573" w14:textId="49E007E5" w:rsidR="00503FC7" w:rsidRPr="00001A51" w:rsidRDefault="00201DD5" w:rsidP="009504E9">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lastRenderedPageBreak/>
        <w:t>الإنفاق والائتمان والسيولة التي تزاحم الخدمات والسلع، وأما التيار السلعي، فهو المعروض حقيقةً من خدمات وسلع قابلة للبيع والاستهلاك"</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917"/>
      </w:r>
      <w:r w:rsidRPr="00001A51">
        <w:rPr>
          <w:rFonts w:ascii="Arabic Transparent" w:hAnsi="Arabic Transparent" w:cs="Arabic Transparent"/>
          <w:sz w:val="28"/>
          <w:szCs w:val="28"/>
          <w:vertAlign w:val="superscript"/>
          <w:rtl/>
          <w:lang w:bidi="ar-JO"/>
        </w:rPr>
        <w:t>)</w:t>
      </w:r>
      <w:r w:rsidR="009504E9" w:rsidRPr="00001A51">
        <w:rPr>
          <w:rFonts w:ascii="Arabic Transparent" w:hAnsi="Arabic Transparent" w:cs="Arabic Transparent" w:hint="cs"/>
          <w:sz w:val="28"/>
          <w:szCs w:val="28"/>
          <w:rtl/>
          <w:lang w:bidi="ar-JO"/>
        </w:rPr>
        <w:t>.</w:t>
      </w:r>
    </w:p>
    <w:p w14:paraId="329BB3A2" w14:textId="77777777" w:rsidR="00503FC7" w:rsidRPr="00001A51" w:rsidRDefault="00503FC7">
      <w:pPr>
        <w:bidi w:val="0"/>
        <w:spacing w:after="0" w:line="240" w:lineRule="auto"/>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br w:type="page"/>
      </w:r>
    </w:p>
    <w:p w14:paraId="6872B9FB" w14:textId="5AF32AC5" w:rsidR="00201DD5" w:rsidRPr="00001A51" w:rsidRDefault="00201DD5" w:rsidP="009504E9">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2- الانكماش لغة: "الضمور والتقلص والإسراع"</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918"/>
      </w:r>
      <w:r w:rsidRPr="00001A51">
        <w:rPr>
          <w:rFonts w:ascii="Arabic Transparent" w:hAnsi="Arabic Transparent" w:cs="Arabic Transparent"/>
          <w:sz w:val="28"/>
          <w:szCs w:val="28"/>
          <w:vertAlign w:val="superscript"/>
          <w:rtl/>
          <w:lang w:bidi="ar-JO"/>
        </w:rPr>
        <w:t xml:space="preserve">) </w:t>
      </w:r>
      <w:r w:rsidRPr="00001A51">
        <w:rPr>
          <w:rFonts w:ascii="Arabic Transparent" w:hAnsi="Arabic Transparent" w:cs="Arabic Transparent"/>
          <w:sz w:val="28"/>
          <w:szCs w:val="28"/>
          <w:rtl/>
          <w:lang w:bidi="ar-JO"/>
        </w:rPr>
        <w:t>واصطلاحاً: "انخفاض أسعار السلع مما يؤدي إلى ارتفاع قيمة النقود"</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919"/>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وهو يحدث "عندما ينزل معدل التضخم إلى أقل من 0% وهو معدل التضخم السلبي"</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920"/>
      </w:r>
      <w:r w:rsidRPr="00001A51">
        <w:rPr>
          <w:rFonts w:ascii="Arabic Transparent" w:hAnsi="Arabic Transparent" w:cs="Arabic Transparent"/>
          <w:sz w:val="28"/>
          <w:szCs w:val="28"/>
          <w:vertAlign w:val="superscript"/>
          <w:rtl/>
          <w:lang w:bidi="ar-JO"/>
        </w:rPr>
        <w:t>)</w:t>
      </w:r>
    </w:p>
    <w:p w14:paraId="1455AE46" w14:textId="77777777" w:rsidR="00201DD5" w:rsidRPr="00001A51" w:rsidRDefault="00201DD5" w:rsidP="00201DD5">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ثانياً: تعريف الربط القياسي:</w:t>
      </w:r>
    </w:p>
    <w:p w14:paraId="360B6FF9" w14:textId="0A02633C" w:rsidR="00201DD5" w:rsidRPr="00001A51" w:rsidRDefault="005D7B91" w:rsidP="009504E9">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201DD5" w:rsidRPr="00001A51">
        <w:rPr>
          <w:rFonts w:ascii="Arabic Transparent" w:hAnsi="Arabic Transparent" w:cs="Arabic Transparent"/>
          <w:sz w:val="28"/>
          <w:szCs w:val="28"/>
          <w:rtl/>
          <w:lang w:bidi="ar-JO"/>
        </w:rPr>
        <w:t>الربط القياسي وما يسمى فهرسة الدين (</w:t>
      </w:r>
      <w:r w:rsidR="00201DD5" w:rsidRPr="00001A51">
        <w:rPr>
          <w:rFonts w:ascii="Arabic Transparent" w:hAnsi="Arabic Transparent" w:cs="Arabic Transparent"/>
          <w:sz w:val="28"/>
          <w:szCs w:val="28"/>
          <w:lang w:bidi="ar-JO"/>
        </w:rPr>
        <w:t>indexation</w:t>
      </w:r>
      <w:r w:rsidR="00201DD5" w:rsidRPr="00001A51">
        <w:rPr>
          <w:rFonts w:ascii="Arabic Transparent" w:hAnsi="Arabic Transparent" w:cs="Arabic Transparent"/>
          <w:sz w:val="28"/>
          <w:szCs w:val="28"/>
          <w:rtl/>
          <w:lang w:bidi="ar-JO"/>
        </w:rPr>
        <w:t>) تغيير الديون والالتزامات التي في الذمة طويلة الأجل، من خلال ربطها بتفاوت الأسعار، أو التضخم، والغاية من ذلك إقامة العدل وتحقيق الحماية لأصحاب الأموال؛ خشية أن تفقد أموالهم القيم الشرائية نتاج التضخم، أو عوامل تغير النقود الأخرى</w:t>
      </w:r>
      <w:r w:rsidR="00201DD5" w:rsidRPr="00001A51">
        <w:rPr>
          <w:rFonts w:ascii="Arabic Transparent" w:hAnsi="Arabic Transparent" w:cs="Arabic Transparent"/>
          <w:sz w:val="28"/>
          <w:szCs w:val="28"/>
          <w:vertAlign w:val="superscript"/>
          <w:rtl/>
          <w:lang w:bidi="ar-JO"/>
        </w:rPr>
        <w:t>(</w:t>
      </w:r>
      <w:r w:rsidR="00201DD5" w:rsidRPr="00001A51">
        <w:rPr>
          <w:rFonts w:ascii="Arabic Transparent" w:hAnsi="Arabic Transparent" w:cs="Arabic Transparent"/>
          <w:sz w:val="28"/>
          <w:szCs w:val="28"/>
          <w:vertAlign w:val="superscript"/>
          <w:rtl/>
          <w:lang w:bidi="ar-JO"/>
        </w:rPr>
        <w:footnoteReference w:id="921"/>
      </w:r>
      <w:r w:rsidR="00201DD5" w:rsidRPr="00001A51">
        <w:rPr>
          <w:rFonts w:ascii="Arabic Transparent" w:hAnsi="Arabic Transparent" w:cs="Arabic Transparent"/>
          <w:sz w:val="28"/>
          <w:szCs w:val="28"/>
          <w:vertAlign w:val="superscript"/>
          <w:rtl/>
          <w:lang w:bidi="ar-JO"/>
        </w:rPr>
        <w:t>)</w:t>
      </w:r>
      <w:r w:rsidR="00201DD5" w:rsidRPr="00001A51">
        <w:rPr>
          <w:rFonts w:ascii="Arabic Transparent" w:hAnsi="Arabic Transparent" w:cs="Arabic Transparent"/>
          <w:sz w:val="28"/>
          <w:szCs w:val="28"/>
          <w:rtl/>
          <w:lang w:bidi="ar-JO"/>
        </w:rPr>
        <w:t>، فهي وسيلة اتجه لها بعض الاقتصاديين الغربيين قديماً؛ لتحقق العدالة في</w:t>
      </w:r>
    </w:p>
    <w:p w14:paraId="6FD3744D" w14:textId="77777777" w:rsidR="00201DD5" w:rsidRPr="00001A51" w:rsidRDefault="00201DD5" w:rsidP="00201DD5">
      <w:pPr>
        <w:spacing w:after="0" w:line="360" w:lineRule="auto"/>
        <w:jc w:val="both"/>
        <w:rPr>
          <w:rFonts w:ascii="Arabic Transparent" w:hAnsi="Arabic Transparent" w:cs="Arabic Transparent"/>
          <w:sz w:val="28"/>
          <w:szCs w:val="28"/>
          <w:lang w:val="en-AE" w:bidi="ar-JO"/>
        </w:rPr>
      </w:pPr>
      <w:r w:rsidRPr="00001A51">
        <w:rPr>
          <w:rFonts w:ascii="Arabic Transparent" w:hAnsi="Arabic Transparent" w:cs="Arabic Transparent"/>
          <w:sz w:val="28"/>
          <w:szCs w:val="28"/>
          <w:rtl/>
          <w:lang w:bidi="ar-JO"/>
        </w:rPr>
        <w:t xml:space="preserve"> سداد الديون طويلة ومتوسطة الأجل مع المحافظة على قيمة العملة، والذي نشأ في ظروف شهدت تذبذب وتفاوت التضخم في معظم بلدان العال</w:t>
      </w:r>
      <w:r w:rsidRPr="00001A51">
        <w:rPr>
          <w:rFonts w:ascii="Arabic Transparent" w:hAnsi="Arabic Transparent" w:cs="Arabic Transparent"/>
          <w:sz w:val="28"/>
          <w:szCs w:val="28"/>
          <w:rtl/>
          <w:lang w:val="en-AE" w:bidi="ar-JO"/>
        </w:rPr>
        <w:t>م بنسب متقاربة</w:t>
      </w:r>
      <w:r w:rsidRPr="00001A51">
        <w:rPr>
          <w:rFonts w:ascii="Arabic Transparent" w:hAnsi="Arabic Transparent" w:cs="Arabic Transparent"/>
          <w:sz w:val="28"/>
          <w:szCs w:val="28"/>
          <w:vertAlign w:val="superscript"/>
          <w:rtl/>
          <w:lang w:val="en-AE" w:bidi="ar-JO"/>
        </w:rPr>
        <w:t>(</w:t>
      </w:r>
      <w:r w:rsidRPr="00001A51">
        <w:rPr>
          <w:rFonts w:ascii="Arabic Transparent" w:hAnsi="Arabic Transparent" w:cs="Arabic Transparent"/>
          <w:sz w:val="28"/>
          <w:szCs w:val="28"/>
          <w:vertAlign w:val="superscript"/>
          <w:rtl/>
          <w:lang w:val="en-AE" w:bidi="ar-JO"/>
        </w:rPr>
        <w:footnoteReference w:id="922"/>
      </w:r>
      <w:r w:rsidRPr="00001A51">
        <w:rPr>
          <w:rFonts w:ascii="Arabic Transparent" w:hAnsi="Arabic Transparent" w:cs="Arabic Transparent"/>
          <w:sz w:val="28"/>
          <w:szCs w:val="28"/>
          <w:vertAlign w:val="superscript"/>
          <w:rtl/>
          <w:lang w:val="en-AE" w:bidi="ar-JO"/>
        </w:rPr>
        <w:t>)</w:t>
      </w:r>
      <w:r w:rsidRPr="00001A51">
        <w:rPr>
          <w:rFonts w:ascii="Arabic Transparent" w:hAnsi="Arabic Transparent" w:cs="Arabic Transparent"/>
          <w:sz w:val="28"/>
          <w:szCs w:val="28"/>
          <w:rtl/>
          <w:lang w:val="en-AE" w:bidi="ar-JO"/>
        </w:rPr>
        <w:t>.</w:t>
      </w:r>
    </w:p>
    <w:p w14:paraId="1E21ADCD" w14:textId="5663CB3F" w:rsidR="00201DD5" w:rsidRPr="00001A51" w:rsidRDefault="00201DD5" w:rsidP="00201DD5">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الفرع الثاني: فتاوى أداء الديون والالتزامات عرضاً وتحليلاً</w:t>
      </w:r>
      <w:r w:rsidR="00151AED" w:rsidRPr="00001A51">
        <w:rPr>
          <w:rFonts w:ascii="Arabic Transparent" w:hAnsi="Arabic Transparent" w:cs="Arabic Transparent"/>
          <w:b/>
          <w:bCs/>
          <w:sz w:val="28"/>
          <w:szCs w:val="28"/>
          <w:rtl/>
          <w:lang w:bidi="ar-JO"/>
        </w:rPr>
        <w:t xml:space="preserve">: </w:t>
      </w:r>
    </w:p>
    <w:p w14:paraId="340F0D3F" w14:textId="381FA4E6" w:rsidR="00327C97" w:rsidRPr="00001A51" w:rsidRDefault="005D7B91" w:rsidP="00AE633A">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201DD5" w:rsidRPr="00001A51">
        <w:rPr>
          <w:rFonts w:ascii="Arabic Transparent" w:hAnsi="Arabic Transparent" w:cs="Arabic Transparent"/>
          <w:sz w:val="28"/>
          <w:szCs w:val="28"/>
          <w:rtl/>
          <w:lang w:bidi="ar-JO"/>
        </w:rPr>
        <w:t>اختلف المجتهدون المعاصرون في كيفية أداء الديون والالتزامات، وربطها بمعيار محدد على قولين: القول الأول: ذهب إلى أن المعتبر في وفاء الديون الثابتة بعملة معينة هو المثل وليس القيمة، وتطبيقاً للحكم الأصلي العام بالأداء بالمثل للمثليات، والقيمة للقيميات، فيجب تحقق التماثل، ويُحرم الربط القياسي للديون بمستوى الأسعار، وبيان القائلين والقول الثاني: ذهب إلى وجوب السداد بالقيمة، إذا تغيرت قيمتها يوم الوفاء، وجواز</w:t>
      </w:r>
      <w:r w:rsidR="0067036C" w:rsidRPr="00001A51">
        <w:rPr>
          <w:rFonts w:ascii="Arabic Transparent" w:hAnsi="Arabic Transparent" w:cs="Arabic Transparent" w:hint="cs"/>
          <w:sz w:val="28"/>
          <w:szCs w:val="28"/>
          <w:rtl/>
          <w:lang w:bidi="ar-JO"/>
        </w:rPr>
        <w:t xml:space="preserve"> </w:t>
      </w:r>
      <w:r w:rsidR="00201DD5" w:rsidRPr="00001A51">
        <w:rPr>
          <w:rFonts w:ascii="Arabic Transparent" w:hAnsi="Arabic Transparent" w:cs="Arabic Transparent"/>
          <w:sz w:val="28"/>
          <w:szCs w:val="28"/>
          <w:rtl/>
          <w:lang w:bidi="ar-JO"/>
        </w:rPr>
        <w:t>الربط القياسي للديون بمستوى الأسعار مع الاختلاف في بعض التفاصيل، منها: هل دفع القيمة عند التغيّر اليسير أم عند التغيّر الفاحش من خلال الصلح أو</w:t>
      </w:r>
      <w:r w:rsidR="0067036C" w:rsidRPr="00001A51">
        <w:rPr>
          <w:rFonts w:ascii="Arabic Transparent" w:hAnsi="Arabic Transparent" w:cs="Arabic Transparent" w:hint="cs"/>
          <w:sz w:val="28"/>
          <w:szCs w:val="28"/>
          <w:rtl/>
          <w:lang w:bidi="ar-JO"/>
        </w:rPr>
        <w:t xml:space="preserve"> </w:t>
      </w:r>
      <w:r w:rsidR="00201DD5" w:rsidRPr="00001A51">
        <w:rPr>
          <w:rFonts w:ascii="Arabic Transparent" w:hAnsi="Arabic Transparent" w:cs="Arabic Transparent"/>
          <w:sz w:val="28"/>
          <w:szCs w:val="28"/>
          <w:rtl/>
          <w:lang w:bidi="ar-JO"/>
        </w:rPr>
        <w:t>التحكيم، إما الرضائي أو القضائي، وهل ربط القيمة بمستوى الأسعار ابتداءً بالاتفاق أو على سبيل المعالجة أو بناءً على قانون الدولة، والبيان كما يأتي</w:t>
      </w:r>
      <w:r w:rsidR="00D9288F" w:rsidRPr="00001A51">
        <w:rPr>
          <w:rFonts w:ascii="Arabic Transparent" w:hAnsi="Arabic Transparent" w:cs="Arabic Transparent" w:hint="cs"/>
          <w:sz w:val="28"/>
          <w:szCs w:val="28"/>
          <w:rtl/>
          <w:lang w:bidi="ar-JO"/>
        </w:rPr>
        <w:t>:</w:t>
      </w:r>
    </w:p>
    <w:p w14:paraId="3105EE89" w14:textId="77777777" w:rsidR="00327C97" w:rsidRPr="00001A51" w:rsidRDefault="00327C97">
      <w:pPr>
        <w:bidi w:val="0"/>
        <w:spacing w:after="0" w:line="240" w:lineRule="auto"/>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br w:type="page"/>
      </w:r>
    </w:p>
    <w:p w14:paraId="407C07FF" w14:textId="7C796C2A" w:rsidR="00201DD5" w:rsidRPr="00001A51" w:rsidRDefault="00201DD5" w:rsidP="00201DD5">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أولاً: فتاوى وجوب المثل</w:t>
      </w:r>
      <w:r w:rsidR="005D7B91" w:rsidRPr="00001A51">
        <w:rPr>
          <w:rFonts w:ascii="Arabic Transparent" w:hAnsi="Arabic Transparent" w:cs="Arabic Transparent"/>
          <w:b/>
          <w:bCs/>
          <w:sz w:val="28"/>
          <w:szCs w:val="28"/>
          <w:rtl/>
          <w:lang w:bidi="ar-JO"/>
        </w:rPr>
        <w:t xml:space="preserve">: </w:t>
      </w:r>
    </w:p>
    <w:p w14:paraId="01CE79F2" w14:textId="7994124A" w:rsidR="00201DD5" w:rsidRPr="00001A51" w:rsidRDefault="005D7B91" w:rsidP="009504E9">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201DD5" w:rsidRPr="00001A51">
        <w:rPr>
          <w:rFonts w:ascii="Arabic Transparent" w:hAnsi="Arabic Transparent" w:cs="Arabic Transparent"/>
          <w:sz w:val="28"/>
          <w:szCs w:val="28"/>
          <w:rtl/>
          <w:lang w:bidi="ar-JO"/>
        </w:rPr>
        <w:t>إنَّ بعض الاجتهادات الجماعية، والفتاوى المصرفية، والأبحاث المحكمة ذهبوا إلى وجوب الوفاء بالمثل، للديون والالتزامات وحرمة الربط القياسي بمعيار معين، وهم: قرار مجمع الفقه الإسلامي</w:t>
      </w:r>
      <w:r w:rsidR="00201DD5" w:rsidRPr="00001A51">
        <w:rPr>
          <w:rFonts w:ascii="Arabic Transparent" w:hAnsi="Arabic Transparent" w:cs="Arabic Transparent"/>
          <w:sz w:val="28"/>
          <w:szCs w:val="28"/>
          <w:vertAlign w:val="superscript"/>
          <w:rtl/>
          <w:lang w:bidi="ar-JO"/>
        </w:rPr>
        <w:t>(</w:t>
      </w:r>
      <w:r w:rsidR="00201DD5" w:rsidRPr="00001A51">
        <w:rPr>
          <w:rFonts w:ascii="Arabic Transparent" w:hAnsi="Arabic Transparent" w:cs="Arabic Transparent"/>
          <w:sz w:val="28"/>
          <w:szCs w:val="28"/>
          <w:vertAlign w:val="superscript"/>
          <w:rtl/>
          <w:lang w:bidi="ar-JO"/>
        </w:rPr>
        <w:footnoteReference w:id="923"/>
      </w:r>
      <w:r w:rsidR="00201DD5" w:rsidRPr="00001A51">
        <w:rPr>
          <w:rFonts w:ascii="Arabic Transparent" w:hAnsi="Arabic Transparent" w:cs="Arabic Transparent"/>
          <w:sz w:val="28"/>
          <w:szCs w:val="28"/>
          <w:vertAlign w:val="superscript"/>
          <w:rtl/>
          <w:lang w:bidi="ar-JO"/>
        </w:rPr>
        <w:t>)</w:t>
      </w:r>
      <w:r w:rsidR="00201DD5" w:rsidRPr="00001A51">
        <w:rPr>
          <w:rFonts w:ascii="Arabic Transparent" w:hAnsi="Arabic Transparent" w:cs="Arabic Transparent"/>
          <w:sz w:val="28"/>
          <w:szCs w:val="28"/>
          <w:rtl/>
          <w:lang w:bidi="ar-JO"/>
        </w:rPr>
        <w:t>، وفتوى دائرة الإفتاء الأردنية</w:t>
      </w:r>
      <w:r w:rsidR="00201DD5" w:rsidRPr="00001A51">
        <w:rPr>
          <w:rFonts w:ascii="Arabic Transparent" w:hAnsi="Arabic Transparent" w:cs="Arabic Transparent"/>
          <w:sz w:val="28"/>
          <w:szCs w:val="28"/>
          <w:vertAlign w:val="superscript"/>
          <w:rtl/>
          <w:lang w:bidi="ar-JO"/>
        </w:rPr>
        <w:t xml:space="preserve"> (</w:t>
      </w:r>
      <w:r w:rsidR="00201DD5" w:rsidRPr="00001A51">
        <w:rPr>
          <w:rFonts w:ascii="Arabic Transparent" w:hAnsi="Arabic Transparent" w:cs="Arabic Transparent"/>
          <w:sz w:val="28"/>
          <w:szCs w:val="28"/>
          <w:vertAlign w:val="superscript"/>
          <w:rtl/>
          <w:lang w:bidi="ar-JO"/>
        </w:rPr>
        <w:footnoteReference w:id="924"/>
      </w:r>
      <w:r w:rsidR="00201DD5" w:rsidRPr="00001A51">
        <w:rPr>
          <w:rFonts w:ascii="Arabic Transparent" w:hAnsi="Arabic Transparent" w:cs="Arabic Transparent"/>
          <w:sz w:val="28"/>
          <w:szCs w:val="28"/>
          <w:vertAlign w:val="superscript"/>
          <w:rtl/>
          <w:lang w:bidi="ar-JO"/>
        </w:rPr>
        <w:t>)</w:t>
      </w:r>
      <w:r w:rsidR="00201DD5" w:rsidRPr="00001A51">
        <w:rPr>
          <w:rFonts w:ascii="Arabic Transparent" w:hAnsi="Arabic Transparent" w:cs="Arabic Transparent"/>
          <w:sz w:val="28"/>
          <w:szCs w:val="28"/>
          <w:rtl/>
          <w:lang w:bidi="ar-JO"/>
        </w:rPr>
        <w:t>، وفتوى دار الإفتاء المصرية</w:t>
      </w:r>
      <w:r w:rsidR="00201DD5" w:rsidRPr="00001A51">
        <w:rPr>
          <w:rFonts w:ascii="Arabic Transparent" w:hAnsi="Arabic Transparent" w:cs="Arabic Transparent"/>
          <w:sz w:val="28"/>
          <w:szCs w:val="28"/>
          <w:vertAlign w:val="superscript"/>
          <w:rtl/>
          <w:lang w:bidi="ar-JO"/>
        </w:rPr>
        <w:t>(</w:t>
      </w:r>
      <w:r w:rsidR="00201DD5" w:rsidRPr="00001A51">
        <w:rPr>
          <w:rFonts w:ascii="Arabic Transparent" w:hAnsi="Arabic Transparent" w:cs="Arabic Transparent"/>
          <w:sz w:val="28"/>
          <w:szCs w:val="28"/>
          <w:vertAlign w:val="superscript"/>
          <w:rtl/>
          <w:lang w:bidi="ar-JO"/>
        </w:rPr>
        <w:footnoteReference w:id="925"/>
      </w:r>
      <w:r w:rsidR="00201DD5" w:rsidRPr="00001A51">
        <w:rPr>
          <w:rFonts w:ascii="Arabic Transparent" w:hAnsi="Arabic Transparent" w:cs="Arabic Transparent"/>
          <w:sz w:val="28"/>
          <w:szCs w:val="28"/>
          <w:vertAlign w:val="superscript"/>
          <w:rtl/>
          <w:lang w:bidi="ar-JO"/>
        </w:rPr>
        <w:t>)</w:t>
      </w:r>
      <w:r w:rsidR="00201DD5" w:rsidRPr="00001A51">
        <w:rPr>
          <w:rFonts w:ascii="Arabic Transparent" w:hAnsi="Arabic Transparent" w:cs="Arabic Transparent"/>
          <w:sz w:val="28"/>
          <w:szCs w:val="28"/>
          <w:rtl/>
          <w:lang w:bidi="ar-JO"/>
        </w:rPr>
        <w:t>، والمجلس الإسلامي للإفتاء</w:t>
      </w:r>
      <w:r w:rsidR="00201DD5" w:rsidRPr="00001A51">
        <w:rPr>
          <w:rFonts w:ascii="Arabic Transparent" w:hAnsi="Arabic Transparent" w:cs="Arabic Transparent"/>
          <w:sz w:val="28"/>
          <w:szCs w:val="28"/>
          <w:vertAlign w:val="superscript"/>
          <w:rtl/>
          <w:lang w:bidi="ar-JO"/>
        </w:rPr>
        <w:t>(</w:t>
      </w:r>
      <w:r w:rsidR="00201DD5" w:rsidRPr="00001A51">
        <w:rPr>
          <w:rFonts w:ascii="Arabic Transparent" w:hAnsi="Arabic Transparent" w:cs="Arabic Transparent"/>
          <w:sz w:val="28"/>
          <w:szCs w:val="28"/>
          <w:vertAlign w:val="superscript"/>
          <w:rtl/>
          <w:lang w:bidi="ar-JO"/>
        </w:rPr>
        <w:footnoteReference w:id="926"/>
      </w:r>
      <w:r w:rsidR="00201DD5" w:rsidRPr="00001A51">
        <w:rPr>
          <w:rFonts w:ascii="Arabic Transparent" w:hAnsi="Arabic Transparent" w:cs="Arabic Transparent"/>
          <w:sz w:val="28"/>
          <w:szCs w:val="28"/>
          <w:vertAlign w:val="superscript"/>
          <w:rtl/>
          <w:lang w:bidi="ar-JO"/>
        </w:rPr>
        <w:t>)</w:t>
      </w:r>
      <w:r w:rsidR="00201DD5" w:rsidRPr="00001A51">
        <w:rPr>
          <w:rFonts w:ascii="Arabic Transparent" w:hAnsi="Arabic Transparent" w:cs="Arabic Transparent"/>
          <w:sz w:val="28"/>
          <w:szCs w:val="28"/>
          <w:rtl/>
          <w:lang w:bidi="ar-JO"/>
        </w:rPr>
        <w:t>.</w:t>
      </w:r>
      <w:r w:rsidR="009504E9" w:rsidRPr="00001A51">
        <w:rPr>
          <w:rFonts w:ascii="Arabic Transparent" w:hAnsi="Arabic Transparent" w:cs="Arabic Transparent" w:hint="cs"/>
          <w:sz w:val="28"/>
          <w:szCs w:val="28"/>
          <w:rtl/>
          <w:lang w:bidi="ar-JO"/>
        </w:rPr>
        <w:t xml:space="preserve">، </w:t>
      </w:r>
      <w:r w:rsidR="00201DD5" w:rsidRPr="00001A51">
        <w:rPr>
          <w:rFonts w:ascii="Arabic Transparent" w:hAnsi="Arabic Transparent" w:cs="Arabic Transparent"/>
          <w:sz w:val="28"/>
          <w:szCs w:val="28"/>
          <w:rtl/>
          <w:lang w:bidi="ar-JO"/>
        </w:rPr>
        <w:t>وقد قالوا بالتحريم مطلقاً، للأسباب الآتية:</w:t>
      </w:r>
    </w:p>
    <w:p w14:paraId="6928E365" w14:textId="61471A08" w:rsidR="00201DD5" w:rsidRPr="00001A51" w:rsidRDefault="005D7B91" w:rsidP="00201DD5">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sz w:val="28"/>
          <w:szCs w:val="28"/>
          <w:rtl/>
          <w:lang w:bidi="ar-JO"/>
        </w:rPr>
        <w:t xml:space="preserve">     </w:t>
      </w:r>
      <w:r w:rsidR="00201DD5" w:rsidRPr="00001A51">
        <w:rPr>
          <w:rFonts w:ascii="Arabic Transparent" w:hAnsi="Arabic Transparent" w:cs="Arabic Transparent"/>
          <w:sz w:val="28"/>
          <w:szCs w:val="28"/>
          <w:rtl/>
          <w:lang w:bidi="ar-JO"/>
        </w:rPr>
        <w:t>إن العبرة في وفاء الديون الثابتة بعملة ما: هو أداء المثل، وليس بالقيمة، لآن الديون والالتزامات تقضى بأمثالها في الفقه الإسلامي، وعليه فلا يجوز ربط الديون الثابتة في الذمة بمستوى الأسعار بصرف النظر عن مصدرها.</w:t>
      </w:r>
    </w:p>
    <w:p w14:paraId="60A89985" w14:textId="77777777" w:rsidR="00201DD5" w:rsidRPr="00001A51" w:rsidRDefault="00201DD5" w:rsidP="00201DD5">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 xml:space="preserve">ثانياً: فتاوى وجوب بالقيمة: </w:t>
      </w:r>
    </w:p>
    <w:p w14:paraId="5ABAB0D6" w14:textId="77777777" w:rsidR="00327C97" w:rsidRPr="00001A51" w:rsidRDefault="005D7B91" w:rsidP="009504E9">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201DD5" w:rsidRPr="00001A51">
        <w:rPr>
          <w:rFonts w:ascii="Arabic Transparent" w:hAnsi="Arabic Transparent" w:cs="Arabic Transparent"/>
          <w:sz w:val="28"/>
          <w:szCs w:val="28"/>
          <w:rtl/>
          <w:lang w:bidi="ar-JO"/>
        </w:rPr>
        <w:t>إن بعض الاجتهادات الجماعية والفتاوى المصرفية، والأبحاث المحكمة ذهبت إلى وجوب السداد بالقيمة للديون التي تغيرت قيمتها، والربط القياسي للأجور والالتزامات، بشروط وضوابط محددة،</w:t>
      </w:r>
      <w:r w:rsidR="009504E9" w:rsidRPr="00001A51">
        <w:rPr>
          <w:rFonts w:ascii="Arabic Transparent" w:hAnsi="Arabic Transparent" w:cs="Arabic Transparent" w:hint="cs"/>
          <w:sz w:val="28"/>
          <w:szCs w:val="28"/>
          <w:rtl/>
          <w:lang w:bidi="ar-JO"/>
        </w:rPr>
        <w:t xml:space="preserve"> </w:t>
      </w:r>
      <w:r w:rsidR="00201DD5" w:rsidRPr="00001A51">
        <w:rPr>
          <w:rFonts w:ascii="Arabic Transparent" w:hAnsi="Arabic Transparent" w:cs="Arabic Transparent"/>
          <w:sz w:val="28"/>
          <w:szCs w:val="28"/>
          <w:rtl/>
          <w:lang w:bidi="ar-JO"/>
        </w:rPr>
        <w:t>والقائلون هم: المجلس الأوروبي للإفتاء والبحوث</w:t>
      </w:r>
      <w:r w:rsidR="00201DD5" w:rsidRPr="00001A51">
        <w:rPr>
          <w:rFonts w:ascii="Arabic Transparent" w:hAnsi="Arabic Transparent" w:cs="Arabic Transparent"/>
          <w:sz w:val="28"/>
          <w:szCs w:val="28"/>
          <w:vertAlign w:val="superscript"/>
          <w:rtl/>
          <w:lang w:bidi="ar-JO"/>
        </w:rPr>
        <w:t>(</w:t>
      </w:r>
      <w:r w:rsidR="00201DD5" w:rsidRPr="00001A51">
        <w:rPr>
          <w:rFonts w:ascii="Arabic Transparent" w:hAnsi="Arabic Transparent" w:cs="Arabic Transparent"/>
          <w:sz w:val="28"/>
          <w:szCs w:val="28"/>
          <w:vertAlign w:val="superscript"/>
          <w:rtl/>
          <w:lang w:bidi="ar-JO"/>
        </w:rPr>
        <w:footnoteReference w:id="927"/>
      </w:r>
      <w:r w:rsidR="00201DD5" w:rsidRPr="00001A51">
        <w:rPr>
          <w:rFonts w:ascii="Arabic Transparent" w:hAnsi="Arabic Transparent" w:cs="Arabic Transparent"/>
          <w:sz w:val="28"/>
          <w:szCs w:val="28"/>
          <w:vertAlign w:val="superscript"/>
          <w:rtl/>
          <w:lang w:bidi="ar-JO"/>
        </w:rPr>
        <w:t>)</w:t>
      </w:r>
      <w:r w:rsidR="00201DD5" w:rsidRPr="00001A51">
        <w:rPr>
          <w:rFonts w:ascii="Arabic Transparent" w:hAnsi="Arabic Transparent" w:cs="Arabic Transparent"/>
          <w:sz w:val="28"/>
          <w:szCs w:val="28"/>
          <w:rtl/>
          <w:lang w:bidi="ar-JO"/>
        </w:rPr>
        <w:t>، وقرار مجمع الفقه الإسلامي</w:t>
      </w:r>
      <w:r w:rsidR="00201DD5" w:rsidRPr="00001A51">
        <w:rPr>
          <w:rFonts w:ascii="Arabic Transparent" w:hAnsi="Arabic Transparent" w:cs="Arabic Transparent"/>
          <w:sz w:val="28"/>
          <w:szCs w:val="28"/>
          <w:vertAlign w:val="superscript"/>
          <w:rtl/>
          <w:lang w:bidi="ar-JO"/>
        </w:rPr>
        <w:t>(</w:t>
      </w:r>
      <w:r w:rsidR="00201DD5" w:rsidRPr="00001A51">
        <w:rPr>
          <w:rFonts w:ascii="Arabic Transparent" w:hAnsi="Arabic Transparent" w:cs="Arabic Transparent"/>
          <w:sz w:val="28"/>
          <w:szCs w:val="28"/>
          <w:vertAlign w:val="superscript"/>
          <w:rtl/>
          <w:lang w:bidi="ar-JO"/>
        </w:rPr>
        <w:footnoteReference w:id="928"/>
      </w:r>
      <w:r w:rsidR="00201DD5" w:rsidRPr="00001A51">
        <w:rPr>
          <w:rFonts w:ascii="Arabic Transparent" w:hAnsi="Arabic Transparent" w:cs="Arabic Transparent"/>
          <w:sz w:val="28"/>
          <w:szCs w:val="28"/>
          <w:vertAlign w:val="superscript"/>
          <w:rtl/>
          <w:lang w:bidi="ar-JO"/>
        </w:rPr>
        <w:t>)</w:t>
      </w:r>
      <w:r w:rsidR="00201DD5" w:rsidRPr="00001A51">
        <w:rPr>
          <w:rFonts w:ascii="Arabic Transparent" w:hAnsi="Arabic Transparent" w:cs="Arabic Transparent"/>
          <w:sz w:val="28"/>
          <w:szCs w:val="28"/>
          <w:rtl/>
          <w:lang w:bidi="ar-JO"/>
        </w:rPr>
        <w:t xml:space="preserve">، وفتوى عصام </w:t>
      </w:r>
    </w:p>
    <w:p w14:paraId="0536DC2D" w14:textId="77777777" w:rsidR="00327C97" w:rsidRPr="00001A51" w:rsidRDefault="00327C97">
      <w:pPr>
        <w:bidi w:val="0"/>
        <w:spacing w:after="0" w:line="240" w:lineRule="auto"/>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br w:type="page"/>
      </w:r>
    </w:p>
    <w:p w14:paraId="3365907E" w14:textId="471ED74F" w:rsidR="00201DD5" w:rsidRPr="00001A51" w:rsidRDefault="00201DD5" w:rsidP="009504E9">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تلمية</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929"/>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وفتوى الدكتور على القره داغي</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930"/>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xml:space="preserve"> والشيخ عبدالله بن بيه</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931"/>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والدكتور محمد الأشقر</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932"/>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والدكتور نزيه حماد</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933"/>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،والدكتور عجيل النشمي</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934"/>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والشيخ عبدالله بن منيع</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935"/>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w:t>
      </w:r>
    </w:p>
    <w:p w14:paraId="5A650F0F" w14:textId="1A93A584" w:rsidR="00201DD5" w:rsidRPr="00001A51" w:rsidRDefault="005D7B91"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201DD5" w:rsidRPr="00001A51">
        <w:rPr>
          <w:rFonts w:ascii="Arabic Transparent" w:hAnsi="Arabic Transparent" w:cs="Arabic Transparent"/>
          <w:sz w:val="28"/>
          <w:szCs w:val="28"/>
          <w:rtl/>
          <w:lang w:bidi="ar-JO"/>
        </w:rPr>
        <w:t xml:space="preserve">وقد قالوا بوجوب القيمة بالتفصيل الآتي: </w:t>
      </w:r>
    </w:p>
    <w:p w14:paraId="4F6C24BB" w14:textId="1AED447C" w:rsidR="009504E9" w:rsidRPr="00001A51" w:rsidRDefault="00201DD5" w:rsidP="009504E9">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1- </w:t>
      </w:r>
      <w:r w:rsidR="00503FC7" w:rsidRPr="00001A51">
        <w:rPr>
          <w:rFonts w:ascii="Arabic Transparent" w:hAnsi="Arabic Transparent" w:cs="Arabic Transparent" w:hint="cs"/>
          <w:sz w:val="28"/>
          <w:szCs w:val="28"/>
          <w:rtl/>
          <w:lang w:bidi="ar-JO"/>
        </w:rPr>
        <w:t>"</w:t>
      </w:r>
      <w:r w:rsidRPr="00001A51">
        <w:rPr>
          <w:rFonts w:ascii="Arabic Transparent" w:hAnsi="Arabic Transparent" w:cs="Arabic Transparent"/>
          <w:sz w:val="28"/>
          <w:szCs w:val="28"/>
          <w:rtl/>
          <w:lang w:bidi="ar-JO"/>
        </w:rPr>
        <w:t>وجوب رد قيمتها يوم السداد إذا تغيرت عن يوم ثبوتها بالذمة عموماً</w:t>
      </w:r>
      <w:r w:rsidR="00503FC7" w:rsidRPr="00001A51">
        <w:rPr>
          <w:rFonts w:ascii="Arabic Transparent" w:hAnsi="Arabic Transparent" w:cs="Arabic Transparent" w:hint="cs"/>
          <w:sz w:val="28"/>
          <w:szCs w:val="28"/>
          <w:rtl/>
          <w:lang w:bidi="ar-JO"/>
        </w:rPr>
        <w:t>"</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936"/>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xml:space="preserve">. </w:t>
      </w:r>
    </w:p>
    <w:p w14:paraId="11568712" w14:textId="380A15D0" w:rsidR="00201DD5" w:rsidRPr="00001A51" w:rsidRDefault="00201DD5" w:rsidP="009504E9">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2- </w:t>
      </w:r>
      <w:r w:rsidR="00503FC7" w:rsidRPr="00001A51">
        <w:rPr>
          <w:rFonts w:ascii="Arabic Transparent" w:hAnsi="Arabic Transparent" w:cs="Arabic Transparent" w:hint="cs"/>
          <w:sz w:val="28"/>
          <w:szCs w:val="28"/>
          <w:rtl/>
          <w:lang w:bidi="ar-JO"/>
        </w:rPr>
        <w:t>"</w:t>
      </w:r>
      <w:r w:rsidRPr="00001A51">
        <w:rPr>
          <w:rFonts w:ascii="Arabic Transparent" w:hAnsi="Arabic Transparent" w:cs="Arabic Transparent"/>
          <w:sz w:val="28"/>
          <w:szCs w:val="28"/>
          <w:rtl/>
          <w:lang w:bidi="ar-JO"/>
        </w:rPr>
        <w:t>وجوب رد قيمتها يوم السداد إذا كان التغير فاحشاً</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937"/>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xml:space="preserve"> في حالات انهيار العملة والتضخم الجامح</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xml:space="preserve"> فيصار إلى الصلح على سبيل توزيع الخسائر على طرفي العقد فلا يتحمل الدائن وحده ولا المدين وإنما توزع الخسائر ويصار للتحكيم الرضائي أو القضائي</w:t>
      </w:r>
      <w:r w:rsidR="00503FC7" w:rsidRPr="00001A51">
        <w:rPr>
          <w:rFonts w:ascii="Arabic Transparent" w:hAnsi="Arabic Transparent" w:cs="Arabic Transparent" w:hint="cs"/>
          <w:sz w:val="28"/>
          <w:szCs w:val="28"/>
          <w:rtl/>
          <w:lang w:bidi="ar-JO"/>
        </w:rPr>
        <w:t>"</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938"/>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w:t>
      </w:r>
    </w:p>
    <w:p w14:paraId="3F8887CB" w14:textId="1BEAF5A2" w:rsidR="00201DD5" w:rsidRPr="00001A51" w:rsidRDefault="00201DD5"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lastRenderedPageBreak/>
        <w:t xml:space="preserve">3- </w:t>
      </w:r>
      <w:r w:rsidR="00503FC7" w:rsidRPr="00001A51">
        <w:rPr>
          <w:rFonts w:ascii="Arabic Transparent" w:hAnsi="Arabic Transparent" w:cs="Arabic Transparent" w:hint="cs"/>
          <w:sz w:val="28"/>
          <w:szCs w:val="28"/>
          <w:rtl/>
          <w:lang w:bidi="ar-JO"/>
        </w:rPr>
        <w:t>"</w:t>
      </w:r>
      <w:r w:rsidRPr="00001A51">
        <w:rPr>
          <w:rFonts w:ascii="Arabic Transparent" w:hAnsi="Arabic Transparent" w:cs="Arabic Transparent"/>
          <w:sz w:val="28"/>
          <w:szCs w:val="28"/>
          <w:rtl/>
          <w:lang w:bidi="ar-JO"/>
        </w:rPr>
        <w:t>وجوب رد قيمتها يوم السداد، إذا ماطل المدين الموسر عن السداد مع قدرته عليه</w:t>
      </w:r>
      <w:r w:rsidR="00503FC7" w:rsidRPr="00001A51">
        <w:rPr>
          <w:rFonts w:ascii="Arabic Transparent" w:hAnsi="Arabic Transparent" w:cs="Arabic Transparent" w:hint="cs"/>
          <w:sz w:val="28"/>
          <w:szCs w:val="28"/>
          <w:rtl/>
          <w:lang w:bidi="ar-JO"/>
        </w:rPr>
        <w:t>"</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939"/>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w:t>
      </w:r>
    </w:p>
    <w:p w14:paraId="112511F5" w14:textId="77777777" w:rsidR="00327C97" w:rsidRPr="00001A51" w:rsidRDefault="00DA3039"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hint="cs"/>
          <w:sz w:val="28"/>
          <w:szCs w:val="28"/>
          <w:rtl/>
          <w:lang w:bidi="ar-JO"/>
        </w:rPr>
        <w:t>وحجة من</w:t>
      </w:r>
      <w:r w:rsidR="00201DD5" w:rsidRPr="00001A51">
        <w:rPr>
          <w:rFonts w:ascii="Arabic Transparent" w:hAnsi="Arabic Transparent" w:cs="Arabic Transparent"/>
          <w:sz w:val="28"/>
          <w:szCs w:val="28"/>
          <w:rtl/>
          <w:lang w:bidi="ar-JO"/>
        </w:rPr>
        <w:t xml:space="preserve"> يرى وجوب الرد بالقيمة رفع الضرر وعدم أكل أموال الناس بالباطل، حيث يقول الدكتور القره داغي "إنَّ النقود الورقية تختلف عن النقدين الذهب والفضة من حيث الطبيعة، فهي ليست </w:t>
      </w:r>
    </w:p>
    <w:p w14:paraId="53AFC447" w14:textId="77777777" w:rsidR="00327C97" w:rsidRPr="00001A51" w:rsidRDefault="00327C97">
      <w:pPr>
        <w:bidi w:val="0"/>
        <w:spacing w:after="0" w:line="240" w:lineRule="auto"/>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br w:type="page"/>
      </w:r>
    </w:p>
    <w:p w14:paraId="73CE50CF" w14:textId="562E924F" w:rsidR="00201DD5" w:rsidRPr="00001A51" w:rsidRDefault="00201DD5"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مقصودة لذاتها، وإنما تقصد للقيمة المخزنة للشراء بها، فإذا انهارت هذه القيمة بالتضخم الجامح غير المتوقع، فإن الإصرار على رد المثل يؤدي إلى أكل مال الدائن بالباطل"</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940"/>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xml:space="preserve"> فيجوز توزيع الخسارة بين الطرفين، أو التحكيم مع الربط القياسي بقيمة الذهب، أو سلة العملات، أو سلة السلع الأساسية، وغيرها ضمن جملة من الضوابط.</w:t>
      </w:r>
    </w:p>
    <w:p w14:paraId="4CFEFBC7" w14:textId="03DFE8AC" w:rsidR="00201DD5" w:rsidRPr="00001A51" w:rsidRDefault="00201DD5" w:rsidP="00201DD5">
      <w:pPr>
        <w:spacing w:after="0" w:line="360" w:lineRule="auto"/>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ثالثاً: تحليل الفتاوى السابقة وتنقيح المناط العام:</w:t>
      </w:r>
    </w:p>
    <w:p w14:paraId="1E196329" w14:textId="1FDDFB54" w:rsidR="00201DD5" w:rsidRPr="00001A51" w:rsidRDefault="005D7B91" w:rsidP="00503FC7">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b/>
          <w:bCs/>
          <w:sz w:val="28"/>
          <w:szCs w:val="28"/>
          <w:rtl/>
          <w:lang w:bidi="ar-JO"/>
        </w:rPr>
        <w:t xml:space="preserve">     </w:t>
      </w:r>
      <w:r w:rsidR="00201DD5" w:rsidRPr="00001A51">
        <w:rPr>
          <w:rFonts w:ascii="Arabic Transparent" w:hAnsi="Arabic Transparent" w:cs="Arabic Transparent"/>
          <w:sz w:val="28"/>
          <w:szCs w:val="28"/>
          <w:rtl/>
          <w:lang w:bidi="ar-JO"/>
        </w:rPr>
        <w:t>عند تحليل الفتاوى السابقة وتنقيح المناط بحثاً عن الحكم الأصلي لهذه المسألة، يتبين أن "الأصل يعود إلى أن سداد الالتزامات والديون الآجلة لا يكون إلا بالمثل، سيراً على عادة المشرّع وعملاً بقاعدة وجوب التماثل في سداد الديون"</w:t>
      </w:r>
      <w:r w:rsidR="00201DD5" w:rsidRPr="00001A51">
        <w:rPr>
          <w:rFonts w:ascii="Arabic Transparent" w:hAnsi="Arabic Transparent" w:cs="Arabic Transparent"/>
          <w:sz w:val="28"/>
          <w:szCs w:val="28"/>
          <w:vertAlign w:val="superscript"/>
          <w:rtl/>
          <w:lang w:bidi="ar-JO"/>
        </w:rPr>
        <w:t>(</w:t>
      </w:r>
      <w:r w:rsidR="00201DD5" w:rsidRPr="00001A51">
        <w:rPr>
          <w:rFonts w:ascii="Arabic Transparent" w:hAnsi="Arabic Transparent" w:cs="Arabic Transparent"/>
          <w:sz w:val="28"/>
          <w:szCs w:val="28"/>
          <w:vertAlign w:val="superscript"/>
          <w:rtl/>
          <w:lang w:bidi="ar-JO"/>
        </w:rPr>
        <w:footnoteReference w:id="941"/>
      </w:r>
      <w:r w:rsidR="00201DD5" w:rsidRPr="00001A51">
        <w:rPr>
          <w:rFonts w:ascii="Arabic Transparent" w:hAnsi="Arabic Transparent" w:cs="Arabic Transparent"/>
          <w:sz w:val="28"/>
          <w:szCs w:val="28"/>
          <w:vertAlign w:val="superscript"/>
          <w:rtl/>
          <w:lang w:bidi="ar-JO"/>
        </w:rPr>
        <w:t>)</w:t>
      </w:r>
      <w:r w:rsidR="00201DD5" w:rsidRPr="00001A51">
        <w:rPr>
          <w:rFonts w:ascii="Arabic Transparent" w:hAnsi="Arabic Transparent" w:cs="Arabic Transparent"/>
          <w:sz w:val="28"/>
          <w:szCs w:val="28"/>
          <w:rtl/>
          <w:lang w:bidi="ar-JO"/>
        </w:rPr>
        <w:t>، والذي تقتضي عدم جواز تقديم المثل مع وجود تفاوت بالوصف، أو القدر، أو الجنس، فعليه بالمثل ولا يسد عنه بديل من القيميات، وأما الصورة الحديثة التي تغيرت وهو حدوث التضخم، وانخفاض القيمة الشرائية للدين، فعند السداد بالمثل يكون فيه إضرار بالدائن، وعند السداد بالقيمة يكون فيه إضرار بالمدين، لذلك هل يحق لكل من له دين طويل الأمد، أو حق كالمهر أن يطالب بمثل الدين مضافاً إليه الفارق الذي حدث في القيمة السوقية لهذه الأموال؟ أيكون ذلك من الربا المحرم؟ تخريجاً على المناط العام الذي يقتضي تحريم كل زيادة على أصل الدين، أم أن هناك أوصافاً جديدة يجب أن تأخذ بعين الاعتبار عند تحقيق المناط الخاص ينتقل حكم المسألة معها إلى الإباحة.</w:t>
      </w:r>
    </w:p>
    <w:p w14:paraId="4EFDD0CB" w14:textId="77777777" w:rsidR="00201DD5" w:rsidRPr="00001A51" w:rsidRDefault="00201DD5" w:rsidP="00201DD5">
      <w:pPr>
        <w:spacing w:after="0" w:line="360" w:lineRule="auto"/>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 xml:space="preserve">الفرع الثالث: وجه التفاوت في تحقيق المناط الخاص: </w:t>
      </w:r>
    </w:p>
    <w:p w14:paraId="0AC67D56" w14:textId="7BC2F899" w:rsidR="00327C97" w:rsidRPr="00001A51" w:rsidRDefault="005D7B91" w:rsidP="00327C97">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b/>
          <w:bCs/>
          <w:sz w:val="28"/>
          <w:szCs w:val="28"/>
          <w:rtl/>
          <w:lang w:bidi="ar-JO"/>
        </w:rPr>
        <w:t xml:space="preserve">     </w:t>
      </w:r>
      <w:r w:rsidR="00201DD5" w:rsidRPr="00001A51">
        <w:rPr>
          <w:rFonts w:ascii="Arabic Transparent" w:hAnsi="Arabic Transparent" w:cs="Arabic Transparent"/>
          <w:sz w:val="28"/>
          <w:szCs w:val="28"/>
          <w:rtl/>
          <w:lang w:bidi="ar-JO"/>
        </w:rPr>
        <w:t>لا يظهر التفاوت جلياً عند تنزيل أصل المسألة على تحريم التفاوت في بدل القروض وسائر الديون، ولكن يظهر جلياً عند تنزيله على الوقائع الجزئية الخاصة، وعلى اجتهاد المجتهد ومنهجه من الجانب الآخر، حيث تختلف الأنظار في أسباب تفاوت قيمة النقد، وتحديد المراد بالتضخم ومقدار التضخم المؤثر، "هل هو بناءً على العرف، أم نسبة محددة؟ وتقدير درجة الضرر، وتخريج المسألة على الغرر والجهالة في العقود، أم التخريج على نظرية الظروف الطارئة، وهل الربط يصح قبل العقد، أم يصح على سبيل المعالجة عند وقوع انهيار مفاجئ بالعملة"</w:t>
      </w:r>
      <w:r w:rsidR="00201DD5" w:rsidRPr="00001A51">
        <w:rPr>
          <w:rFonts w:ascii="Arabic Transparent" w:hAnsi="Arabic Transparent" w:cs="Arabic Transparent"/>
          <w:sz w:val="28"/>
          <w:szCs w:val="28"/>
          <w:vertAlign w:val="superscript"/>
          <w:rtl/>
          <w:lang w:bidi="ar-JO"/>
        </w:rPr>
        <w:t>(</w:t>
      </w:r>
      <w:r w:rsidR="00201DD5" w:rsidRPr="00001A51">
        <w:rPr>
          <w:rFonts w:ascii="Arabic Transparent" w:hAnsi="Arabic Transparent" w:cs="Arabic Transparent"/>
          <w:sz w:val="28"/>
          <w:szCs w:val="28"/>
          <w:vertAlign w:val="superscript"/>
          <w:rtl/>
          <w:lang w:bidi="ar-JO"/>
        </w:rPr>
        <w:footnoteReference w:id="942"/>
      </w:r>
      <w:r w:rsidR="00201DD5" w:rsidRPr="00001A51">
        <w:rPr>
          <w:rFonts w:ascii="Arabic Transparent" w:hAnsi="Arabic Transparent" w:cs="Arabic Transparent"/>
          <w:sz w:val="28"/>
          <w:szCs w:val="28"/>
          <w:vertAlign w:val="superscript"/>
          <w:rtl/>
          <w:lang w:bidi="ar-JO"/>
        </w:rPr>
        <w:t>)</w:t>
      </w:r>
      <w:r w:rsidR="00201DD5" w:rsidRPr="00001A51">
        <w:rPr>
          <w:rFonts w:ascii="Arabic Transparent" w:hAnsi="Arabic Transparent" w:cs="Arabic Transparent"/>
          <w:sz w:val="28"/>
          <w:szCs w:val="28"/>
          <w:rtl/>
          <w:lang w:bidi="ar-JO"/>
        </w:rPr>
        <w:t>.</w:t>
      </w:r>
      <w:r w:rsidR="00327C97" w:rsidRPr="00001A51">
        <w:rPr>
          <w:rFonts w:ascii="Arabic Transparent" w:hAnsi="Arabic Transparent" w:cs="Arabic Transparent"/>
          <w:sz w:val="28"/>
          <w:szCs w:val="28"/>
          <w:rtl/>
          <w:lang w:bidi="ar-JO"/>
        </w:rPr>
        <w:br w:type="page"/>
      </w:r>
    </w:p>
    <w:p w14:paraId="7F505D62" w14:textId="38122F42" w:rsidR="00201DD5" w:rsidRPr="00001A51" w:rsidRDefault="00201DD5" w:rsidP="00201DD5">
      <w:pPr>
        <w:spacing w:after="0" w:line="360" w:lineRule="auto"/>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أولاً: تفاوت في الحكم يعود للواقعة</w:t>
      </w:r>
      <w:r w:rsidR="00151AED" w:rsidRPr="00001A51">
        <w:rPr>
          <w:rFonts w:ascii="Arabic Transparent" w:hAnsi="Arabic Transparent" w:cs="Arabic Transparent"/>
          <w:b/>
          <w:bCs/>
          <w:sz w:val="28"/>
          <w:szCs w:val="28"/>
          <w:rtl/>
          <w:lang w:bidi="ar-JO"/>
        </w:rPr>
        <w:t xml:space="preserve">: </w:t>
      </w:r>
    </w:p>
    <w:p w14:paraId="491B744F" w14:textId="1D6800DD" w:rsidR="00201DD5" w:rsidRPr="00001A51" w:rsidRDefault="005D7B91" w:rsidP="00201DD5">
      <w:pPr>
        <w:spacing w:after="0" w:line="360" w:lineRule="auto"/>
        <w:rPr>
          <w:rFonts w:ascii="Arabic Transparent" w:hAnsi="Arabic Transparent" w:cs="Arabic Transparent"/>
          <w:sz w:val="28"/>
          <w:szCs w:val="28"/>
          <w:rtl/>
          <w:lang w:bidi="ar-JO"/>
        </w:rPr>
      </w:pPr>
      <w:r w:rsidRPr="00001A51">
        <w:rPr>
          <w:rFonts w:ascii="Arabic Transparent" w:hAnsi="Arabic Transparent" w:cs="Arabic Transparent"/>
          <w:b/>
          <w:bCs/>
          <w:sz w:val="28"/>
          <w:szCs w:val="28"/>
          <w:rtl/>
          <w:lang w:bidi="ar-JO"/>
        </w:rPr>
        <w:t xml:space="preserve">    </w:t>
      </w:r>
      <w:r w:rsidR="00201DD5" w:rsidRPr="00001A51">
        <w:rPr>
          <w:rFonts w:ascii="Arabic Transparent" w:hAnsi="Arabic Transparent" w:cs="Arabic Transparent"/>
          <w:b/>
          <w:bCs/>
          <w:sz w:val="28"/>
          <w:szCs w:val="28"/>
          <w:rtl/>
          <w:lang w:bidi="ar-JO"/>
        </w:rPr>
        <w:t xml:space="preserve"> </w:t>
      </w:r>
      <w:r w:rsidR="00201DD5" w:rsidRPr="00001A51">
        <w:rPr>
          <w:rFonts w:ascii="Arabic Transparent" w:hAnsi="Arabic Transparent" w:cs="Arabic Transparent"/>
          <w:sz w:val="28"/>
          <w:szCs w:val="28"/>
          <w:rtl/>
          <w:lang w:bidi="ar-JO"/>
        </w:rPr>
        <w:t>من التفاوت الذي يؤثر في الحكم ما يعود للواقعة، وهو كما يأتي:</w:t>
      </w:r>
    </w:p>
    <w:p w14:paraId="3D49D058" w14:textId="77777777" w:rsidR="00201DD5" w:rsidRPr="00001A51" w:rsidRDefault="00201DD5"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1- السبب الذي جعل العديد من الفتاوى القديمة تتغير بالحكم من حرمة أداء القيمة مطلقاً، إلى إباحة القيمة، أو الصلح والتراضي، هو التفاوت الشديد في الوقائع التي تختلف فيها القيمة عند ابتداء العقد عن يوم السداد في حالات التضخم الجامح، أو انهيار العملة</w:t>
      </w:r>
      <w:r w:rsidRPr="00001A51">
        <w:rPr>
          <w:rFonts w:ascii="Aptos" w:hAnsi="Aptos"/>
          <w:rtl/>
        </w:rPr>
        <w:t xml:space="preserve"> </w:t>
      </w:r>
      <w:r w:rsidRPr="00001A51">
        <w:rPr>
          <w:rFonts w:ascii="Arabic Transparent" w:hAnsi="Arabic Transparent" w:cs="Arabic Transparent"/>
          <w:sz w:val="28"/>
          <w:szCs w:val="28"/>
          <w:rtl/>
          <w:lang w:bidi="ar-JO"/>
        </w:rPr>
        <w:t>التي هي حالات استثنائية</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943"/>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w:t>
      </w:r>
    </w:p>
    <w:p w14:paraId="53CA8B0C" w14:textId="2639157E" w:rsidR="00201DD5" w:rsidRPr="00001A51" w:rsidRDefault="00201DD5" w:rsidP="009504E9">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2- تحدثت المجامع الفقهية عن الصور الجديدة التي تحتاج إلى حكم استثنائي يخرج عن القواعد العامة للنقود؛ لرفع الظرف الطارئ، الذي يؤدي إلى ضرر شديد للغاية بأحد أطراف العقد</w:t>
      </w:r>
      <w:r w:rsidR="00AE633A" w:rsidRPr="00001A51">
        <w:rPr>
          <w:rFonts w:ascii="Arabic Transparent" w:hAnsi="Arabic Transparent" w:cs="Arabic Transparent" w:hint="cs"/>
          <w:sz w:val="28"/>
          <w:szCs w:val="28"/>
          <w:rtl/>
          <w:lang w:bidi="ar-JO"/>
        </w:rPr>
        <w:t>،</w:t>
      </w:r>
      <w:r w:rsidRPr="00001A51">
        <w:rPr>
          <w:rFonts w:ascii="Arabic Transparent" w:hAnsi="Arabic Transparent" w:cs="Arabic Transparent"/>
          <w:sz w:val="28"/>
          <w:szCs w:val="28"/>
          <w:rtl/>
          <w:lang w:bidi="ar-JO"/>
        </w:rPr>
        <w:t xml:space="preserve"> وقد عدد الدكتور محمد القري "أكثر من أربع عشرة صورة للتضخم وللربط القياسي بالأجور والتي تتوارد للمفتين بشكل مستمر"</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944"/>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والتي تحتاج إلى حلول واجتهادات دائمة ذات نظر خاص.</w:t>
      </w:r>
    </w:p>
    <w:p w14:paraId="50BCDF43" w14:textId="77777777" w:rsidR="009504E9" w:rsidRPr="00001A51" w:rsidRDefault="00201DD5" w:rsidP="009504E9">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3- وقع التفاوت في الفتاوى على نوع الالتزام، فإذا كان من الديون فهي ثابتة في الذمة لا تتغير، أما الرواتب والإيجارات طويلة الأمد، فقد أجازها البعض للاختلاف في طبيعة الالتزام</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945"/>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w:t>
      </w:r>
    </w:p>
    <w:p w14:paraId="312F3CB3" w14:textId="7D55697D" w:rsidR="00201DD5" w:rsidRPr="00001A51" w:rsidRDefault="00201DD5" w:rsidP="009504E9">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4- فرقت الفتاوى السابقة بين نوع الربط الابتدائي والعلاجي، فسمحت بالربط العلاجي في حال وقوع الظروف الطارئة ومنعت الربط الابتدائي الذي يكون بالنسبة بمعايير متعددة منعتها جميعاً</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946"/>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xml:space="preserve">. </w:t>
      </w:r>
    </w:p>
    <w:p w14:paraId="7C386E00" w14:textId="578AA72E" w:rsidR="00201DD5" w:rsidRPr="00001A51" w:rsidRDefault="00201DD5" w:rsidP="00201DD5">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ثانياً: تفاوت في الحكم يعود للاجتهاد ومناهجه</w:t>
      </w:r>
      <w:r w:rsidR="00151AED" w:rsidRPr="00001A51">
        <w:rPr>
          <w:rFonts w:ascii="Arabic Transparent" w:hAnsi="Arabic Transparent" w:cs="Arabic Transparent"/>
          <w:b/>
          <w:bCs/>
          <w:sz w:val="28"/>
          <w:szCs w:val="28"/>
          <w:rtl/>
          <w:lang w:bidi="ar-JO"/>
        </w:rPr>
        <w:t xml:space="preserve">: </w:t>
      </w:r>
    </w:p>
    <w:p w14:paraId="1BE0E113" w14:textId="23703FF8" w:rsidR="00201DD5" w:rsidRPr="00001A51" w:rsidRDefault="006D14B6"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hint="cs"/>
          <w:b/>
          <w:bCs/>
          <w:sz w:val="28"/>
          <w:szCs w:val="28"/>
          <w:rtl/>
          <w:lang w:bidi="ar-JO"/>
        </w:rPr>
        <w:t xml:space="preserve">     </w:t>
      </w:r>
      <w:r w:rsidR="00201DD5" w:rsidRPr="00001A51">
        <w:rPr>
          <w:rFonts w:ascii="Arabic Transparent" w:hAnsi="Arabic Transparent" w:cs="Arabic Transparent"/>
          <w:sz w:val="28"/>
          <w:szCs w:val="28"/>
          <w:rtl/>
          <w:lang w:bidi="ar-JO"/>
        </w:rPr>
        <w:t>من التفاوت الذي يؤثر في الحكم ما يعود إلى الاجتهاد ومناهجه، وهو كما يأتي:</w:t>
      </w:r>
    </w:p>
    <w:p w14:paraId="1D275F1C" w14:textId="441D16CE" w:rsidR="00327C97" w:rsidRPr="00001A51" w:rsidRDefault="00201DD5"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1- أرجى بعض المجتهدين المعاصرين من أصحاب القول الثاني السابق، النظر في مثل هذه </w:t>
      </w:r>
      <w:r w:rsidR="0067036C" w:rsidRPr="00001A51">
        <w:rPr>
          <w:rFonts w:ascii="Arabic Transparent" w:hAnsi="Arabic Transparent" w:cs="Arabic Transparent" w:hint="cs"/>
          <w:sz w:val="28"/>
          <w:szCs w:val="28"/>
          <w:rtl/>
          <w:lang w:bidi="ar-JO"/>
        </w:rPr>
        <w:t>الوقائع</w:t>
      </w:r>
      <w:r w:rsidRPr="00001A51">
        <w:rPr>
          <w:rFonts w:ascii="Arabic Transparent" w:hAnsi="Arabic Transparent" w:cs="Arabic Transparent"/>
          <w:sz w:val="28"/>
          <w:szCs w:val="28"/>
          <w:rtl/>
          <w:lang w:bidi="ar-JO"/>
        </w:rPr>
        <w:t xml:space="preserve"> إلى القضاء، الذي يمكن أن يستعين بالخبرة الفنية والاقتصادية عند إجراء الربط، والذي </w:t>
      </w:r>
      <w:r w:rsidRPr="00001A51">
        <w:rPr>
          <w:rFonts w:ascii="Arabic Transparent" w:hAnsi="Arabic Transparent" w:cs="Arabic Transparent"/>
          <w:sz w:val="28"/>
          <w:szCs w:val="28"/>
          <w:rtl/>
          <w:lang w:bidi="ar-JO"/>
        </w:rPr>
        <w:lastRenderedPageBreak/>
        <w:t>يمكن أن يستعين بالمحكمين في جميع المجالات، والذي يملك أن يقدّر الضرر بشكل أدق من التقدير الاجتهادي المنفرد</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947"/>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w:t>
      </w:r>
    </w:p>
    <w:p w14:paraId="2B00B0D5" w14:textId="77777777" w:rsidR="00327C97" w:rsidRPr="00001A51" w:rsidRDefault="00327C97">
      <w:pPr>
        <w:bidi w:val="0"/>
        <w:spacing w:after="0" w:line="240" w:lineRule="auto"/>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br w:type="page"/>
      </w:r>
    </w:p>
    <w:p w14:paraId="4C23A849" w14:textId="5B6317F4" w:rsidR="00AE633A" w:rsidRPr="00001A51" w:rsidRDefault="00201DD5" w:rsidP="009504E9">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2- إنَّ فهم المجتهد لحقيقة المال، وقيام النقود الورقية مقام النقود الذهبية من كل وجه، أم من وجه دون وجه، يساهم في الإجابة عن </w:t>
      </w:r>
      <w:r w:rsidR="0067036C" w:rsidRPr="00001A51">
        <w:rPr>
          <w:rFonts w:ascii="Arabic Transparent" w:hAnsi="Arabic Transparent" w:cs="Arabic Transparent" w:hint="cs"/>
          <w:sz w:val="28"/>
          <w:szCs w:val="28"/>
          <w:rtl/>
          <w:lang w:bidi="ar-JO"/>
        </w:rPr>
        <w:t>الوقائع</w:t>
      </w:r>
      <w:r w:rsidRPr="00001A51">
        <w:rPr>
          <w:rFonts w:ascii="Arabic Transparent" w:hAnsi="Arabic Transparent" w:cs="Arabic Transparent"/>
          <w:sz w:val="28"/>
          <w:szCs w:val="28"/>
          <w:rtl/>
          <w:lang w:bidi="ar-JO"/>
        </w:rPr>
        <w:t xml:space="preserve"> الجديدة، والتي تتعلق بتغير قيمة العملة، والتي ينبغي ألا يستقر الاجتهاد فيها على رأي واحد عند الحالات الاقتصادية الطارئة</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948"/>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w:t>
      </w:r>
    </w:p>
    <w:p w14:paraId="4AFCBB53" w14:textId="77777777" w:rsidR="00201DD5" w:rsidRPr="00001A51" w:rsidRDefault="00201DD5"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3- إنَّ اختلاف المجتهدين في التكييف الفقهي لحقيقة الوفاء في الديون، جعلت من المجتهدين من يرى أن سداد القيمة ربا وزيادة محرمة، وفريق آخر يرى أن رد القيمة جبر للضرر الخارج عن إرادة العاقدين، لا إنشاء لربح جديد كما يفعل المرابي في الزيادة على القروض بقصد زيادة الربح.</w:t>
      </w:r>
    </w:p>
    <w:p w14:paraId="32C136E6" w14:textId="77777777" w:rsidR="00201DD5" w:rsidRPr="00001A51" w:rsidRDefault="00201DD5"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4- برزت مناهج المجتهدين الذي يفضلون التحوط في الاجتهاد والتمسك بالأصول كقاعدة قضاء الديون</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949"/>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في حين أن الفريق الآخر يرى أن القاعدة تعارض قاعدة "الضرر يزال"</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950"/>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xml:space="preserve"> فيثبت لها حكماً استثنائياً يحقق العدل بين أطرف العقد.</w:t>
      </w:r>
    </w:p>
    <w:p w14:paraId="3963EAAD" w14:textId="77777777" w:rsidR="00201DD5" w:rsidRPr="00001A51" w:rsidRDefault="00201DD5" w:rsidP="00201DD5">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الفرع الرابع: مراعاة أصول ضبط التفاوت:</w:t>
      </w:r>
    </w:p>
    <w:p w14:paraId="492EAF83" w14:textId="6E8294DF" w:rsidR="00201DD5" w:rsidRPr="00201DD5" w:rsidRDefault="005D7B91" w:rsidP="00201DD5">
      <w:pPr>
        <w:widowControl w:val="0"/>
        <w:autoSpaceDE w:val="0"/>
        <w:autoSpaceDN w:val="0"/>
        <w:adjustRightInd w:val="0"/>
        <w:spacing w:after="0" w:line="360" w:lineRule="auto"/>
        <w:contextualSpacing/>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201DD5" w:rsidRPr="00201DD5">
        <w:rPr>
          <w:rFonts w:ascii="Arabic Transparent" w:hAnsi="Arabic Transparent" w:cs="Arabic Transparent"/>
          <w:sz w:val="28"/>
          <w:szCs w:val="28"/>
          <w:rtl/>
          <w:lang w:bidi="ar-JO"/>
        </w:rPr>
        <w:t xml:space="preserve">عند مراعاة أصول ضبط التفاوت والتي تساهم في ضبط التفاوت في الحكم الذي ينسب للواقعة أو للاجتهاد، نخلص إلى ما يأتي: </w:t>
      </w:r>
    </w:p>
    <w:p w14:paraId="1F100511" w14:textId="1D46C672" w:rsidR="00201DD5" w:rsidRPr="00001A51" w:rsidRDefault="00201DD5" w:rsidP="00201DD5">
      <w:pPr>
        <w:widowControl w:val="0"/>
        <w:autoSpaceDE w:val="0"/>
        <w:autoSpaceDN w:val="0"/>
        <w:adjustRightInd w:val="0"/>
        <w:spacing w:after="0" w:line="360" w:lineRule="auto"/>
        <w:contextualSpacing/>
        <w:jc w:val="both"/>
        <w:rPr>
          <w:rFonts w:ascii="Arabic Transparent" w:hAnsi="Arabic Transparent" w:cs="Arabic Transparent"/>
          <w:sz w:val="28"/>
          <w:szCs w:val="28"/>
          <w:rtl/>
          <w:lang w:bidi="ar-JO"/>
        </w:rPr>
      </w:pPr>
      <w:r w:rsidRPr="00201DD5">
        <w:rPr>
          <w:rFonts w:ascii="Arabic Transparent" w:hAnsi="Arabic Transparent" w:cs="Arabic Transparent"/>
          <w:sz w:val="28"/>
          <w:szCs w:val="28"/>
          <w:rtl/>
          <w:lang w:bidi="ar-JO"/>
        </w:rPr>
        <w:t xml:space="preserve">1- </w:t>
      </w:r>
      <w:r w:rsidRPr="00001A51">
        <w:rPr>
          <w:rFonts w:ascii="Arabic Transparent" w:hAnsi="Arabic Transparent" w:cs="Arabic Transparent"/>
          <w:sz w:val="28"/>
          <w:szCs w:val="28"/>
          <w:rtl/>
          <w:lang w:bidi="ar-JO"/>
        </w:rPr>
        <w:t>إنَّ ما ذهب إليه الفقهاء المعاصرون يقبل التطبيق عند تحقيق المناط الخاص، فلا يمكن الجزم بالمثل دائماً، أو بالقيمة دائماً، أو الصلح والتراضي دائماً، فلا يمكن أن يستقر اجتهاد واحد على جميع الفروع الفقهية حيث يقول القره داغي:</w:t>
      </w:r>
      <w:r w:rsidR="00151AED" w:rsidRPr="00001A51">
        <w:rPr>
          <w:rFonts w:ascii="Arabic Transparent" w:hAnsi="Arabic Transparent" w:cs="Arabic Transparent"/>
          <w:sz w:val="28"/>
          <w:szCs w:val="28"/>
          <w:rtl/>
          <w:lang w:bidi="ar-JO"/>
        </w:rPr>
        <w:t xml:space="preserve"> "</w:t>
      </w:r>
      <w:r w:rsidRPr="00001A51">
        <w:rPr>
          <w:rFonts w:ascii="Arabic Transparent" w:hAnsi="Arabic Transparent" w:cs="Arabic Transparent"/>
          <w:sz w:val="28"/>
          <w:szCs w:val="28"/>
          <w:rtl/>
          <w:lang w:bidi="ar-JO"/>
        </w:rPr>
        <w:t>لو وصل الطرفان لحل مناسب، وبخاصة لو كان تأخير الحقوق ليس مبنيا على مماطلة من المدين، فلو بني على مماطلة، فعندئذ لا يكافأ على مماطلته، ولكن إن تم الاختلاف ولم يتفق الطرفان على حل وسط يعوض كل متضرر منهما بما يناسبه"</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951"/>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w:t>
      </w:r>
    </w:p>
    <w:p w14:paraId="3D4712D0" w14:textId="673E8529" w:rsidR="00327C97" w:rsidRPr="00001A51" w:rsidRDefault="00201DD5" w:rsidP="009504E9">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2- إنَّ مبدأ وفاء الديون بالمثل، هو القاعدة العامة والأصل الذي لا يخرج عنه إلا عند دراسة بعض الحالات الاستثنائية، وتحقيق المناط الخاص فيها، فلا يمكن وضع ضابط محدد ليجمع الحالات الجديدة، والمتفرقة تحت باب واحد، وإن الخروج عن الأصل لا يكون في الديون فقط، بل </w:t>
      </w:r>
      <w:r w:rsidRPr="00001A51">
        <w:rPr>
          <w:rFonts w:ascii="Arabic Transparent" w:hAnsi="Arabic Transparent" w:cs="Arabic Transparent"/>
          <w:sz w:val="28"/>
          <w:szCs w:val="28"/>
          <w:rtl/>
          <w:lang w:bidi="ar-JO"/>
        </w:rPr>
        <w:lastRenderedPageBreak/>
        <w:t>أوسع من ذلك ليظهر في المهور، والبيوع الآجلة، والإيجارات المؤجلة، والأجور، وعقود العمل، والمقاولات، والرواتب، وفي العديد من العقود التي تظهر فيها المشكلة فور حصول التضخم.</w:t>
      </w:r>
    </w:p>
    <w:p w14:paraId="64876E27" w14:textId="77777777" w:rsidR="00327C97" w:rsidRPr="00001A51" w:rsidRDefault="00327C97">
      <w:pPr>
        <w:bidi w:val="0"/>
        <w:spacing w:after="0" w:line="240" w:lineRule="auto"/>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br w:type="page"/>
      </w:r>
    </w:p>
    <w:p w14:paraId="0A752F62" w14:textId="4D547CDD" w:rsidR="00201DD5" w:rsidRPr="00001A51" w:rsidRDefault="00201DD5" w:rsidP="009504E9">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3- معيار التفاوت والانتقال من المناط العام إلى المناط الخاص واختلاف الحكم هو التضخم الكثير الفاحش، أو انهيار العملة، ففي الفصل الثاني من هذه الدراسة عرفنا أن المعتبر في التفاوت الغالب الفاحش ولا عبرة لليسير النادر</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952"/>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والتفاوت اليسير عفو ليس له تأثير في الشريعة الإسلامية</w:t>
      </w:r>
      <w:r w:rsidR="00AE633A" w:rsidRPr="00001A51">
        <w:rPr>
          <w:rFonts w:ascii="Arabic Transparent" w:hAnsi="Arabic Transparent" w:cs="Arabic Transparent" w:hint="cs"/>
          <w:sz w:val="28"/>
          <w:szCs w:val="28"/>
          <w:rtl/>
          <w:lang w:bidi="ar-JO"/>
        </w:rPr>
        <w:t>،</w:t>
      </w:r>
      <w:r w:rsidRPr="00001A51">
        <w:rPr>
          <w:rFonts w:ascii="Arabic Transparent" w:hAnsi="Arabic Transparent" w:cs="Arabic Transparent"/>
          <w:sz w:val="28"/>
          <w:szCs w:val="28"/>
          <w:rtl/>
          <w:lang w:bidi="ar-JO"/>
        </w:rPr>
        <w:t xml:space="preserve"> حيث يقول ابن العربي</w:t>
      </w:r>
      <w:r w:rsidR="005D7B91" w:rsidRPr="00001A51">
        <w:rPr>
          <w:rFonts w:ascii="Arabic Transparent" w:hAnsi="Arabic Transparent" w:cs="Arabic Transparent"/>
          <w:sz w:val="28"/>
          <w:szCs w:val="28"/>
          <w:rtl/>
          <w:lang w:bidi="ar-JO"/>
        </w:rPr>
        <w:t xml:space="preserve">: </w:t>
      </w:r>
      <w:r w:rsidRPr="00001A51">
        <w:rPr>
          <w:rFonts w:ascii="Arabic Transparent" w:hAnsi="Arabic Transparent" w:cs="Arabic Transparent"/>
          <w:sz w:val="28"/>
          <w:szCs w:val="28"/>
          <w:rtl/>
          <w:lang w:bidi="ar-JO"/>
        </w:rPr>
        <w:t>"الفرق بين القليل والكثير أصل في الشريعة معلوم"</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953"/>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فالتضخم الفاحش والانهيار الاقتصادي يحدد بالعرف ويقدّر اليوم بدقة، فهو ضرر يزال كما يزال الغبن الفاحش الذي يلحق بعض المعاملات، فينسخ العقد أو يرفع الغبن.</w:t>
      </w:r>
    </w:p>
    <w:p w14:paraId="4CA76DAF" w14:textId="4FC2AB15" w:rsidR="00201DD5" w:rsidRPr="00001A51" w:rsidRDefault="009504E9"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hint="cs"/>
          <w:sz w:val="28"/>
          <w:szCs w:val="28"/>
          <w:rtl/>
          <w:lang w:bidi="ar-JO"/>
        </w:rPr>
        <w:t>4</w:t>
      </w:r>
      <w:r w:rsidR="00201DD5" w:rsidRPr="00001A51">
        <w:rPr>
          <w:rFonts w:ascii="Arabic Transparent" w:hAnsi="Arabic Transparent" w:cs="Arabic Transparent"/>
          <w:sz w:val="28"/>
          <w:szCs w:val="28"/>
          <w:rtl/>
          <w:lang w:bidi="ar-JO"/>
        </w:rPr>
        <w:t xml:space="preserve">- إنَّ التضخم الفاحش، أو انهيار العملة من الظروف الطارئة، والجوائح التي تنشأ بمعزل عن إرادة المتعاقدين، والتي تخرج عن تسبب الإنسان وعمده، فإنَّ الشريعة راعت رفع الحرج والضرر عن المتعاقدين، وقد قرر مجمع الفقه الإسلامي </w:t>
      </w:r>
      <w:r w:rsidR="007E5C97" w:rsidRPr="00001A51">
        <w:rPr>
          <w:rFonts w:ascii="Arabic Transparent" w:hAnsi="Arabic Transparent" w:cs="Arabic Transparent" w:hint="cs"/>
          <w:sz w:val="28"/>
          <w:szCs w:val="28"/>
          <w:rtl/>
          <w:lang w:bidi="ar-JO"/>
        </w:rPr>
        <w:t>"</w:t>
      </w:r>
      <w:r w:rsidR="00201DD5" w:rsidRPr="00001A51">
        <w:rPr>
          <w:rFonts w:ascii="Arabic Transparent" w:hAnsi="Arabic Transparent" w:cs="Arabic Transparent"/>
          <w:sz w:val="28"/>
          <w:szCs w:val="28"/>
          <w:rtl/>
          <w:lang w:bidi="ar-JO"/>
        </w:rPr>
        <w:t>إنه يحق للقاضي أن يوزع الخسارة على طرفي العقد، أو يفسخ العقد، أو تعديله بما يحقق مصلحة كلا الطرفين</w:t>
      </w:r>
      <w:r w:rsidR="007E5C97" w:rsidRPr="00001A51">
        <w:rPr>
          <w:rFonts w:ascii="Arabic Transparent" w:hAnsi="Arabic Transparent" w:cs="Arabic Transparent" w:hint="cs"/>
          <w:sz w:val="28"/>
          <w:szCs w:val="28"/>
          <w:rtl/>
          <w:lang w:bidi="ar-JO"/>
        </w:rPr>
        <w:t>"</w:t>
      </w:r>
      <w:r w:rsidR="00201DD5" w:rsidRPr="00001A51">
        <w:rPr>
          <w:rFonts w:ascii="Arabic Transparent" w:hAnsi="Arabic Transparent" w:cs="Arabic Transparent"/>
          <w:sz w:val="28"/>
          <w:szCs w:val="28"/>
          <w:vertAlign w:val="superscript"/>
          <w:rtl/>
          <w:lang w:bidi="ar-JO"/>
        </w:rPr>
        <w:t>(</w:t>
      </w:r>
      <w:r w:rsidR="00201DD5" w:rsidRPr="00001A51">
        <w:rPr>
          <w:rFonts w:ascii="Arabic Transparent" w:hAnsi="Arabic Transparent" w:cs="Arabic Transparent"/>
          <w:sz w:val="28"/>
          <w:szCs w:val="28"/>
          <w:vertAlign w:val="superscript"/>
          <w:rtl/>
          <w:lang w:bidi="ar-JO"/>
        </w:rPr>
        <w:footnoteReference w:id="954"/>
      </w:r>
      <w:r w:rsidR="00201DD5" w:rsidRPr="00001A51">
        <w:rPr>
          <w:rFonts w:ascii="Arabic Transparent" w:hAnsi="Arabic Transparent" w:cs="Arabic Transparent"/>
          <w:sz w:val="28"/>
          <w:szCs w:val="28"/>
          <w:vertAlign w:val="superscript"/>
          <w:rtl/>
          <w:lang w:bidi="ar-JO"/>
        </w:rPr>
        <w:t>)</w:t>
      </w:r>
      <w:r w:rsidR="00201DD5" w:rsidRPr="00001A51">
        <w:rPr>
          <w:rFonts w:ascii="Arabic Transparent" w:hAnsi="Arabic Transparent" w:cs="Arabic Transparent"/>
          <w:sz w:val="28"/>
          <w:szCs w:val="28"/>
          <w:rtl/>
          <w:lang w:bidi="ar-JO"/>
        </w:rPr>
        <w:t>.</w:t>
      </w:r>
    </w:p>
    <w:p w14:paraId="4E27BD6C" w14:textId="611C7126" w:rsidR="00201DD5" w:rsidRPr="00001A51" w:rsidRDefault="009504E9"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hint="cs"/>
          <w:sz w:val="28"/>
          <w:szCs w:val="28"/>
          <w:rtl/>
          <w:lang w:bidi="ar-JO"/>
        </w:rPr>
        <w:t>5</w:t>
      </w:r>
      <w:r w:rsidR="00201DD5" w:rsidRPr="00001A51">
        <w:rPr>
          <w:rFonts w:ascii="Arabic Transparent" w:hAnsi="Arabic Transparent" w:cs="Arabic Transparent"/>
          <w:sz w:val="28"/>
          <w:szCs w:val="28"/>
          <w:rtl/>
          <w:lang w:bidi="ar-JO"/>
        </w:rPr>
        <w:t>- إنَّ الربط القياس للأجور والرواتب لا يصح ابتداءً في القروض والديون إلا عند معالجة انهيار العملة، فيمكن الربط بالقيمة سواء بالذهب والفضة، أو حسب السلع الأساسية، أو بمؤشر تكاليف المعيشة، أو بسلة العملات، حيث يمكن للمحكِّم، أو لقاضي الموضوع أن يربط القيمة بواحدة منها، أو يأخذ المتوسط الحسابي بينها يوم إنشاء العقد</w:t>
      </w:r>
      <w:r w:rsidR="00201DD5" w:rsidRPr="00001A51">
        <w:rPr>
          <w:rFonts w:ascii="Arabic Transparent" w:hAnsi="Arabic Transparent" w:cs="Arabic Transparent"/>
          <w:sz w:val="28"/>
          <w:szCs w:val="28"/>
          <w:vertAlign w:val="superscript"/>
          <w:rtl/>
          <w:lang w:bidi="ar-JO"/>
        </w:rPr>
        <w:t>(</w:t>
      </w:r>
      <w:r w:rsidR="00201DD5" w:rsidRPr="00001A51">
        <w:rPr>
          <w:rFonts w:ascii="Arabic Transparent" w:hAnsi="Arabic Transparent" w:cs="Arabic Transparent"/>
          <w:sz w:val="28"/>
          <w:szCs w:val="28"/>
          <w:vertAlign w:val="superscript"/>
          <w:rtl/>
          <w:lang w:bidi="ar-JO"/>
        </w:rPr>
        <w:footnoteReference w:id="955"/>
      </w:r>
      <w:r w:rsidR="00201DD5" w:rsidRPr="00001A51">
        <w:rPr>
          <w:rFonts w:ascii="Arabic Transparent" w:hAnsi="Arabic Transparent" w:cs="Arabic Transparent"/>
          <w:sz w:val="28"/>
          <w:szCs w:val="28"/>
          <w:vertAlign w:val="superscript"/>
          <w:rtl/>
          <w:lang w:bidi="ar-JO"/>
        </w:rPr>
        <w:t>)</w:t>
      </w:r>
      <w:r w:rsidR="00201DD5" w:rsidRPr="00001A51">
        <w:rPr>
          <w:rFonts w:ascii="Arabic Transparent" w:hAnsi="Arabic Transparent" w:cs="Arabic Transparent"/>
          <w:sz w:val="28"/>
          <w:szCs w:val="28"/>
          <w:rtl/>
          <w:lang w:bidi="ar-JO"/>
        </w:rPr>
        <w:t xml:space="preserve">. </w:t>
      </w:r>
    </w:p>
    <w:p w14:paraId="659AB2D2" w14:textId="77777777" w:rsidR="00201DD5" w:rsidRPr="00001A51" w:rsidRDefault="00201DD5" w:rsidP="00201DD5">
      <w:pPr>
        <w:rPr>
          <w:rFonts w:ascii="Arabic Transparent" w:hAnsi="Arabic Transparent" w:cs="Arabic Transparent"/>
          <w:b/>
          <w:bCs/>
          <w:sz w:val="32"/>
          <w:szCs w:val="32"/>
          <w:rtl/>
          <w:lang w:bidi="ar-JO"/>
        </w:rPr>
      </w:pPr>
      <w:r w:rsidRPr="00001A51">
        <w:rPr>
          <w:rFonts w:ascii="Arabic Transparent" w:hAnsi="Arabic Transparent" w:cs="Arabic Transparent"/>
          <w:b/>
          <w:bCs/>
          <w:sz w:val="32"/>
          <w:szCs w:val="32"/>
          <w:rtl/>
          <w:lang w:bidi="ar-JO"/>
        </w:rPr>
        <w:br w:type="page"/>
      </w:r>
    </w:p>
    <w:p w14:paraId="7ACB1347" w14:textId="77777777" w:rsidR="00201DD5" w:rsidRPr="00001A51" w:rsidRDefault="00201DD5" w:rsidP="00201DD5">
      <w:pPr>
        <w:spacing w:after="0" w:line="360" w:lineRule="auto"/>
        <w:jc w:val="center"/>
        <w:rPr>
          <w:rFonts w:ascii="Arabic Transparent" w:hAnsi="Arabic Transparent" w:cs="Arabic Transparent"/>
          <w:b/>
          <w:bCs/>
          <w:sz w:val="32"/>
          <w:szCs w:val="32"/>
          <w:rtl/>
          <w:lang w:bidi="ar-JO"/>
        </w:rPr>
      </w:pPr>
      <w:r w:rsidRPr="00001A51">
        <w:rPr>
          <w:rFonts w:ascii="Arabic Transparent" w:hAnsi="Arabic Transparent" w:cs="Arabic Transparent"/>
          <w:b/>
          <w:bCs/>
          <w:sz w:val="32"/>
          <w:szCs w:val="32"/>
          <w:rtl/>
          <w:lang w:bidi="ar-JO"/>
        </w:rPr>
        <w:t>المبحث الثالث:</w:t>
      </w:r>
    </w:p>
    <w:p w14:paraId="5BAF87B2" w14:textId="77777777" w:rsidR="00201DD5" w:rsidRPr="00001A51" w:rsidRDefault="00201DD5" w:rsidP="00201DD5">
      <w:pPr>
        <w:spacing w:after="0" w:line="360" w:lineRule="auto"/>
        <w:jc w:val="center"/>
        <w:rPr>
          <w:rFonts w:ascii="Arabic Transparent" w:hAnsi="Arabic Transparent" w:cs="Arabic Transparent"/>
          <w:b/>
          <w:bCs/>
          <w:sz w:val="32"/>
          <w:szCs w:val="32"/>
          <w:rtl/>
          <w:lang w:bidi="ar-JO"/>
        </w:rPr>
      </w:pPr>
      <w:r w:rsidRPr="00001A51">
        <w:rPr>
          <w:rFonts w:ascii="Arabic Transparent" w:hAnsi="Arabic Transparent" w:cs="Arabic Transparent"/>
          <w:b/>
          <w:bCs/>
          <w:sz w:val="32"/>
          <w:szCs w:val="32"/>
          <w:rtl/>
          <w:lang w:bidi="ar-JO"/>
        </w:rPr>
        <w:t>تطبيقات من فتاوى العملات الرقمية والتجارة الالكترونية</w:t>
      </w:r>
    </w:p>
    <w:p w14:paraId="77F5B012" w14:textId="77777777" w:rsidR="00201DD5" w:rsidRPr="00001A51" w:rsidRDefault="00201DD5" w:rsidP="00201DD5">
      <w:pPr>
        <w:spacing w:after="0" w:line="360" w:lineRule="auto"/>
        <w:jc w:val="both"/>
        <w:rPr>
          <w:rFonts w:ascii="Arabic Transparent" w:hAnsi="Arabic Transparent" w:cs="Arabic Transparent"/>
          <w:b/>
          <w:bCs/>
          <w:sz w:val="32"/>
          <w:szCs w:val="32"/>
          <w:rtl/>
          <w:lang w:bidi="ar-JO"/>
        </w:rPr>
      </w:pPr>
      <w:r w:rsidRPr="00001A51">
        <w:rPr>
          <w:rFonts w:ascii="Arabic Transparent" w:hAnsi="Arabic Transparent" w:cs="Arabic Transparent"/>
          <w:b/>
          <w:bCs/>
          <w:sz w:val="32"/>
          <w:szCs w:val="32"/>
          <w:rtl/>
          <w:lang w:bidi="ar-JO"/>
        </w:rPr>
        <w:t xml:space="preserve">المطلب الأول: العملات الرقمية المشفرة: </w:t>
      </w:r>
    </w:p>
    <w:p w14:paraId="27709EC6" w14:textId="0F4FCAA4" w:rsidR="00201DD5" w:rsidRPr="00001A51" w:rsidRDefault="005D7B91"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b/>
          <w:bCs/>
          <w:sz w:val="28"/>
          <w:szCs w:val="28"/>
          <w:rtl/>
          <w:lang w:bidi="ar-JO"/>
        </w:rPr>
        <w:t xml:space="preserve">     </w:t>
      </w:r>
      <w:r w:rsidR="00201DD5" w:rsidRPr="00001A51">
        <w:rPr>
          <w:rFonts w:ascii="Arabic Transparent" w:hAnsi="Arabic Transparent" w:cs="Arabic Transparent"/>
          <w:sz w:val="28"/>
          <w:szCs w:val="28"/>
          <w:rtl/>
          <w:lang w:bidi="ar-JO"/>
        </w:rPr>
        <w:t>من الموضوعات المعاصرة والتي وقع فيها الخلاف بين العلماء مسألة العملات الرقمية المشفرة، فما حقيقتها؟ وما وجه التفاوت عند تحقيق المناط الخاص في فتاوى العملات الرقمية المشفرة؟</w:t>
      </w:r>
      <w:r w:rsidR="006D14B6" w:rsidRPr="00001A51">
        <w:rPr>
          <w:rFonts w:ascii="Arabic Transparent" w:hAnsi="Arabic Transparent" w:cs="Arabic Transparent" w:hint="cs"/>
          <w:sz w:val="28"/>
          <w:szCs w:val="28"/>
          <w:rtl/>
          <w:lang w:bidi="ar-JO"/>
        </w:rPr>
        <w:t xml:space="preserve"> </w:t>
      </w:r>
      <w:r w:rsidR="00201DD5" w:rsidRPr="00001A51">
        <w:rPr>
          <w:rFonts w:ascii="Arabic Transparent" w:hAnsi="Arabic Transparent" w:cs="Arabic Transparent"/>
          <w:sz w:val="28"/>
          <w:szCs w:val="28"/>
          <w:rtl/>
          <w:lang w:bidi="ar-JO"/>
        </w:rPr>
        <w:t xml:space="preserve">وهي كما يأتي: </w:t>
      </w:r>
    </w:p>
    <w:p w14:paraId="2687CBB4" w14:textId="77777777" w:rsidR="00201DD5" w:rsidRPr="00001A51" w:rsidRDefault="00201DD5" w:rsidP="00201DD5">
      <w:pPr>
        <w:spacing w:after="0" w:line="360" w:lineRule="auto"/>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الفرع الأول: حقيقة العملات المشفرة:</w:t>
      </w:r>
    </w:p>
    <w:p w14:paraId="429E6D97" w14:textId="00197D47" w:rsidR="00201DD5" w:rsidRPr="00001A51" w:rsidRDefault="005D7B91"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b/>
          <w:bCs/>
          <w:sz w:val="28"/>
          <w:szCs w:val="28"/>
          <w:rtl/>
          <w:lang w:bidi="ar-JO"/>
        </w:rPr>
        <w:t xml:space="preserve">     </w:t>
      </w:r>
      <w:r w:rsidR="00201DD5" w:rsidRPr="00001A51">
        <w:rPr>
          <w:rFonts w:ascii="Arabic Transparent" w:hAnsi="Arabic Transparent" w:cs="Arabic Transparent"/>
          <w:b/>
          <w:bCs/>
          <w:sz w:val="28"/>
          <w:szCs w:val="28"/>
          <w:rtl/>
          <w:lang w:bidi="ar-JO"/>
        </w:rPr>
        <w:t>التشفير</w:t>
      </w:r>
      <w:r w:rsidR="00201DD5" w:rsidRPr="00001A51">
        <w:rPr>
          <w:rFonts w:ascii="Arabic Transparent" w:hAnsi="Arabic Transparent" w:cs="Arabic Transparent"/>
          <w:sz w:val="28"/>
          <w:szCs w:val="28"/>
          <w:rtl/>
          <w:lang w:bidi="ar-JO"/>
        </w:rPr>
        <w:t>: "هو إخفاء البيانات من سياقها الظاهر المتعارف عليه إلى سياق غير ظاهر، وغير معروف للعامة يحفظ سرية محتواها"</w:t>
      </w:r>
      <w:r w:rsidR="00201DD5" w:rsidRPr="00001A51">
        <w:rPr>
          <w:rFonts w:ascii="Arabic Transparent" w:hAnsi="Arabic Transparent" w:cs="Arabic Transparent"/>
          <w:sz w:val="28"/>
          <w:szCs w:val="28"/>
          <w:vertAlign w:val="superscript"/>
          <w:rtl/>
          <w:lang w:bidi="ar-JO"/>
        </w:rPr>
        <w:t>(</w:t>
      </w:r>
      <w:r w:rsidR="00201DD5" w:rsidRPr="00001A51">
        <w:rPr>
          <w:rFonts w:ascii="Arabic Transparent" w:hAnsi="Arabic Transparent" w:cs="Arabic Transparent"/>
          <w:sz w:val="28"/>
          <w:szCs w:val="28"/>
          <w:vertAlign w:val="superscript"/>
          <w:rtl/>
          <w:lang w:bidi="ar-JO"/>
        </w:rPr>
        <w:footnoteReference w:id="956"/>
      </w:r>
      <w:r w:rsidR="00201DD5" w:rsidRPr="00001A51">
        <w:rPr>
          <w:rFonts w:ascii="Arabic Transparent" w:hAnsi="Arabic Transparent" w:cs="Arabic Transparent"/>
          <w:sz w:val="28"/>
          <w:szCs w:val="28"/>
          <w:vertAlign w:val="superscript"/>
          <w:rtl/>
          <w:lang w:bidi="ar-JO"/>
        </w:rPr>
        <w:t>)</w:t>
      </w:r>
      <w:r w:rsidR="00201DD5" w:rsidRPr="00001A51">
        <w:rPr>
          <w:rFonts w:ascii="Arabic Transparent" w:hAnsi="Arabic Transparent" w:cs="Arabic Transparent"/>
          <w:sz w:val="28"/>
          <w:szCs w:val="28"/>
          <w:rtl/>
          <w:lang w:bidi="ar-JO"/>
        </w:rPr>
        <w:t xml:space="preserve"> وأما </w:t>
      </w:r>
      <w:r w:rsidR="00201DD5" w:rsidRPr="00001A51">
        <w:rPr>
          <w:rFonts w:ascii="Arabic Transparent" w:hAnsi="Arabic Transparent" w:cs="Arabic Transparent"/>
          <w:b/>
          <w:bCs/>
          <w:sz w:val="28"/>
          <w:szCs w:val="28"/>
          <w:rtl/>
          <w:lang w:bidi="ar-JO"/>
        </w:rPr>
        <w:t>العملات الرقمية المشفرة</w:t>
      </w:r>
      <w:r w:rsidR="00201DD5" w:rsidRPr="00001A51">
        <w:rPr>
          <w:rFonts w:ascii="Arabic Transparent" w:hAnsi="Arabic Transparent" w:cs="Arabic Transparent"/>
          <w:sz w:val="28"/>
          <w:szCs w:val="28"/>
          <w:rtl/>
          <w:lang w:bidi="ar-JO"/>
        </w:rPr>
        <w:t xml:space="preserve"> فهي: "مجموعة من الرموز الرقمية غير الملموسة التي ليس لها شكل مادي، وتعمل كوسيط لقيمة التبادل، وتستخدم عملية التشفير لتأمين معاملاتها والتحكم فيها، وتعتمد على تقنية سلسلة الكتل (</w:t>
      </w:r>
      <w:r w:rsidR="00201DD5" w:rsidRPr="00001A51">
        <w:rPr>
          <w:rFonts w:ascii="Arabic Transparent" w:hAnsi="Arabic Transparent" w:cs="Arabic Transparent"/>
          <w:sz w:val="28"/>
          <w:szCs w:val="28"/>
          <w:lang w:bidi="ar-JO"/>
        </w:rPr>
        <w:t>Blockchain</w:t>
      </w:r>
      <w:r w:rsidR="00201DD5" w:rsidRPr="00001A51">
        <w:rPr>
          <w:rFonts w:ascii="Arabic Transparent" w:hAnsi="Arabic Transparent" w:cs="Arabic Transparent"/>
          <w:sz w:val="28"/>
          <w:szCs w:val="28"/>
          <w:rtl/>
          <w:lang w:bidi="ar-JO"/>
        </w:rPr>
        <w:t>) في إنشاء وخلق وحدات العملة"</w:t>
      </w:r>
      <w:r w:rsidR="00201DD5" w:rsidRPr="00001A51">
        <w:rPr>
          <w:rFonts w:ascii="Arabic Transparent" w:hAnsi="Arabic Transparent" w:cs="Arabic Transparent"/>
          <w:sz w:val="28"/>
          <w:szCs w:val="28"/>
          <w:vertAlign w:val="superscript"/>
          <w:rtl/>
          <w:lang w:bidi="ar-JO"/>
        </w:rPr>
        <w:t>(</w:t>
      </w:r>
      <w:r w:rsidR="00201DD5" w:rsidRPr="00001A51">
        <w:rPr>
          <w:rFonts w:ascii="Arabic Transparent" w:hAnsi="Arabic Transparent" w:cs="Arabic Transparent"/>
          <w:sz w:val="28"/>
          <w:szCs w:val="28"/>
          <w:vertAlign w:val="superscript"/>
          <w:rtl/>
          <w:lang w:bidi="ar-JO"/>
        </w:rPr>
        <w:footnoteReference w:id="957"/>
      </w:r>
      <w:r w:rsidR="00201DD5" w:rsidRPr="00001A51">
        <w:rPr>
          <w:rFonts w:ascii="Arabic Transparent" w:hAnsi="Arabic Transparent" w:cs="Arabic Transparent"/>
          <w:sz w:val="28"/>
          <w:szCs w:val="28"/>
          <w:vertAlign w:val="superscript"/>
          <w:rtl/>
          <w:lang w:bidi="ar-JO"/>
        </w:rPr>
        <w:t>)</w:t>
      </w:r>
      <w:r w:rsidR="00201DD5" w:rsidRPr="00001A51">
        <w:rPr>
          <w:rFonts w:ascii="Arabic Transparent" w:hAnsi="Arabic Transparent" w:cs="Arabic Transparent"/>
          <w:sz w:val="28"/>
          <w:szCs w:val="28"/>
          <w:rtl/>
          <w:lang w:bidi="ar-JO"/>
        </w:rPr>
        <w:t xml:space="preserve"> فهي تتخطى الحدود العالمية في إجراء المدفوعات المالية، والتحويلات النقدية من خلال الاعتماد على التطور الكبير في التقنيات الحاسوبية الحديثة وشبكات الانترنت التي تجعل العالم كالقرية الصغيرة.</w:t>
      </w:r>
    </w:p>
    <w:p w14:paraId="52CFA7AA" w14:textId="0F46E595" w:rsidR="00201DD5" w:rsidRPr="00001A51" w:rsidRDefault="005D7B91" w:rsidP="00AE633A">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201DD5" w:rsidRPr="00001A51">
        <w:rPr>
          <w:rFonts w:ascii="Arabic Transparent" w:hAnsi="Arabic Transparent" w:cs="Arabic Transparent"/>
          <w:sz w:val="28"/>
          <w:szCs w:val="28"/>
          <w:rtl/>
          <w:lang w:bidi="ar-JO"/>
        </w:rPr>
        <w:t>والعملات الرقمية المشفرة</w:t>
      </w:r>
      <w:r w:rsidR="00201DD5" w:rsidRPr="00001A51">
        <w:rPr>
          <w:rFonts w:ascii="Arabic Transparent" w:hAnsi="Arabic Transparent" w:cs="Arabic Transparent"/>
          <w:sz w:val="28"/>
          <w:szCs w:val="28"/>
          <w:vertAlign w:val="superscript"/>
          <w:rtl/>
          <w:lang w:bidi="ar-JO"/>
        </w:rPr>
        <w:t>(</w:t>
      </w:r>
      <w:r w:rsidR="00201DD5" w:rsidRPr="00001A51">
        <w:rPr>
          <w:rFonts w:ascii="Arabic Transparent" w:hAnsi="Arabic Transparent" w:cs="Arabic Transparent"/>
          <w:sz w:val="28"/>
          <w:szCs w:val="28"/>
          <w:vertAlign w:val="superscript"/>
          <w:rtl/>
          <w:lang w:bidi="ar-JO"/>
        </w:rPr>
        <w:footnoteReference w:id="958"/>
      </w:r>
      <w:r w:rsidR="00201DD5" w:rsidRPr="00001A51">
        <w:rPr>
          <w:rFonts w:ascii="Arabic Transparent" w:hAnsi="Arabic Transparent" w:cs="Arabic Transparent"/>
          <w:sz w:val="28"/>
          <w:szCs w:val="28"/>
          <w:vertAlign w:val="superscript"/>
          <w:rtl/>
          <w:lang w:bidi="ar-JO"/>
        </w:rPr>
        <w:t>)</w:t>
      </w:r>
      <w:r w:rsidR="00201DD5" w:rsidRPr="00001A51">
        <w:rPr>
          <w:rFonts w:ascii="Arabic Transparent" w:hAnsi="Arabic Transparent" w:cs="Arabic Transparent"/>
          <w:sz w:val="28"/>
          <w:szCs w:val="28"/>
          <w:rtl/>
          <w:lang w:bidi="ar-JO"/>
        </w:rPr>
        <w:t>، أنواع كثيرة أشهرها البتكوين، والإيثريوم، والريبل، وبينها العديد من الفروقات، وأهم ما يميزها أنها أرقام مشفرة، وليس لها كيان مادي ويتم تداولها من غير وسيط (مصرف أو بنك مركزي)، ويمكن أن تحول إلى عملة أخرى مثل الدولار واليورو</w:t>
      </w:r>
      <w:r w:rsidR="00201DD5" w:rsidRPr="00001A51">
        <w:rPr>
          <w:rFonts w:ascii="Arabic Transparent" w:hAnsi="Arabic Transparent" w:cs="Arabic Transparent"/>
          <w:sz w:val="28"/>
          <w:szCs w:val="28"/>
          <w:vertAlign w:val="superscript"/>
          <w:rtl/>
          <w:lang w:bidi="ar-JO"/>
        </w:rPr>
        <w:t>(</w:t>
      </w:r>
      <w:r w:rsidR="00201DD5" w:rsidRPr="00001A51">
        <w:rPr>
          <w:rFonts w:ascii="Arabic Transparent" w:hAnsi="Arabic Transparent" w:cs="Arabic Transparent"/>
          <w:sz w:val="28"/>
          <w:szCs w:val="28"/>
          <w:vertAlign w:val="superscript"/>
          <w:rtl/>
          <w:lang w:bidi="ar-JO"/>
        </w:rPr>
        <w:footnoteReference w:id="959"/>
      </w:r>
      <w:r w:rsidR="00201DD5" w:rsidRPr="00001A51">
        <w:rPr>
          <w:rFonts w:ascii="Arabic Transparent" w:hAnsi="Arabic Transparent" w:cs="Arabic Transparent"/>
          <w:sz w:val="28"/>
          <w:szCs w:val="28"/>
          <w:vertAlign w:val="superscript"/>
          <w:rtl/>
          <w:lang w:bidi="ar-JO"/>
        </w:rPr>
        <w:t>)</w:t>
      </w:r>
      <w:r w:rsidR="00201DD5" w:rsidRPr="00001A51">
        <w:rPr>
          <w:rFonts w:ascii="Arabic Transparent" w:hAnsi="Arabic Transparent" w:cs="Arabic Transparent"/>
          <w:sz w:val="28"/>
          <w:szCs w:val="28"/>
          <w:rtl/>
          <w:lang w:bidi="ar-JO"/>
        </w:rPr>
        <w:t>.</w:t>
      </w:r>
      <w:r w:rsidR="00201DD5" w:rsidRPr="00001A51">
        <w:rPr>
          <w:rFonts w:ascii="Arabic Transparent" w:hAnsi="Arabic Transparent" w:cs="Arabic Transparent"/>
          <w:sz w:val="28"/>
          <w:szCs w:val="28"/>
          <w:rtl/>
          <w:lang w:bidi="ar-JO"/>
        </w:rPr>
        <w:br w:type="page"/>
      </w:r>
    </w:p>
    <w:p w14:paraId="035FFB9B" w14:textId="031DAA08" w:rsidR="00201DD5" w:rsidRPr="00001A51" w:rsidRDefault="005D7B91" w:rsidP="00201DD5">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sz w:val="28"/>
          <w:szCs w:val="28"/>
          <w:rtl/>
          <w:lang w:bidi="ar-JO"/>
        </w:rPr>
        <w:t xml:space="preserve">     </w:t>
      </w:r>
      <w:r w:rsidR="00201DD5" w:rsidRPr="00001A51">
        <w:rPr>
          <w:rFonts w:ascii="Arabic Transparent" w:hAnsi="Arabic Transparent" w:cs="Arabic Transparent"/>
          <w:sz w:val="28"/>
          <w:szCs w:val="28"/>
          <w:rtl/>
          <w:lang w:bidi="ar-JO"/>
        </w:rPr>
        <w:t>وأما تعدين العملات المشفرة: فيتم عبر حل مسائل حسابية معقدة، باستخدام أجهزة حاسوب ذات قدرات عالية، ويحصل من يحل المسائل على مكافأة مالية، بينما تبقى الأجهرة الأخرى تحاول في الجولات التالية</w:t>
      </w:r>
      <w:r w:rsidR="00201DD5" w:rsidRPr="00001A51">
        <w:rPr>
          <w:rFonts w:ascii="Arabic Transparent" w:hAnsi="Arabic Transparent" w:cs="Arabic Transparent"/>
          <w:sz w:val="28"/>
          <w:szCs w:val="28"/>
          <w:vertAlign w:val="superscript"/>
          <w:rtl/>
          <w:lang w:bidi="ar-JO"/>
        </w:rPr>
        <w:t>(</w:t>
      </w:r>
      <w:r w:rsidR="00201DD5" w:rsidRPr="00001A51">
        <w:rPr>
          <w:rFonts w:ascii="Arabic Transparent" w:hAnsi="Arabic Transparent" w:cs="Arabic Transparent"/>
          <w:sz w:val="28"/>
          <w:szCs w:val="28"/>
          <w:vertAlign w:val="superscript"/>
          <w:rtl/>
          <w:lang w:bidi="ar-JO"/>
        </w:rPr>
        <w:footnoteReference w:id="960"/>
      </w:r>
      <w:r w:rsidR="00201DD5" w:rsidRPr="00001A51">
        <w:rPr>
          <w:rFonts w:ascii="Arabic Transparent" w:hAnsi="Arabic Transparent" w:cs="Arabic Transparent"/>
          <w:sz w:val="28"/>
          <w:szCs w:val="28"/>
          <w:vertAlign w:val="superscript"/>
          <w:rtl/>
          <w:lang w:bidi="ar-JO"/>
        </w:rPr>
        <w:t xml:space="preserve">) </w:t>
      </w:r>
      <w:r w:rsidR="00201DD5" w:rsidRPr="00001A51">
        <w:rPr>
          <w:rFonts w:ascii="Arabic Transparent" w:hAnsi="Arabic Transparent" w:cs="Arabic Transparent"/>
          <w:sz w:val="28"/>
          <w:szCs w:val="28"/>
          <w:rtl/>
          <w:lang w:bidi="ar-JO"/>
        </w:rPr>
        <w:t>فما حكم العملات الرقمية المشفرة وما رأي المجتهدين المعاصرين بها؟</w:t>
      </w:r>
    </w:p>
    <w:p w14:paraId="14440A6E" w14:textId="2410AE14" w:rsidR="00201DD5" w:rsidRPr="00001A51" w:rsidRDefault="005D7B91"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b/>
          <w:bCs/>
          <w:sz w:val="28"/>
          <w:szCs w:val="28"/>
          <w:rtl/>
          <w:lang w:bidi="ar-JO"/>
        </w:rPr>
        <w:t xml:space="preserve">     </w:t>
      </w:r>
      <w:r w:rsidR="00201DD5" w:rsidRPr="00001A51">
        <w:rPr>
          <w:rFonts w:ascii="Arabic Transparent" w:hAnsi="Arabic Transparent" w:cs="Arabic Transparent"/>
          <w:sz w:val="28"/>
          <w:szCs w:val="28"/>
          <w:rtl/>
          <w:lang w:bidi="ar-JO"/>
        </w:rPr>
        <w:t xml:space="preserve">عندما بحث العلماء المعاصرون في حقيقة العملات الرقمية المشفرة، قاموا بتخريجها على النقود الورقية، والعملات الإلكترونية التي جرى التعامل بها بين الناس، وكان سؤالهم هل النقود الرقمية المشفرة لها وظائف النقود المعتبرة ؟ والسؤال الثاني: هل تأخذ العملات الرقمية المشفرة خصائص النقود لتجري عليها أحكام الصرف والربا؟ </w:t>
      </w:r>
    </w:p>
    <w:p w14:paraId="1150DC61" w14:textId="77777777" w:rsidR="00201DD5" w:rsidRPr="00001A51" w:rsidRDefault="00201DD5" w:rsidP="00201DD5">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الفرع الثاني: فتاوى العملات الرقمية المشفرة عرضاً وتحليلاً:</w:t>
      </w:r>
    </w:p>
    <w:p w14:paraId="6623347A" w14:textId="77777777" w:rsidR="00201DD5" w:rsidRPr="00001A51" w:rsidRDefault="00201DD5" w:rsidP="00201DD5">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أولاً: فتاوى الإباحة بضوابط:</w:t>
      </w:r>
    </w:p>
    <w:p w14:paraId="6FA111D8" w14:textId="5B402FD5" w:rsidR="00201DD5" w:rsidRPr="00001A51" w:rsidRDefault="005D7B91"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201DD5" w:rsidRPr="00001A51">
        <w:rPr>
          <w:rFonts w:ascii="Arabic Transparent" w:hAnsi="Arabic Transparent" w:cs="Arabic Transparent"/>
          <w:sz w:val="28"/>
          <w:szCs w:val="28"/>
          <w:rtl/>
          <w:lang w:bidi="ar-JO"/>
        </w:rPr>
        <w:t>إن بعض الاجتهادات الجماعية، والفتاوى المصرفية، والأبحاث المحكمة ذهبت إلى جواز التعامل بالنقود الرقمية وتعدينها</w:t>
      </w:r>
      <w:r w:rsidRPr="00001A51">
        <w:rPr>
          <w:rFonts w:ascii="Arabic Transparent" w:hAnsi="Arabic Transparent" w:cs="Arabic Transparent"/>
          <w:sz w:val="28"/>
          <w:szCs w:val="28"/>
          <w:rtl/>
          <w:lang w:bidi="ar-JO"/>
        </w:rPr>
        <w:t xml:space="preserve">، </w:t>
      </w:r>
      <w:r w:rsidR="00201DD5" w:rsidRPr="00001A51">
        <w:rPr>
          <w:rFonts w:ascii="Arabic Transparent" w:hAnsi="Arabic Transparent" w:cs="Arabic Transparent"/>
          <w:sz w:val="28"/>
          <w:szCs w:val="28"/>
          <w:rtl/>
          <w:lang w:bidi="ar-JO"/>
        </w:rPr>
        <w:t xml:space="preserve">بشروط وضوابط محددة، والقائلون هم:  </w:t>
      </w:r>
    </w:p>
    <w:p w14:paraId="11369065" w14:textId="77777777" w:rsidR="00201DD5" w:rsidRPr="00001A51" w:rsidRDefault="00201DD5"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قرار الهيئة العامة للشؤون الإسلامية والأوقاف في الإمارات</w:t>
      </w:r>
      <w:r w:rsidRPr="00001A51">
        <w:rPr>
          <w:rFonts w:ascii="Arabic Transparent" w:hAnsi="Arabic Transparent" w:cs="Arabic Transparent"/>
          <w:sz w:val="28"/>
          <w:szCs w:val="28"/>
          <w:vertAlign w:val="superscript"/>
          <w:rtl/>
          <w:lang w:bidi="ar-JO"/>
        </w:rPr>
        <w:t xml:space="preserve"> (</w:t>
      </w:r>
      <w:r w:rsidRPr="00001A51">
        <w:rPr>
          <w:rFonts w:ascii="Arabic Transparent" w:hAnsi="Arabic Transparent" w:cs="Arabic Transparent"/>
          <w:sz w:val="28"/>
          <w:szCs w:val="28"/>
          <w:vertAlign w:val="superscript"/>
          <w:rtl/>
          <w:lang w:bidi="ar-JO"/>
        </w:rPr>
        <w:footnoteReference w:id="961"/>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وفتوى الاتّحاد العالمي لعلماء المسلمين</w:t>
      </w:r>
      <w:r w:rsidRPr="00001A51">
        <w:rPr>
          <w:rFonts w:ascii="Arabic Transparent" w:hAnsi="Arabic Transparent" w:cs="Arabic Transparent"/>
          <w:sz w:val="28"/>
          <w:szCs w:val="28"/>
          <w:vertAlign w:val="superscript"/>
          <w:rtl/>
          <w:lang w:bidi="ar-JO"/>
        </w:rPr>
        <w:t xml:space="preserve"> (</w:t>
      </w:r>
      <w:r w:rsidRPr="00001A51">
        <w:rPr>
          <w:rFonts w:ascii="Arabic Transparent" w:hAnsi="Arabic Transparent" w:cs="Arabic Transparent"/>
          <w:sz w:val="28"/>
          <w:szCs w:val="28"/>
          <w:vertAlign w:val="superscript"/>
          <w:rtl/>
          <w:lang w:bidi="ar-JO"/>
        </w:rPr>
        <w:footnoteReference w:id="962"/>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والدكتور حمزة مشوقة</w:t>
      </w:r>
      <w:r w:rsidRPr="00001A51">
        <w:rPr>
          <w:rFonts w:ascii="Arabic Transparent" w:hAnsi="Arabic Transparent" w:cs="Arabic Transparent"/>
          <w:sz w:val="28"/>
          <w:szCs w:val="28"/>
          <w:vertAlign w:val="superscript"/>
          <w:rtl/>
          <w:lang w:bidi="ar-JO"/>
        </w:rPr>
        <w:t xml:space="preserve"> (</w:t>
      </w:r>
      <w:r w:rsidRPr="00001A51">
        <w:rPr>
          <w:rFonts w:ascii="Arabic Transparent" w:hAnsi="Arabic Transparent" w:cs="Arabic Transparent"/>
          <w:sz w:val="28"/>
          <w:szCs w:val="28"/>
          <w:vertAlign w:val="superscript"/>
          <w:rtl/>
          <w:lang w:bidi="ar-JO"/>
        </w:rPr>
        <w:footnoteReference w:id="963"/>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والدكتور عبدالناصر بيومي</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964"/>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w:t>
      </w:r>
    </w:p>
    <w:p w14:paraId="537401C6" w14:textId="453A6F1B" w:rsidR="00201DD5" w:rsidRPr="00001A51" w:rsidRDefault="00201DD5" w:rsidP="00AE633A">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وحجتهم في ذلك: </w:t>
      </w:r>
      <w:r w:rsidRPr="00001A51">
        <w:rPr>
          <w:rFonts w:ascii="Arabic Transparent" w:hAnsi="Arabic Transparent" w:cs="Arabic Transparent"/>
          <w:sz w:val="28"/>
          <w:szCs w:val="28"/>
          <w:rtl/>
          <w:lang w:bidi="ar-JO"/>
        </w:rPr>
        <w:br w:type="page"/>
      </w:r>
    </w:p>
    <w:p w14:paraId="33C1EA84" w14:textId="4A3E2B94" w:rsidR="00201DD5" w:rsidRPr="00001A51" w:rsidRDefault="006D14B6" w:rsidP="00190996">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hint="cs"/>
          <w:sz w:val="28"/>
          <w:szCs w:val="28"/>
          <w:rtl/>
          <w:lang w:bidi="ar-JO"/>
        </w:rPr>
        <w:t xml:space="preserve">     </w:t>
      </w:r>
      <w:r w:rsidR="00201DD5" w:rsidRPr="00001A51">
        <w:rPr>
          <w:rFonts w:ascii="Arabic Transparent" w:hAnsi="Arabic Transparent" w:cs="Arabic Transparent"/>
          <w:sz w:val="28"/>
          <w:szCs w:val="28"/>
          <w:rtl/>
          <w:lang w:bidi="ar-JO"/>
        </w:rPr>
        <w:t>اتخاذ النقود العديد من الأشكال خلال التاريخ مع احتفاظها بخصائص النقد مما يعني جواز التعامل بأي صورة للنقد، وجواز التعامل بالنقود الرقمية وتعدينها، إذا توفرت فيها وظائف النقود</w:t>
      </w:r>
      <w:r w:rsidR="00190996" w:rsidRPr="00001A51">
        <w:rPr>
          <w:rFonts w:ascii="Arabic Transparent" w:hAnsi="Arabic Transparent" w:cs="Arabic Transparent" w:hint="cs"/>
          <w:sz w:val="28"/>
          <w:szCs w:val="28"/>
          <w:rtl/>
          <w:lang w:bidi="ar-JO"/>
        </w:rPr>
        <w:t xml:space="preserve"> </w:t>
      </w:r>
      <w:r w:rsidR="00201DD5" w:rsidRPr="00001A51">
        <w:rPr>
          <w:rFonts w:ascii="Arabic Transparent" w:hAnsi="Arabic Transparent" w:cs="Arabic Transparent"/>
          <w:sz w:val="28"/>
          <w:szCs w:val="28"/>
          <w:rtl/>
          <w:lang w:bidi="ar-JO"/>
        </w:rPr>
        <w:t>الاقتصادية، وخلت من المحاذير الشرعية، مع التأكيد على ضرورة دراسة كل نوع منها على حدة</w:t>
      </w:r>
      <w:r w:rsidR="00201DD5" w:rsidRPr="00001A51">
        <w:rPr>
          <w:rFonts w:ascii="Arabic Transparent" w:hAnsi="Arabic Transparent" w:cs="Arabic Transparent"/>
          <w:sz w:val="28"/>
          <w:szCs w:val="28"/>
          <w:vertAlign w:val="superscript"/>
          <w:rtl/>
          <w:lang w:bidi="ar-JO"/>
        </w:rPr>
        <w:t>(</w:t>
      </w:r>
      <w:r w:rsidR="00201DD5" w:rsidRPr="00001A51">
        <w:rPr>
          <w:rFonts w:ascii="Arabic Transparent" w:hAnsi="Arabic Transparent" w:cs="Arabic Transparent"/>
          <w:sz w:val="28"/>
          <w:szCs w:val="28"/>
          <w:vertAlign w:val="superscript"/>
          <w:rtl/>
          <w:lang w:bidi="ar-JO"/>
        </w:rPr>
        <w:footnoteReference w:id="965"/>
      </w:r>
      <w:r w:rsidR="00201DD5" w:rsidRPr="00001A51">
        <w:rPr>
          <w:rFonts w:ascii="Arabic Transparent" w:hAnsi="Arabic Transparent" w:cs="Arabic Transparent"/>
          <w:sz w:val="28"/>
          <w:szCs w:val="28"/>
          <w:vertAlign w:val="superscript"/>
          <w:rtl/>
          <w:lang w:bidi="ar-JO"/>
        </w:rPr>
        <w:t>)</w:t>
      </w:r>
    </w:p>
    <w:p w14:paraId="314E8CDE" w14:textId="2E98DD90" w:rsidR="00201DD5" w:rsidRPr="00001A51" w:rsidRDefault="00201DD5" w:rsidP="00201DD5">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ثانياً: فتاوى التوقف</w:t>
      </w:r>
      <w:r w:rsidR="005D7B91" w:rsidRPr="00001A51">
        <w:rPr>
          <w:rFonts w:ascii="Arabic Transparent" w:hAnsi="Arabic Transparent" w:cs="Arabic Transparent"/>
          <w:b/>
          <w:bCs/>
          <w:sz w:val="28"/>
          <w:szCs w:val="28"/>
          <w:rtl/>
          <w:lang w:bidi="ar-JO"/>
        </w:rPr>
        <w:t xml:space="preserve">: </w:t>
      </w:r>
    </w:p>
    <w:p w14:paraId="2D7EDBFE" w14:textId="4F264EEA" w:rsidR="00201DD5" w:rsidRPr="00001A51" w:rsidRDefault="005D7B91"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b/>
          <w:bCs/>
          <w:sz w:val="28"/>
          <w:szCs w:val="28"/>
          <w:rtl/>
          <w:lang w:bidi="ar-JO"/>
        </w:rPr>
        <w:t xml:space="preserve">     </w:t>
      </w:r>
      <w:r w:rsidR="00201DD5" w:rsidRPr="00001A51">
        <w:rPr>
          <w:rFonts w:ascii="Arabic Transparent" w:hAnsi="Arabic Transparent" w:cs="Arabic Transparent"/>
          <w:sz w:val="28"/>
          <w:szCs w:val="28"/>
          <w:rtl/>
          <w:lang w:bidi="ar-JO"/>
        </w:rPr>
        <w:t>إنَّ بعض الاجتهادات الجماعية ذهبت إلى، التوقف</w:t>
      </w:r>
      <w:r w:rsidR="00201DD5" w:rsidRPr="00001A51">
        <w:rPr>
          <w:rFonts w:ascii="Aptos" w:hAnsi="Aptos"/>
          <w:rtl/>
        </w:rPr>
        <w:t xml:space="preserve"> </w:t>
      </w:r>
      <w:r w:rsidR="00201DD5" w:rsidRPr="00001A51">
        <w:rPr>
          <w:rFonts w:ascii="Arabic Transparent" w:hAnsi="Arabic Transparent" w:cs="Arabic Transparent"/>
          <w:sz w:val="28"/>
          <w:szCs w:val="28"/>
          <w:rtl/>
          <w:lang w:bidi="ar-JO"/>
        </w:rPr>
        <w:t xml:space="preserve">عن تقرير حكم للعملات الرقمية والمشفرة ولم يصدر عنها قرار بعد، وهم:  </w:t>
      </w:r>
    </w:p>
    <w:p w14:paraId="76CA73B7" w14:textId="77777777" w:rsidR="00201DD5" w:rsidRPr="00001A51" w:rsidRDefault="00201DD5"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مجمع الفقه الإسلامي الدولي</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966"/>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ودائرة الإفتاء الأردنية</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967"/>
      </w:r>
      <w:r w:rsidRPr="00001A51">
        <w:rPr>
          <w:rFonts w:ascii="Arabic Transparent" w:hAnsi="Arabic Transparent" w:cs="Arabic Transparent"/>
          <w:sz w:val="28"/>
          <w:szCs w:val="28"/>
          <w:vertAlign w:val="superscript"/>
          <w:rtl/>
          <w:lang w:bidi="ar-JO"/>
        </w:rPr>
        <w:t>)</w:t>
      </w:r>
    </w:p>
    <w:p w14:paraId="4FC62885" w14:textId="3833E868" w:rsidR="00201DD5" w:rsidRPr="00001A51" w:rsidRDefault="005D7B91"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201DD5" w:rsidRPr="00001A51">
        <w:rPr>
          <w:rFonts w:ascii="Arabic Transparent" w:hAnsi="Arabic Transparent" w:cs="Arabic Transparent"/>
          <w:sz w:val="28"/>
          <w:szCs w:val="28"/>
          <w:rtl/>
          <w:lang w:bidi="ar-JO"/>
        </w:rPr>
        <w:t>وسبب توقفهم عن تقرير حكم للعملات الرقمية والمشفرة، لعدم كفاية الدراسات ولأن بعض القضايا المتعلقة بها محل نظر.</w:t>
      </w:r>
    </w:p>
    <w:p w14:paraId="000D45AB" w14:textId="77777777" w:rsidR="00201DD5" w:rsidRPr="00001A51" w:rsidRDefault="00201DD5" w:rsidP="00201DD5">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ثالثاً: فتاوى التحريم مطلقاً:</w:t>
      </w:r>
    </w:p>
    <w:p w14:paraId="18367250" w14:textId="39972DF1" w:rsidR="00201DD5" w:rsidRPr="00001A51" w:rsidRDefault="005D7B91"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201DD5" w:rsidRPr="00001A51">
        <w:rPr>
          <w:rFonts w:ascii="Arabic Transparent" w:hAnsi="Arabic Transparent" w:cs="Arabic Transparent"/>
          <w:sz w:val="28"/>
          <w:szCs w:val="28"/>
          <w:rtl/>
          <w:lang w:bidi="ar-JO"/>
        </w:rPr>
        <w:t>إنَّ بعض الاجتهادات الجماعية، والفتاوى المصرفية، والأبحاث المحكمة ذهبت إلى تحريم العملات الرقمية المشفرة بكل صورها، وهم:</w:t>
      </w:r>
    </w:p>
    <w:p w14:paraId="7BCC1B96" w14:textId="77777777" w:rsidR="00201DD5" w:rsidRPr="00001A51" w:rsidRDefault="00201DD5" w:rsidP="00201DD5">
      <w:pPr>
        <w:spacing w:after="0" w:line="360" w:lineRule="auto"/>
        <w:jc w:val="both"/>
        <w:rPr>
          <w:rFonts w:ascii="Arabic Transparent" w:hAnsi="Arabic Transparent" w:cs="Arabic Transparent"/>
          <w:sz w:val="32"/>
          <w:szCs w:val="32"/>
          <w:rtl/>
          <w:lang w:bidi="ar-JO"/>
        </w:rPr>
      </w:pPr>
      <w:r w:rsidRPr="00001A51">
        <w:rPr>
          <w:rFonts w:ascii="Arabic Transparent" w:hAnsi="Arabic Transparent" w:cs="Arabic Transparent"/>
          <w:sz w:val="28"/>
          <w:szCs w:val="28"/>
          <w:rtl/>
          <w:lang w:bidi="ar-JO"/>
        </w:rPr>
        <w:t>دار الإفتاء المصرية</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968"/>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وقرار رئاسة الشؤون الدينية التركي</w:t>
      </w:r>
      <w:r w:rsidRPr="00001A51">
        <w:rPr>
          <w:rFonts w:ascii="Arabic Transparent" w:hAnsi="Arabic Transparent" w:cs="Arabic Transparent"/>
          <w:sz w:val="28"/>
          <w:szCs w:val="28"/>
          <w:vertAlign w:val="superscript"/>
          <w:rtl/>
          <w:lang w:bidi="ar-JO"/>
        </w:rPr>
        <w:t xml:space="preserve"> (</w:t>
      </w:r>
      <w:r w:rsidRPr="00001A51">
        <w:rPr>
          <w:rFonts w:ascii="Arabic Transparent" w:hAnsi="Arabic Transparent" w:cs="Arabic Transparent"/>
          <w:sz w:val="28"/>
          <w:szCs w:val="28"/>
          <w:vertAlign w:val="superscript"/>
          <w:rtl/>
          <w:lang w:bidi="ar-JO"/>
        </w:rPr>
        <w:footnoteReference w:id="969"/>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ودار الإفتاء الفلسطينية</w:t>
      </w:r>
      <w:r w:rsidRPr="00001A51">
        <w:rPr>
          <w:rFonts w:ascii="Arabic Transparent" w:hAnsi="Arabic Transparent" w:cs="Arabic Transparent"/>
          <w:sz w:val="28"/>
          <w:szCs w:val="28"/>
          <w:vertAlign w:val="superscript"/>
          <w:rtl/>
          <w:lang w:bidi="ar-JO"/>
        </w:rPr>
        <w:t xml:space="preserve"> (</w:t>
      </w:r>
      <w:r w:rsidRPr="00001A51">
        <w:rPr>
          <w:rFonts w:ascii="Arabic Transparent" w:hAnsi="Arabic Transparent" w:cs="Arabic Transparent"/>
          <w:sz w:val="28"/>
          <w:szCs w:val="28"/>
          <w:vertAlign w:val="superscript"/>
          <w:rtl/>
          <w:lang w:bidi="ar-JO"/>
        </w:rPr>
        <w:footnoteReference w:id="970"/>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32"/>
          <w:szCs w:val="32"/>
          <w:rtl/>
          <w:lang w:bidi="ar-JO"/>
        </w:rPr>
        <w:t>،</w:t>
      </w:r>
    </w:p>
    <w:p w14:paraId="604B3DA6" w14:textId="77777777" w:rsidR="00201DD5" w:rsidRPr="00001A51" w:rsidRDefault="00201DD5" w:rsidP="00201DD5">
      <w:pPr>
        <w:rPr>
          <w:rFonts w:ascii="Arabic Transparent" w:hAnsi="Arabic Transparent" w:cs="Arabic Transparent"/>
          <w:sz w:val="32"/>
          <w:szCs w:val="32"/>
          <w:rtl/>
          <w:lang w:bidi="ar-JO"/>
        </w:rPr>
      </w:pPr>
      <w:r w:rsidRPr="00001A51">
        <w:rPr>
          <w:rFonts w:ascii="Arabic Transparent" w:hAnsi="Arabic Transparent" w:cs="Arabic Transparent"/>
          <w:sz w:val="32"/>
          <w:szCs w:val="32"/>
          <w:rtl/>
          <w:lang w:bidi="ar-JO"/>
        </w:rPr>
        <w:br w:type="page"/>
      </w:r>
    </w:p>
    <w:p w14:paraId="4188F02E" w14:textId="77777777" w:rsidR="00201DD5" w:rsidRPr="00001A51" w:rsidRDefault="00201DD5"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32"/>
          <w:szCs w:val="32"/>
          <w:rtl/>
          <w:lang w:bidi="ar-JO"/>
        </w:rPr>
        <w:t xml:space="preserve"> و</w:t>
      </w:r>
      <w:r w:rsidRPr="00001A51">
        <w:rPr>
          <w:rFonts w:ascii="Arabic Transparent" w:hAnsi="Arabic Transparent" w:cs="Arabic Transparent"/>
          <w:sz w:val="28"/>
          <w:szCs w:val="28"/>
          <w:rtl/>
          <w:lang w:bidi="ar-JO"/>
        </w:rPr>
        <w:t>الشيخ عبدالله المنيع</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971"/>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والدكتور عمرو أبو العلا</w:t>
      </w:r>
      <w:r w:rsidRPr="00001A51">
        <w:rPr>
          <w:rFonts w:ascii="Arabic Transparent" w:hAnsi="Arabic Transparent" w:cs="Arabic Transparent"/>
          <w:sz w:val="28"/>
          <w:szCs w:val="28"/>
          <w:vertAlign w:val="superscript"/>
          <w:rtl/>
          <w:lang w:val="en-AE" w:bidi="ar-JO"/>
        </w:rPr>
        <w:t>(</w:t>
      </w:r>
      <w:r w:rsidRPr="00001A51">
        <w:rPr>
          <w:rFonts w:ascii="Arabic Transparent" w:hAnsi="Arabic Transparent" w:cs="Arabic Transparent"/>
          <w:sz w:val="28"/>
          <w:szCs w:val="28"/>
          <w:vertAlign w:val="superscript"/>
          <w:rtl/>
          <w:lang w:val="en-AE" w:bidi="ar-JO"/>
        </w:rPr>
        <w:footnoteReference w:id="972"/>
      </w:r>
      <w:r w:rsidRPr="00001A51">
        <w:rPr>
          <w:rFonts w:ascii="Arabic Transparent" w:hAnsi="Arabic Transparent" w:cs="Arabic Transparent"/>
          <w:sz w:val="28"/>
          <w:szCs w:val="28"/>
          <w:vertAlign w:val="superscript"/>
          <w:rtl/>
          <w:lang w:val="en-AE" w:bidi="ar-JO"/>
        </w:rPr>
        <w:t>)</w:t>
      </w:r>
      <w:r w:rsidRPr="00001A51">
        <w:rPr>
          <w:rFonts w:ascii="Arabic Transparent" w:hAnsi="Arabic Transparent" w:cs="Arabic Transparent"/>
          <w:sz w:val="28"/>
          <w:szCs w:val="28"/>
          <w:rtl/>
          <w:lang w:val="en-AE" w:bidi="ar-JO"/>
        </w:rPr>
        <w:t>.</w:t>
      </w:r>
    </w:p>
    <w:p w14:paraId="3D72FD9C" w14:textId="2555D6B4" w:rsidR="00201DD5" w:rsidRPr="00001A51" w:rsidRDefault="005D7B91" w:rsidP="00201DD5">
      <w:pPr>
        <w:spacing w:after="0" w:line="360" w:lineRule="auto"/>
        <w:jc w:val="both"/>
        <w:rPr>
          <w:rFonts w:ascii="Arabic Transparent" w:hAnsi="Arabic Transparent" w:cs="Arabic Transparent"/>
          <w:sz w:val="28"/>
          <w:szCs w:val="28"/>
          <w:rtl/>
          <w:lang w:val="en-AE" w:bidi="ar-JO"/>
        </w:rPr>
      </w:pPr>
      <w:r w:rsidRPr="00001A51">
        <w:rPr>
          <w:rFonts w:ascii="Arabic Transparent" w:hAnsi="Arabic Transparent" w:cs="Arabic Transparent"/>
          <w:sz w:val="28"/>
          <w:szCs w:val="28"/>
          <w:rtl/>
          <w:lang w:val="en-AE" w:bidi="ar-JO"/>
        </w:rPr>
        <w:t xml:space="preserve">     </w:t>
      </w:r>
      <w:r w:rsidR="00201DD5" w:rsidRPr="00001A51">
        <w:rPr>
          <w:rFonts w:ascii="Arabic Transparent" w:hAnsi="Arabic Transparent" w:cs="Arabic Transparent"/>
          <w:sz w:val="28"/>
          <w:szCs w:val="28"/>
          <w:rtl/>
          <w:lang w:val="en-AE" w:bidi="ar-JO"/>
        </w:rPr>
        <w:t>وحجتهم في ذلك: تبعاً لعدم استقرارها في وقتهم، ولأنها مجهولة المصدر، وتتضمن مخاطرة شديدة تفضي لضياع المال، وليس لها من وظائف النقود، أو خصائصه شيء، وعدم توفر الحماية القانونية لها، وغيرها من الأسباب</w:t>
      </w:r>
      <w:r w:rsidR="00201DD5" w:rsidRPr="00001A51">
        <w:rPr>
          <w:rFonts w:ascii="Arabic Transparent" w:hAnsi="Arabic Transparent" w:cs="Arabic Transparent"/>
          <w:sz w:val="28"/>
          <w:szCs w:val="28"/>
          <w:vertAlign w:val="superscript"/>
          <w:rtl/>
          <w:lang w:val="en-AE" w:bidi="ar-JO"/>
        </w:rPr>
        <w:t>(</w:t>
      </w:r>
      <w:r w:rsidR="00201DD5" w:rsidRPr="00001A51">
        <w:rPr>
          <w:rFonts w:ascii="Arabic Transparent" w:hAnsi="Arabic Transparent" w:cs="Arabic Transparent"/>
          <w:sz w:val="28"/>
          <w:szCs w:val="28"/>
          <w:vertAlign w:val="superscript"/>
          <w:rtl/>
          <w:lang w:val="en-AE" w:bidi="ar-JO"/>
        </w:rPr>
        <w:footnoteReference w:id="973"/>
      </w:r>
      <w:r w:rsidR="00201DD5" w:rsidRPr="00001A51">
        <w:rPr>
          <w:rFonts w:ascii="Arabic Transparent" w:hAnsi="Arabic Transparent" w:cs="Arabic Transparent"/>
          <w:sz w:val="28"/>
          <w:szCs w:val="28"/>
          <w:vertAlign w:val="superscript"/>
          <w:rtl/>
          <w:lang w:val="en-AE" w:bidi="ar-JO"/>
        </w:rPr>
        <w:t>)</w:t>
      </w:r>
      <w:r w:rsidR="00201DD5" w:rsidRPr="00001A51">
        <w:rPr>
          <w:rFonts w:ascii="Arabic Transparent" w:hAnsi="Arabic Transparent" w:cs="Arabic Transparent"/>
          <w:sz w:val="28"/>
          <w:szCs w:val="28"/>
          <w:rtl/>
          <w:lang w:val="en-AE" w:bidi="ar-JO"/>
        </w:rPr>
        <w:t>.</w:t>
      </w:r>
    </w:p>
    <w:p w14:paraId="7F782EE5" w14:textId="77777777" w:rsidR="00201DD5" w:rsidRPr="00001A51" w:rsidRDefault="00201DD5" w:rsidP="00201DD5">
      <w:pPr>
        <w:spacing w:after="0" w:line="360" w:lineRule="auto"/>
        <w:jc w:val="both"/>
        <w:rPr>
          <w:rFonts w:ascii="Arabic Transparent" w:hAnsi="Arabic Transparent" w:cs="Arabic Transparent"/>
          <w:b/>
          <w:bCs/>
          <w:sz w:val="28"/>
          <w:szCs w:val="28"/>
          <w:rtl/>
          <w:lang w:val="en-AE" w:bidi="ar-JO"/>
        </w:rPr>
      </w:pPr>
      <w:r w:rsidRPr="00001A51">
        <w:rPr>
          <w:rFonts w:ascii="Arabic Transparent" w:hAnsi="Arabic Transparent" w:cs="Arabic Transparent"/>
          <w:b/>
          <w:bCs/>
          <w:sz w:val="28"/>
          <w:szCs w:val="28"/>
          <w:rtl/>
          <w:lang w:val="en-AE" w:bidi="ar-JO"/>
        </w:rPr>
        <w:t xml:space="preserve">رابعاً: تحليل الفتاوى السابقة وتنقيح المناط العام: </w:t>
      </w:r>
    </w:p>
    <w:p w14:paraId="40AC169B" w14:textId="386DF6B2" w:rsidR="00201DD5" w:rsidRPr="00001A51" w:rsidRDefault="005D7B91" w:rsidP="00201DD5">
      <w:pPr>
        <w:spacing w:after="0" w:line="360" w:lineRule="auto"/>
        <w:jc w:val="both"/>
        <w:rPr>
          <w:rFonts w:ascii="Arabic Transparent" w:hAnsi="Arabic Transparent" w:cs="Arabic Transparent"/>
          <w:sz w:val="28"/>
          <w:szCs w:val="28"/>
          <w:rtl/>
          <w:lang w:val="en-AE" w:bidi="ar-JO"/>
        </w:rPr>
      </w:pPr>
      <w:r w:rsidRPr="00001A51">
        <w:rPr>
          <w:rFonts w:ascii="Arabic Transparent" w:hAnsi="Arabic Transparent" w:cs="Arabic Transparent"/>
          <w:b/>
          <w:bCs/>
          <w:sz w:val="28"/>
          <w:szCs w:val="28"/>
          <w:rtl/>
          <w:lang w:val="en-AE" w:bidi="ar-JO"/>
        </w:rPr>
        <w:t xml:space="preserve">     </w:t>
      </w:r>
      <w:r w:rsidR="00201DD5" w:rsidRPr="00001A51">
        <w:rPr>
          <w:rFonts w:ascii="Arabic Transparent" w:hAnsi="Arabic Transparent" w:cs="Arabic Transparent"/>
          <w:sz w:val="28"/>
          <w:szCs w:val="28"/>
          <w:rtl/>
          <w:lang w:val="en-AE" w:bidi="ar-JO"/>
        </w:rPr>
        <w:t>بعد استقراء الفتاوى السابقة، وعند تحليلها يتبين أن من ذهب إلى إباحة العملات الرقمية المشفرة، وضع جملة من الضوابط التي تجعلها تتفق مع النقود المعتبرة في الإسلام من جهة وظائفها الاقتصادية، حيث تكون مخزناً للقيم، ووسيطاً للتبادل وقابلة للرواج بين الناس، وتحظى بحماية قانونية.</w:t>
      </w:r>
    </w:p>
    <w:p w14:paraId="2B24CDB7" w14:textId="77777777" w:rsidR="00327C97" w:rsidRPr="00001A51" w:rsidRDefault="005D7B91" w:rsidP="009504E9">
      <w:pPr>
        <w:spacing w:after="0" w:line="360" w:lineRule="auto"/>
        <w:jc w:val="both"/>
        <w:rPr>
          <w:rFonts w:ascii="Arabic Transparent" w:hAnsi="Arabic Transparent" w:cs="Arabic Transparent"/>
          <w:sz w:val="28"/>
          <w:szCs w:val="28"/>
          <w:rtl/>
          <w:lang w:val="en-AE" w:bidi="ar-JO"/>
        </w:rPr>
      </w:pPr>
      <w:r w:rsidRPr="00001A51">
        <w:rPr>
          <w:rFonts w:ascii="Arabic Transparent" w:hAnsi="Arabic Transparent" w:cs="Arabic Transparent"/>
          <w:sz w:val="28"/>
          <w:szCs w:val="28"/>
          <w:rtl/>
          <w:lang w:val="en-AE" w:bidi="ar-JO"/>
        </w:rPr>
        <w:t xml:space="preserve">     </w:t>
      </w:r>
      <w:r w:rsidR="00201DD5" w:rsidRPr="00001A51">
        <w:rPr>
          <w:rFonts w:ascii="Arabic Transparent" w:hAnsi="Arabic Transparent" w:cs="Arabic Transparent"/>
          <w:sz w:val="28"/>
          <w:szCs w:val="28"/>
          <w:rtl/>
          <w:lang w:val="en-AE" w:bidi="ar-JO"/>
        </w:rPr>
        <w:t>وقررت دار الإفتاء المصرية تحريم العملات الرقمية، بناءً على الآثار السلبية اقتصادياً، والتعدي على اختصاص الدولة في إصدار النقد، وفقدانها للحماية القانونية والرقابة المالية مع وجود الغرر والجهالة الفاحشة، وسداً لذريعة تجارة المخدرات وغسيل الأموال ونحوها، فكان القول بالمنع مطلقاً</w:t>
      </w:r>
      <w:r w:rsidR="00201DD5" w:rsidRPr="00001A51">
        <w:rPr>
          <w:rFonts w:ascii="Arabic Transparent" w:hAnsi="Arabic Transparent" w:cs="Arabic Transparent"/>
          <w:sz w:val="28"/>
          <w:szCs w:val="28"/>
          <w:vertAlign w:val="superscript"/>
          <w:rtl/>
          <w:lang w:val="en-AE" w:bidi="ar-JO"/>
        </w:rPr>
        <w:t>(</w:t>
      </w:r>
      <w:r w:rsidR="00201DD5" w:rsidRPr="00001A51">
        <w:rPr>
          <w:rFonts w:ascii="Arabic Transparent" w:hAnsi="Arabic Transparent" w:cs="Arabic Transparent"/>
          <w:sz w:val="28"/>
          <w:szCs w:val="28"/>
          <w:vertAlign w:val="superscript"/>
          <w:rtl/>
          <w:lang w:val="en-AE" w:bidi="ar-JO"/>
        </w:rPr>
        <w:footnoteReference w:id="974"/>
      </w:r>
      <w:r w:rsidR="00201DD5" w:rsidRPr="00001A51">
        <w:rPr>
          <w:rFonts w:ascii="Arabic Transparent" w:hAnsi="Arabic Transparent" w:cs="Arabic Transparent"/>
          <w:sz w:val="28"/>
          <w:szCs w:val="28"/>
          <w:vertAlign w:val="superscript"/>
          <w:rtl/>
          <w:lang w:val="en-AE" w:bidi="ar-JO"/>
        </w:rPr>
        <w:t>)</w:t>
      </w:r>
      <w:r w:rsidR="00201DD5" w:rsidRPr="00001A51">
        <w:rPr>
          <w:rFonts w:ascii="Arabic Transparent" w:hAnsi="Arabic Transparent" w:cs="Arabic Transparent"/>
          <w:sz w:val="28"/>
          <w:szCs w:val="28"/>
          <w:rtl/>
          <w:lang w:val="en-AE" w:bidi="ar-JO"/>
        </w:rPr>
        <w:t xml:space="preserve">، وأما مجمع الفقه الإسلامي الدولي، فقد قرر أن العملات الرقمية تحوي العديد من المخاطر، وعدم الاستقرار في التعامل، والذي دعاه إلى التوقف وتأجيل القرار إلى الدورات القادمة، وأما دراسة مشوقة فقد وصفت حالة البتكوين أنها لم تحقق شروط الكفاءة النقدية، مع عدم وجود مانع في </w:t>
      </w:r>
    </w:p>
    <w:p w14:paraId="6CE471EE" w14:textId="77777777" w:rsidR="00327C97" w:rsidRPr="00001A51" w:rsidRDefault="00327C97">
      <w:pPr>
        <w:bidi w:val="0"/>
        <w:spacing w:after="0" w:line="240" w:lineRule="auto"/>
        <w:rPr>
          <w:rFonts w:ascii="Arabic Transparent" w:hAnsi="Arabic Transparent" w:cs="Arabic Transparent"/>
          <w:sz w:val="28"/>
          <w:szCs w:val="28"/>
          <w:rtl/>
          <w:lang w:val="en-AE" w:bidi="ar-JO"/>
        </w:rPr>
      </w:pPr>
      <w:r w:rsidRPr="00001A51">
        <w:rPr>
          <w:rFonts w:ascii="Arabic Transparent" w:hAnsi="Arabic Transparent" w:cs="Arabic Transparent"/>
          <w:sz w:val="28"/>
          <w:szCs w:val="28"/>
          <w:rtl/>
          <w:lang w:val="en-AE" w:bidi="ar-JO"/>
        </w:rPr>
        <w:br w:type="page"/>
      </w:r>
    </w:p>
    <w:p w14:paraId="4D9FB584" w14:textId="3DF4A180" w:rsidR="00201DD5" w:rsidRPr="00001A51" w:rsidRDefault="00201DD5" w:rsidP="009504E9">
      <w:pPr>
        <w:spacing w:after="0" w:line="360" w:lineRule="auto"/>
        <w:jc w:val="both"/>
        <w:rPr>
          <w:rFonts w:ascii="Arabic Transparent" w:hAnsi="Arabic Transparent" w:cs="Arabic Transparent"/>
          <w:sz w:val="28"/>
          <w:szCs w:val="28"/>
          <w:rtl/>
          <w:lang w:val="en-AE" w:bidi="ar-JO"/>
        </w:rPr>
      </w:pPr>
      <w:r w:rsidRPr="00001A51">
        <w:rPr>
          <w:rFonts w:ascii="Arabic Transparent" w:hAnsi="Arabic Transparent" w:cs="Arabic Transparent"/>
          <w:sz w:val="28"/>
          <w:szCs w:val="28"/>
          <w:rtl/>
          <w:lang w:val="en-AE" w:bidi="ar-JO"/>
        </w:rPr>
        <w:t>المستقبل أن تظهر عملات رقمية مشفرة تصدر من سلطات مركزية وتحقق الشروط والضوابط الشرعية في النقد المعتبر</w:t>
      </w:r>
      <w:r w:rsidRPr="00001A51">
        <w:rPr>
          <w:rFonts w:ascii="Arabic Transparent" w:hAnsi="Arabic Transparent" w:cs="Arabic Transparent"/>
          <w:sz w:val="28"/>
          <w:szCs w:val="28"/>
          <w:vertAlign w:val="superscript"/>
          <w:rtl/>
          <w:lang w:val="en-AE" w:bidi="ar-JO"/>
        </w:rPr>
        <w:t>(</w:t>
      </w:r>
      <w:r w:rsidRPr="00001A51">
        <w:rPr>
          <w:rFonts w:ascii="Arabic Transparent" w:hAnsi="Arabic Transparent" w:cs="Arabic Transparent"/>
          <w:sz w:val="28"/>
          <w:szCs w:val="28"/>
          <w:vertAlign w:val="superscript"/>
          <w:rtl/>
          <w:lang w:val="en-AE" w:bidi="ar-JO"/>
        </w:rPr>
        <w:footnoteReference w:id="975"/>
      </w:r>
      <w:r w:rsidRPr="00001A51">
        <w:rPr>
          <w:rFonts w:ascii="Arabic Transparent" w:hAnsi="Arabic Transparent" w:cs="Arabic Transparent"/>
          <w:sz w:val="28"/>
          <w:szCs w:val="28"/>
          <w:vertAlign w:val="superscript"/>
          <w:rtl/>
          <w:lang w:val="en-AE" w:bidi="ar-JO"/>
        </w:rPr>
        <w:t>)</w:t>
      </w:r>
      <w:r w:rsidRPr="00001A51">
        <w:rPr>
          <w:rFonts w:ascii="Arabic Transparent" w:hAnsi="Arabic Transparent" w:cs="Arabic Transparent"/>
          <w:sz w:val="28"/>
          <w:szCs w:val="28"/>
          <w:rtl/>
          <w:lang w:val="en-AE" w:bidi="ar-JO"/>
        </w:rPr>
        <w:t>.</w:t>
      </w:r>
    </w:p>
    <w:p w14:paraId="03036378" w14:textId="1A0BE035" w:rsidR="00201DD5" w:rsidRPr="00001A51" w:rsidRDefault="005D7B91" w:rsidP="00201DD5">
      <w:pPr>
        <w:spacing w:after="0" w:line="360" w:lineRule="auto"/>
        <w:jc w:val="both"/>
        <w:rPr>
          <w:rFonts w:ascii="Arabic Transparent" w:hAnsi="Arabic Transparent" w:cs="Arabic Transparent"/>
          <w:sz w:val="28"/>
          <w:szCs w:val="28"/>
          <w:rtl/>
          <w:lang w:val="en-AE" w:bidi="ar-JO"/>
        </w:rPr>
      </w:pPr>
      <w:r w:rsidRPr="00001A51">
        <w:rPr>
          <w:rFonts w:ascii="Arabic Transparent" w:hAnsi="Arabic Transparent" w:cs="Arabic Transparent"/>
          <w:sz w:val="28"/>
          <w:szCs w:val="28"/>
          <w:rtl/>
          <w:lang w:val="en-AE" w:bidi="ar-JO"/>
        </w:rPr>
        <w:t xml:space="preserve">     </w:t>
      </w:r>
      <w:r w:rsidR="00201DD5" w:rsidRPr="00001A51">
        <w:rPr>
          <w:rFonts w:ascii="Arabic Transparent" w:hAnsi="Arabic Transparent" w:cs="Arabic Transparent"/>
          <w:sz w:val="28"/>
          <w:szCs w:val="28"/>
          <w:rtl/>
          <w:lang w:val="en-AE" w:bidi="ar-JO"/>
        </w:rPr>
        <w:t>وعند تنقيح المناط، وعدم اعتبار بعض الأوصاف الزائدة والعارضة والمناسبة الخفية</w:t>
      </w:r>
      <w:r w:rsidR="00201DD5" w:rsidRPr="00001A51">
        <w:rPr>
          <w:rFonts w:ascii="Arabic Transparent" w:hAnsi="Arabic Transparent" w:cs="Arabic Transparent"/>
          <w:sz w:val="28"/>
          <w:szCs w:val="28"/>
          <w:vertAlign w:val="superscript"/>
          <w:rtl/>
          <w:lang w:val="en-AE" w:bidi="ar-JO"/>
        </w:rPr>
        <w:t>(</w:t>
      </w:r>
      <w:r w:rsidR="00201DD5" w:rsidRPr="00001A51">
        <w:rPr>
          <w:rFonts w:ascii="Arabic Transparent" w:hAnsi="Arabic Transparent" w:cs="Arabic Transparent"/>
          <w:sz w:val="28"/>
          <w:szCs w:val="28"/>
          <w:vertAlign w:val="superscript"/>
          <w:rtl/>
          <w:lang w:val="en-AE" w:bidi="ar-JO"/>
        </w:rPr>
        <w:footnoteReference w:id="976"/>
      </w:r>
      <w:r w:rsidR="00201DD5" w:rsidRPr="00001A51">
        <w:rPr>
          <w:rFonts w:ascii="Arabic Transparent" w:hAnsi="Arabic Transparent" w:cs="Arabic Transparent"/>
          <w:sz w:val="28"/>
          <w:szCs w:val="28"/>
          <w:vertAlign w:val="superscript"/>
          <w:rtl/>
          <w:lang w:val="en-AE" w:bidi="ar-JO"/>
        </w:rPr>
        <w:t>)</w:t>
      </w:r>
      <w:r w:rsidR="00201DD5" w:rsidRPr="00001A51">
        <w:rPr>
          <w:rFonts w:ascii="Arabic Transparent" w:hAnsi="Arabic Transparent" w:cs="Arabic Transparent"/>
          <w:sz w:val="28"/>
          <w:szCs w:val="28"/>
          <w:rtl/>
          <w:lang w:val="en-AE" w:bidi="ar-JO"/>
        </w:rPr>
        <w:t>، والتي لا يعوّل عليها عند إصدار الحكم الشرعي، مثل: أنّ تكون العملة رقمية، أو كونها مشفرة، وكونها ذات مسميات متعددة بتكوين، وكونها ليس لها كيان مادي، فهي ليست الأوصاف المعتبرة بحد ذاتها؛ لأنَّ الإسلام لم يشترط شكلاً معيناً للنقود</w:t>
      </w:r>
      <w:r w:rsidR="00201DD5" w:rsidRPr="00001A51">
        <w:rPr>
          <w:rFonts w:ascii="Arabic Transparent" w:hAnsi="Arabic Transparent" w:cs="Arabic Transparent"/>
          <w:sz w:val="28"/>
          <w:szCs w:val="28"/>
          <w:vertAlign w:val="superscript"/>
          <w:rtl/>
          <w:lang w:val="en-AE" w:bidi="ar-JO"/>
        </w:rPr>
        <w:t>(</w:t>
      </w:r>
      <w:r w:rsidR="00201DD5" w:rsidRPr="00001A51">
        <w:rPr>
          <w:rFonts w:ascii="Arabic Transparent" w:hAnsi="Arabic Transparent" w:cs="Arabic Transparent"/>
          <w:sz w:val="28"/>
          <w:szCs w:val="28"/>
          <w:vertAlign w:val="superscript"/>
          <w:rtl/>
          <w:lang w:val="en-AE" w:bidi="ar-JO"/>
        </w:rPr>
        <w:footnoteReference w:id="977"/>
      </w:r>
      <w:r w:rsidR="00201DD5" w:rsidRPr="00001A51">
        <w:rPr>
          <w:rFonts w:ascii="Arabic Transparent" w:hAnsi="Arabic Transparent" w:cs="Arabic Transparent"/>
          <w:sz w:val="28"/>
          <w:szCs w:val="28"/>
          <w:vertAlign w:val="superscript"/>
          <w:rtl/>
          <w:lang w:val="en-AE" w:bidi="ar-JO"/>
        </w:rPr>
        <w:t>)</w:t>
      </w:r>
      <w:r w:rsidR="00201DD5" w:rsidRPr="00001A51">
        <w:rPr>
          <w:rFonts w:ascii="Arabic Transparent" w:hAnsi="Arabic Transparent" w:cs="Arabic Transparent"/>
          <w:sz w:val="28"/>
          <w:szCs w:val="28"/>
          <w:rtl/>
          <w:lang w:val="en-AE" w:bidi="ar-JO"/>
        </w:rPr>
        <w:t>، وعليه يكفي أن تجمع في العملات الرقمية قواعد ومبادئ وضوابط النقود المعتبرة في الشريعة الإسلامية.</w:t>
      </w:r>
    </w:p>
    <w:p w14:paraId="340BB641" w14:textId="77777777" w:rsidR="00201DD5" w:rsidRPr="00001A51" w:rsidRDefault="00201DD5" w:rsidP="00201DD5">
      <w:pPr>
        <w:spacing w:after="0" w:line="360" w:lineRule="auto"/>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 xml:space="preserve">الفرع الثالث: وجه التفاوت في تحقيق المناط الخاص: </w:t>
      </w:r>
    </w:p>
    <w:p w14:paraId="405BB647" w14:textId="5901139F" w:rsidR="00201DD5" w:rsidRPr="00001A51" w:rsidRDefault="005D7B91"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b/>
          <w:bCs/>
          <w:sz w:val="28"/>
          <w:szCs w:val="28"/>
          <w:rtl/>
          <w:lang w:bidi="ar-JO"/>
        </w:rPr>
        <w:t xml:space="preserve">     </w:t>
      </w:r>
      <w:r w:rsidR="00201DD5" w:rsidRPr="00001A51">
        <w:rPr>
          <w:rFonts w:ascii="Arabic Transparent" w:hAnsi="Arabic Transparent" w:cs="Arabic Transparent"/>
          <w:sz w:val="28"/>
          <w:szCs w:val="28"/>
          <w:rtl/>
          <w:lang w:bidi="ar-JO"/>
        </w:rPr>
        <w:t xml:space="preserve">عند تمحيص النظر في أصل العملات الرقمية المشفرة يتبين أن التفاوت فيه يقع من جهة الواقعة أو الاجتهاد ومناهجه، كما يأتي: </w:t>
      </w:r>
    </w:p>
    <w:p w14:paraId="196CAA65" w14:textId="158CAB27" w:rsidR="00201DD5" w:rsidRPr="00001A51" w:rsidRDefault="00201DD5" w:rsidP="00201DD5">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أولاً: تفاوت في الحكم يعود للواقعة</w:t>
      </w:r>
      <w:r w:rsidR="00151AED" w:rsidRPr="00001A51">
        <w:rPr>
          <w:rFonts w:ascii="Arabic Transparent" w:hAnsi="Arabic Transparent" w:cs="Arabic Transparent"/>
          <w:b/>
          <w:bCs/>
          <w:sz w:val="28"/>
          <w:szCs w:val="28"/>
          <w:rtl/>
          <w:lang w:bidi="ar-JO"/>
        </w:rPr>
        <w:t xml:space="preserve">: </w:t>
      </w:r>
    </w:p>
    <w:p w14:paraId="78D1AE0B" w14:textId="46BDFEAE" w:rsidR="00201DD5" w:rsidRPr="00001A51" w:rsidRDefault="005D7B91"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b/>
          <w:bCs/>
          <w:sz w:val="28"/>
          <w:szCs w:val="28"/>
          <w:rtl/>
          <w:lang w:bidi="ar-JO"/>
        </w:rPr>
        <w:t xml:space="preserve">     </w:t>
      </w:r>
      <w:r w:rsidR="00201DD5" w:rsidRPr="00001A51">
        <w:rPr>
          <w:rFonts w:ascii="Arabic Transparent" w:hAnsi="Arabic Transparent" w:cs="Arabic Transparent"/>
          <w:sz w:val="28"/>
          <w:szCs w:val="28"/>
          <w:rtl/>
          <w:lang w:bidi="ar-JO"/>
        </w:rPr>
        <w:t>من التفاوت الذي يؤثر في الحكم ما يعود إلى الواقعة، وهو كما يأتي:</w:t>
      </w:r>
    </w:p>
    <w:p w14:paraId="1F0ED588" w14:textId="77777777" w:rsidR="00201DD5" w:rsidRPr="00001A51" w:rsidRDefault="00201DD5"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1- من الطبيعي أن تكون هناك وقائع محرمة وغير محرمة في مسألة العملات الرقمية المشفرة، فهي "حرمت تحريم وسائل"</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978"/>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xml:space="preserve"> كما قال الدكتور قرة داغي والتي يمكن أن تباح عندما تزال الأسباب المحرمة. </w:t>
      </w:r>
    </w:p>
    <w:p w14:paraId="295E5794" w14:textId="77777777" w:rsidR="00327C97" w:rsidRPr="00001A51" w:rsidRDefault="00201DD5" w:rsidP="009504E9">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2- الأصل العام أن كل ما تعارف الناس نقديته، يصح برواج التعامل فيه، وقيامه بوظائف النقود، حتى وإن كان رقمياً ليس له كيان، حيث بين الدكتور عبدالناصر بيومي أنه يمكن تعديل صورة المعاملة "بإزالة أسباب المنع والتحريم، كما فعلت ماليزيا وغيرها من الدول، وتنقية العملات الرقمية المشفرة، وإيجاد صيغة إسلامية واضحة ليكون الاقتصاد الإسلامي متقدماً في العالم الغربي، </w:t>
      </w:r>
    </w:p>
    <w:p w14:paraId="3077B10C" w14:textId="77777777" w:rsidR="00327C97" w:rsidRPr="00001A51" w:rsidRDefault="00327C97">
      <w:pPr>
        <w:bidi w:val="0"/>
        <w:spacing w:after="0" w:line="240" w:lineRule="auto"/>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br w:type="page"/>
      </w:r>
    </w:p>
    <w:p w14:paraId="268D5255" w14:textId="235289A8" w:rsidR="00201DD5" w:rsidRPr="00001A51" w:rsidRDefault="00201DD5" w:rsidP="009504E9">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وعرض نموذج لتطبيق معاصر يدل على إمكان التعامل الإيجابي مع العملات المشفرة واسمه كريبتو حلال، خالي من المحاذير الشرعية"</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979"/>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w:t>
      </w:r>
    </w:p>
    <w:p w14:paraId="169C59E7" w14:textId="0B2CD984" w:rsidR="00201DD5" w:rsidRPr="00001A51" w:rsidRDefault="00201DD5" w:rsidP="00201DD5">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ثانياً: تفاوت في الحكم يعود للاجتهاد ومناهجه</w:t>
      </w:r>
      <w:r w:rsidR="00151AED" w:rsidRPr="00001A51">
        <w:rPr>
          <w:rFonts w:ascii="Arabic Transparent" w:hAnsi="Arabic Transparent" w:cs="Arabic Transparent"/>
          <w:b/>
          <w:bCs/>
          <w:sz w:val="28"/>
          <w:szCs w:val="28"/>
          <w:rtl/>
          <w:lang w:bidi="ar-JO"/>
        </w:rPr>
        <w:t xml:space="preserve">: </w:t>
      </w:r>
    </w:p>
    <w:p w14:paraId="0731B04A" w14:textId="1AA530B8" w:rsidR="00201DD5" w:rsidRPr="00001A51" w:rsidRDefault="006D14B6"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hint="cs"/>
          <w:b/>
          <w:bCs/>
          <w:sz w:val="28"/>
          <w:szCs w:val="28"/>
          <w:rtl/>
          <w:lang w:bidi="ar-JO"/>
        </w:rPr>
        <w:t xml:space="preserve">     </w:t>
      </w:r>
      <w:r w:rsidR="00201DD5" w:rsidRPr="00001A51">
        <w:rPr>
          <w:rFonts w:ascii="Arabic Transparent" w:hAnsi="Arabic Transparent" w:cs="Arabic Transparent"/>
          <w:sz w:val="28"/>
          <w:szCs w:val="28"/>
          <w:rtl/>
          <w:lang w:bidi="ar-JO"/>
        </w:rPr>
        <w:t>من التفاوت الذي يؤثر في الحكم ما يعود إلى الاجتهاد ومناهجه، وهو كما يأتي:</w:t>
      </w:r>
    </w:p>
    <w:p w14:paraId="1E525CBF" w14:textId="2C9B9180" w:rsidR="00201DD5" w:rsidRPr="00001A51" w:rsidRDefault="00201DD5" w:rsidP="00190996">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1- ظهر من خلال الفتاوى السابقة أنَّ بعض المجتهدين المعاصرين يفضل الاحتياط وسد الذريعة، وتحريمها تحريم المقاصد، حيث بعد النظر في قضية البتكوين توصل إلى تحريم العملات الرقمية المشفرة جميعها للأخطار الاقتصادية التي تؤدي إليها، بالجانب الآخر ذهب فريق آخر من المتخصصين إلى أن التحريم للوسائل والأسباب المحرمة التي يمكن أن تزول بالصور الجديدة التي تظهر والتي تحتاج إلى نظر وتحقيق مناط خاص مستقل عن حكم النظائر</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980"/>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w:t>
      </w:r>
    </w:p>
    <w:p w14:paraId="58BCBE56" w14:textId="77777777" w:rsidR="00201DD5" w:rsidRPr="00001A51" w:rsidRDefault="00201DD5"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2- إنَّ اعتبار البعض للأوصاف العارضة التي ليس لها علاقة بالحكم، كالتخوّف من آثار هذه العملات الاقتصادية، والشبهات في سواء الاستخدام عن طريق شراء المخدرات وغسيل الأموال والأسواق السوداء، والرد: "إنَّ كلها أوصاف موجودة لم تنشأ مع ظهور هذه العملة فالشر موجود منذ نزول الشيطان على الأرض وأعمال الشرّ لا تقترن بالعملات الرقمية المشفرة"</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981"/>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xml:space="preserve">. </w:t>
      </w:r>
    </w:p>
    <w:p w14:paraId="5BDED6DC" w14:textId="77777777" w:rsidR="00201DD5" w:rsidRPr="00001A51" w:rsidRDefault="00201DD5" w:rsidP="00201DD5">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الفرع الرابع: مراعاة أصول ضبط التفاوت:</w:t>
      </w:r>
    </w:p>
    <w:p w14:paraId="0EE5AC29" w14:textId="2FA0F6CC" w:rsidR="00201DD5" w:rsidRPr="00201DD5" w:rsidRDefault="005D7B91" w:rsidP="00201DD5">
      <w:pPr>
        <w:widowControl w:val="0"/>
        <w:autoSpaceDE w:val="0"/>
        <w:autoSpaceDN w:val="0"/>
        <w:adjustRightInd w:val="0"/>
        <w:spacing w:after="0" w:line="360" w:lineRule="auto"/>
        <w:contextualSpacing/>
        <w:jc w:val="both"/>
        <w:rPr>
          <w:rFonts w:ascii="Arabic Transparent" w:hAnsi="Arabic Transparent" w:cs="Arabic Transparent"/>
          <w:sz w:val="28"/>
          <w:szCs w:val="28"/>
          <w:rtl/>
          <w:lang w:bidi="ar-JO"/>
        </w:rPr>
      </w:pPr>
      <w:r w:rsidRPr="00001A51">
        <w:rPr>
          <w:rFonts w:ascii="Arabic Transparent" w:hAnsi="Arabic Transparent" w:cs="Arabic Transparent"/>
          <w:b/>
          <w:bCs/>
          <w:sz w:val="28"/>
          <w:szCs w:val="28"/>
          <w:rtl/>
          <w:lang w:bidi="ar-JO"/>
        </w:rPr>
        <w:t xml:space="preserve">     </w:t>
      </w:r>
      <w:r w:rsidR="00201DD5" w:rsidRPr="00001A51">
        <w:rPr>
          <w:rFonts w:ascii="Arabic Transparent" w:hAnsi="Arabic Transparent" w:cs="Arabic Transparent"/>
          <w:sz w:val="28"/>
          <w:szCs w:val="28"/>
          <w:rtl/>
          <w:lang w:bidi="ar-JO"/>
        </w:rPr>
        <w:t xml:space="preserve"> </w:t>
      </w:r>
      <w:r w:rsidR="00201DD5" w:rsidRPr="00201DD5">
        <w:rPr>
          <w:rFonts w:ascii="Arabic Transparent" w:hAnsi="Arabic Transparent" w:cs="Arabic Transparent"/>
          <w:sz w:val="28"/>
          <w:szCs w:val="28"/>
          <w:rtl/>
          <w:lang w:bidi="ar-JO"/>
        </w:rPr>
        <w:t>عند مراعاة أصول ضبط التفاوت والتي تساهم في ضبط التفاوت في الحكم الذي ينسب للواقعة أو للاجتهاد، يتبين للباحث ما يأتي:</w:t>
      </w:r>
    </w:p>
    <w:p w14:paraId="15502D1C" w14:textId="77777777" w:rsidR="00327C97" w:rsidRPr="00001A51" w:rsidRDefault="00201DD5" w:rsidP="009504E9">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1- من القواعد التي تضبط التفاوت "الأَصل في المعاملات والعقود والشّروط الصّحّة إلا ما أبطله الشّارع أو نهى عنه"</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982"/>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w:t>
      </w:r>
      <w:r w:rsidR="009504E9" w:rsidRPr="00001A51">
        <w:rPr>
          <w:rFonts w:ascii="Arabic Transparent" w:hAnsi="Arabic Transparent" w:cs="Arabic Transparent" w:hint="cs"/>
          <w:sz w:val="28"/>
          <w:szCs w:val="28"/>
          <w:rtl/>
          <w:lang w:bidi="ar-JO"/>
        </w:rPr>
        <w:t xml:space="preserve"> </w:t>
      </w:r>
      <w:r w:rsidRPr="00001A51">
        <w:rPr>
          <w:rFonts w:ascii="Arabic Transparent" w:hAnsi="Arabic Transparent" w:cs="Arabic Transparent"/>
          <w:sz w:val="28"/>
          <w:szCs w:val="28"/>
          <w:rtl/>
          <w:lang w:bidi="ar-JO"/>
        </w:rPr>
        <w:t xml:space="preserve">والنقود الرقمية والإلكترونية لم يبطلها الشارع، ولم ينه عنها لذا ينبغي الحذر من عدم مراعاة التفاوت الذي يجري للواقعات الحديثة من قبل الإفتاء الفردي، أو الجماعي، </w:t>
      </w:r>
    </w:p>
    <w:p w14:paraId="739E2A86" w14:textId="77777777" w:rsidR="00327C97" w:rsidRPr="00001A51" w:rsidRDefault="00327C97">
      <w:pPr>
        <w:bidi w:val="0"/>
        <w:spacing w:after="0" w:line="240" w:lineRule="auto"/>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br w:type="page"/>
      </w:r>
    </w:p>
    <w:p w14:paraId="7CAD1F41" w14:textId="3FDF4671" w:rsidR="00201DD5" w:rsidRPr="00001A51" w:rsidRDefault="00201DD5" w:rsidP="009504E9">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وكل يلجئ إلى التحريم القاطع لبعض المسائل سداً للذريعة، بالرغم من أن بعض الصور الحديثة أصبحت خالية مما يسد الذريعة له، ولم يتغير حكمها في نظر من حرمها ابتداءً.</w:t>
      </w:r>
    </w:p>
    <w:p w14:paraId="1894FAC0" w14:textId="2E82E3A9" w:rsidR="00201DD5" w:rsidRPr="00001A51" w:rsidRDefault="00201DD5"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2- ومن أصول الضبط التي يجب أن تراعي القاعدة</w:t>
      </w:r>
      <w:r w:rsidR="005D7B91" w:rsidRPr="00001A51">
        <w:rPr>
          <w:rFonts w:ascii="Arabic Transparent" w:hAnsi="Arabic Transparent" w:cs="Arabic Transparent"/>
          <w:sz w:val="28"/>
          <w:szCs w:val="28"/>
          <w:rtl/>
          <w:lang w:bidi="ar-JO"/>
        </w:rPr>
        <w:t xml:space="preserve">: </w:t>
      </w:r>
      <w:r w:rsidRPr="00001A51">
        <w:rPr>
          <w:rFonts w:ascii="Arabic Transparent" w:hAnsi="Arabic Transparent" w:cs="Arabic Transparent"/>
          <w:sz w:val="28"/>
          <w:szCs w:val="28"/>
          <w:rtl/>
          <w:lang w:bidi="ar-JO"/>
        </w:rPr>
        <w:t>"الأصل في المعاملات هو العمل بالظاهر؛ كي لا يضيق الأمر على النّاس"</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983"/>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xml:space="preserve"> فمن يحكم على موضوع من المعاملات المعاصرة بالحرمة مطلقاً فهو يضيق على الناس ما هو واسع، ويغلق باب الاجتهاد الجزئي، بتبرير واحد وأكثر مما يأتي: كسد الذريعة، أو للاحتياط، أو للأثر الاقتصادي السيء، أو التلفيق، أو الحيل والمخارج،</w:t>
      </w:r>
      <w:r w:rsidR="00151AED" w:rsidRPr="00001A51">
        <w:rPr>
          <w:rFonts w:ascii="Arabic Transparent" w:hAnsi="Arabic Transparent" w:cs="Arabic Transparent" w:hint="cs"/>
          <w:sz w:val="28"/>
          <w:szCs w:val="28"/>
          <w:rtl/>
          <w:lang w:bidi="ar-JO"/>
        </w:rPr>
        <w:t xml:space="preserve"> </w:t>
      </w:r>
      <w:r w:rsidRPr="00001A51">
        <w:rPr>
          <w:rFonts w:ascii="Arabic Transparent" w:hAnsi="Arabic Transparent" w:cs="Arabic Transparent"/>
          <w:sz w:val="28"/>
          <w:szCs w:val="28"/>
          <w:rtl/>
          <w:lang w:bidi="ar-JO"/>
        </w:rPr>
        <w:t>أو الباعث الخفي، والتي تناقض أصل التيسير المقرر في معاملات الناس المالية.</w:t>
      </w:r>
    </w:p>
    <w:p w14:paraId="26644E3A" w14:textId="77777777" w:rsidR="00201DD5" w:rsidRPr="00001A51" w:rsidRDefault="00201DD5"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3- يختلف منهج المجتهدين في دراسة الوقائع المعاصرة، فمنهم من يحاول جمع الوقائع تحت قاعدة أو ضابط واحد، فيقضي عليها بالتحريم، أو الإباحة جملة واحدة، ومنهم من يفضل التفصيل </w:t>
      </w:r>
    </w:p>
    <w:p w14:paraId="7119BC91" w14:textId="77777777" w:rsidR="00201DD5" w:rsidRPr="00001A51" w:rsidRDefault="00201DD5"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فيدرس كل قاعدة على حدة؛ لأنه يدرك التفاوت الذي بينها بالقدر والأوصاف ويعرف أنه بعد تحقيق المناط الخاص سوف يخرج بنتائج ليست على نسق واحد، ولا تنضبط بقاعدة واحدة، وهو المنهج الأكثر دقة ومراعاةً لأصول ضبط التفاوت</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984"/>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w:t>
      </w:r>
    </w:p>
    <w:p w14:paraId="0363FB0B" w14:textId="77777777" w:rsidR="00201DD5" w:rsidRPr="00001A51" w:rsidRDefault="00201DD5" w:rsidP="00201DD5">
      <w:pPr>
        <w:spacing w:after="0" w:line="360" w:lineRule="auto"/>
        <w:jc w:val="both"/>
        <w:rPr>
          <w:rFonts w:ascii="Arabic Transparent" w:hAnsi="Arabic Transparent" w:cs="Arabic Transparent"/>
          <w:b/>
          <w:bCs/>
          <w:sz w:val="32"/>
          <w:szCs w:val="32"/>
          <w:rtl/>
          <w:lang w:bidi="ar-JO"/>
        </w:rPr>
      </w:pPr>
      <w:r w:rsidRPr="00001A51">
        <w:rPr>
          <w:rFonts w:ascii="Arabic Transparent" w:hAnsi="Arabic Transparent" w:cs="Arabic Transparent"/>
          <w:b/>
          <w:bCs/>
          <w:sz w:val="32"/>
          <w:szCs w:val="32"/>
          <w:rtl/>
          <w:lang w:bidi="ar-JO"/>
        </w:rPr>
        <w:t>المطلب الثاني: بيوع إسقاط الشحن (</w:t>
      </w:r>
      <w:r w:rsidRPr="00001A51">
        <w:rPr>
          <w:rFonts w:ascii="Arabic Transparent" w:hAnsi="Arabic Transparent" w:cs="Arabic Transparent"/>
          <w:b/>
          <w:bCs/>
          <w:sz w:val="32"/>
          <w:szCs w:val="32"/>
          <w:lang w:bidi="ar-JO"/>
        </w:rPr>
        <w:t>drop shipping</w:t>
      </w:r>
      <w:r w:rsidRPr="00001A51">
        <w:rPr>
          <w:rFonts w:ascii="Arabic Transparent" w:hAnsi="Arabic Transparent" w:cs="Arabic Transparent"/>
          <w:b/>
          <w:bCs/>
          <w:sz w:val="32"/>
          <w:szCs w:val="32"/>
          <w:rtl/>
          <w:lang w:bidi="ar-JO"/>
        </w:rPr>
        <w:t>)</w:t>
      </w:r>
    </w:p>
    <w:p w14:paraId="2DA28BEC" w14:textId="6BA1C823" w:rsidR="00201DD5" w:rsidRPr="00001A51" w:rsidRDefault="005D7B91"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b/>
          <w:bCs/>
          <w:sz w:val="28"/>
          <w:szCs w:val="28"/>
          <w:rtl/>
          <w:lang w:bidi="ar-JO"/>
        </w:rPr>
        <w:t xml:space="preserve">     </w:t>
      </w:r>
      <w:r w:rsidR="00201DD5" w:rsidRPr="00001A51">
        <w:rPr>
          <w:rFonts w:ascii="Arabic Transparent" w:hAnsi="Arabic Transparent" w:cs="Arabic Transparent"/>
          <w:sz w:val="28"/>
          <w:szCs w:val="28"/>
          <w:rtl/>
          <w:lang w:bidi="ar-JO"/>
        </w:rPr>
        <w:t xml:space="preserve">هو نموذج حديث من نماذج التجارة الإلكترونية، والذي يتيح للبائع أن يبيع منتجاته دون الحاجة إلى تخزينها وتحمل تكاليف شحنها، فالبائع منظم يُعتمد عليه في تحويل طلبات الزبائن إلى الموردين؛ مما يقلل التكاليف التشغيليَّة ويسهل عملية البيع، وهي كما يأتي:  </w:t>
      </w:r>
    </w:p>
    <w:p w14:paraId="4FDE95AE" w14:textId="5DE27576" w:rsidR="00201DD5" w:rsidRPr="00001A51" w:rsidRDefault="00201DD5" w:rsidP="00201DD5">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الفرع الأول: حقيقة</w:t>
      </w:r>
      <w:r w:rsidR="005D7B91" w:rsidRPr="00001A51">
        <w:rPr>
          <w:rFonts w:ascii="Arabic Transparent" w:hAnsi="Arabic Transparent" w:cs="Arabic Transparent"/>
          <w:b/>
          <w:bCs/>
          <w:sz w:val="28"/>
          <w:szCs w:val="28"/>
          <w:rtl/>
          <w:lang w:bidi="ar-JO"/>
        </w:rPr>
        <w:t xml:space="preserve">: </w:t>
      </w:r>
      <w:r w:rsidRPr="00001A51">
        <w:rPr>
          <w:rFonts w:ascii="Arabic Transparent" w:hAnsi="Arabic Transparent" w:cs="Arabic Transparent"/>
          <w:b/>
          <w:bCs/>
          <w:sz w:val="28"/>
          <w:szCs w:val="28"/>
          <w:rtl/>
          <w:lang w:bidi="ar-JO"/>
        </w:rPr>
        <w:t>إسقاط الشحن (</w:t>
      </w:r>
      <w:r w:rsidRPr="00001A51">
        <w:rPr>
          <w:rFonts w:ascii="Arabic Transparent" w:hAnsi="Arabic Transparent" w:cs="Arabic Transparent"/>
          <w:b/>
          <w:bCs/>
          <w:sz w:val="28"/>
          <w:szCs w:val="28"/>
          <w:lang w:bidi="ar-JO"/>
        </w:rPr>
        <w:t>drop shipping</w:t>
      </w:r>
      <w:r w:rsidRPr="00001A51">
        <w:rPr>
          <w:rFonts w:ascii="Arabic Transparent" w:hAnsi="Arabic Transparent" w:cs="Arabic Transparent"/>
          <w:b/>
          <w:bCs/>
          <w:sz w:val="28"/>
          <w:szCs w:val="28"/>
          <w:rtl/>
          <w:lang w:bidi="ar-JO"/>
        </w:rPr>
        <w:t xml:space="preserve">): </w:t>
      </w:r>
    </w:p>
    <w:p w14:paraId="7469D74A" w14:textId="3971532F" w:rsidR="00201DD5" w:rsidRPr="00001A51" w:rsidRDefault="005D7B91" w:rsidP="00AE633A">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b/>
          <w:bCs/>
          <w:sz w:val="28"/>
          <w:szCs w:val="28"/>
          <w:rtl/>
          <w:lang w:bidi="ar-JO"/>
        </w:rPr>
        <w:t xml:space="preserve">     </w:t>
      </w:r>
      <w:r w:rsidR="00201DD5" w:rsidRPr="00001A51">
        <w:rPr>
          <w:rFonts w:ascii="Arabic Transparent" w:hAnsi="Arabic Transparent" w:cs="Arabic Transparent"/>
          <w:sz w:val="28"/>
          <w:szCs w:val="28"/>
          <w:rtl/>
          <w:lang w:bidi="ar-JO"/>
        </w:rPr>
        <w:t>يعرف الدروب شيبينج (</w:t>
      </w:r>
      <w:r w:rsidR="00201DD5" w:rsidRPr="00001A51">
        <w:rPr>
          <w:rFonts w:ascii="Arabic Transparent" w:hAnsi="Arabic Transparent" w:cs="Arabic Transparent"/>
          <w:sz w:val="28"/>
          <w:szCs w:val="28"/>
          <w:lang w:bidi="ar-JO"/>
        </w:rPr>
        <w:t>drop shipping</w:t>
      </w:r>
      <w:r w:rsidR="00201DD5" w:rsidRPr="00001A51">
        <w:rPr>
          <w:rFonts w:ascii="Arabic Transparent" w:hAnsi="Arabic Transparent" w:cs="Arabic Transparent"/>
          <w:sz w:val="28"/>
          <w:szCs w:val="28"/>
          <w:rtl/>
          <w:lang w:bidi="ar-JO"/>
        </w:rPr>
        <w:t>) بأنه: "البيع المقترن بشحن البضاعة عبر المورد"</w:t>
      </w:r>
      <w:r w:rsidR="00201DD5" w:rsidRPr="00001A51">
        <w:rPr>
          <w:rFonts w:ascii="Arabic Transparent" w:hAnsi="Arabic Transparent" w:cs="Arabic Transparent"/>
          <w:sz w:val="28"/>
          <w:szCs w:val="28"/>
          <w:vertAlign w:val="superscript"/>
          <w:rtl/>
          <w:lang w:bidi="ar-JO"/>
        </w:rPr>
        <w:t>(</w:t>
      </w:r>
      <w:r w:rsidR="00201DD5" w:rsidRPr="00001A51">
        <w:rPr>
          <w:rFonts w:ascii="Arabic Transparent" w:hAnsi="Arabic Transparent" w:cs="Arabic Transparent"/>
          <w:sz w:val="28"/>
          <w:szCs w:val="28"/>
          <w:vertAlign w:val="superscript"/>
          <w:rtl/>
          <w:lang w:bidi="ar-JO"/>
        </w:rPr>
        <w:footnoteReference w:id="985"/>
      </w:r>
      <w:r w:rsidR="00201DD5" w:rsidRPr="00001A51">
        <w:rPr>
          <w:rFonts w:ascii="Arabic Transparent" w:hAnsi="Arabic Transparent" w:cs="Arabic Transparent"/>
          <w:sz w:val="28"/>
          <w:szCs w:val="28"/>
          <w:vertAlign w:val="superscript"/>
          <w:rtl/>
          <w:lang w:bidi="ar-JO"/>
        </w:rPr>
        <w:t>)</w:t>
      </w:r>
      <w:r w:rsidR="00201DD5" w:rsidRPr="00001A51">
        <w:rPr>
          <w:rFonts w:ascii="Arabic Transparent" w:hAnsi="Arabic Transparent" w:cs="Arabic Transparent"/>
          <w:sz w:val="28"/>
          <w:szCs w:val="28"/>
          <w:rtl/>
          <w:lang w:bidi="ar-JO"/>
        </w:rPr>
        <w:t xml:space="preserve"> مما </w:t>
      </w:r>
      <w:r w:rsidR="00201DD5" w:rsidRPr="00001A51">
        <w:rPr>
          <w:rFonts w:ascii="Arabic Transparent" w:hAnsi="Arabic Transparent" w:cs="Arabic Transparent"/>
          <w:sz w:val="28"/>
          <w:szCs w:val="28"/>
          <w:rtl/>
          <w:lang w:val="en-AE" w:bidi="ar-JO"/>
        </w:rPr>
        <w:t xml:space="preserve">يعني </w:t>
      </w:r>
      <w:r w:rsidR="00201DD5" w:rsidRPr="00001A51">
        <w:rPr>
          <w:rFonts w:ascii="Arabic Transparent" w:hAnsi="Arabic Transparent" w:cs="Arabic Transparent"/>
          <w:sz w:val="28"/>
          <w:szCs w:val="28"/>
          <w:rtl/>
          <w:lang w:bidi="ar-JO"/>
        </w:rPr>
        <w:t>أن البائع لا يحتاج إلى أن يتحمل تكاليف التخزين والنقل.</w:t>
      </w:r>
    </w:p>
    <w:p w14:paraId="404DBA01" w14:textId="77777777" w:rsidR="00327C97" w:rsidRPr="00001A51" w:rsidRDefault="005D7B91"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201DD5" w:rsidRPr="00001A51">
        <w:rPr>
          <w:rFonts w:ascii="Arabic Transparent" w:hAnsi="Arabic Transparent" w:cs="Arabic Transparent"/>
          <w:sz w:val="28"/>
          <w:szCs w:val="28"/>
          <w:rtl/>
          <w:lang w:bidi="ar-JO"/>
        </w:rPr>
        <w:t xml:space="preserve">وتظهر آلية عمل الدروب شيبينج من خلال: "قيام البائع بإعداد متجر إلكتروني، ويعرض به منتجات الموردين بأسعار أعلى مما سوف تقوم عليه، وعند تلقي طلب شراء من العميل، ويقوم </w:t>
      </w:r>
    </w:p>
    <w:p w14:paraId="03B074D9" w14:textId="77777777" w:rsidR="00327C97" w:rsidRPr="00001A51" w:rsidRDefault="00327C97">
      <w:pPr>
        <w:bidi w:val="0"/>
        <w:spacing w:after="0" w:line="240" w:lineRule="auto"/>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br w:type="page"/>
      </w:r>
    </w:p>
    <w:p w14:paraId="1B751B76" w14:textId="00E59C79" w:rsidR="00201DD5" w:rsidRPr="00001A51" w:rsidRDefault="00201DD5"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البائع بتحويل طلبه للمورد، ويطلب منه شحن السلعة مباشرة إلى العميل دون أن يتملكها، والذي يربحه البائع، هو فرق السعر بين السعر الذي أعلن عنه وسعر المورد الأقل"</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986"/>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w:t>
      </w:r>
    </w:p>
    <w:p w14:paraId="76AB2ECB" w14:textId="0ADC486F" w:rsidR="00201DD5" w:rsidRPr="00001A51" w:rsidRDefault="005D7B91"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201DD5" w:rsidRPr="00001A51">
        <w:rPr>
          <w:rFonts w:ascii="Arabic Transparent" w:hAnsi="Arabic Transparent" w:cs="Arabic Transparent"/>
          <w:sz w:val="28"/>
          <w:szCs w:val="28"/>
          <w:rtl/>
          <w:lang w:bidi="ar-JO"/>
        </w:rPr>
        <w:t xml:space="preserve">وصورة صاحب المتجر في تجارته الإلكترونية متغيرة، فلابد من إجراء التكييف الفقهي قبل الحكم على كل صورة من صور البيع في هذا المتجر، وهي كما يأتي: </w:t>
      </w:r>
    </w:p>
    <w:p w14:paraId="202F130A" w14:textId="10D9A62C" w:rsidR="00201DD5" w:rsidRPr="00001A51" w:rsidRDefault="00201DD5" w:rsidP="00201DD5">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الفرع الثاني: فتاوى بيوع إسقاط الشحن عرضاً وتحليلاً</w:t>
      </w:r>
      <w:r w:rsidR="00151AED" w:rsidRPr="00001A51">
        <w:rPr>
          <w:rFonts w:ascii="Arabic Transparent" w:hAnsi="Arabic Transparent" w:cs="Arabic Transparent"/>
          <w:b/>
          <w:bCs/>
          <w:sz w:val="28"/>
          <w:szCs w:val="28"/>
          <w:rtl/>
          <w:lang w:bidi="ar-JO"/>
        </w:rPr>
        <w:t xml:space="preserve">: </w:t>
      </w:r>
    </w:p>
    <w:p w14:paraId="48FA32AF" w14:textId="77777777" w:rsidR="00201DD5" w:rsidRPr="00001A51" w:rsidRDefault="00201DD5" w:rsidP="00201DD5">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 xml:space="preserve">أولاً: فتاوى الإباحة بضوابط: </w:t>
      </w:r>
    </w:p>
    <w:p w14:paraId="41774B6D" w14:textId="4E4AC322" w:rsidR="00201DD5" w:rsidRPr="00001A51" w:rsidRDefault="005D7B91"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b/>
          <w:bCs/>
          <w:sz w:val="28"/>
          <w:szCs w:val="28"/>
          <w:rtl/>
          <w:lang w:bidi="ar-JO"/>
        </w:rPr>
        <w:t xml:space="preserve">    </w:t>
      </w:r>
      <w:r w:rsidR="00201DD5" w:rsidRPr="00001A51">
        <w:rPr>
          <w:rFonts w:ascii="Arabic Transparent" w:hAnsi="Arabic Transparent" w:cs="Arabic Transparent"/>
          <w:sz w:val="28"/>
          <w:szCs w:val="28"/>
          <w:rtl/>
          <w:lang w:bidi="ar-JO"/>
        </w:rPr>
        <w:t xml:space="preserve"> عند الاستقراء تبين أن هناك العديد من صور الدروب شيبينج يختلف الحكم عليها باختلاف صورتها وهي كما يأتي</w:t>
      </w:r>
      <w:r w:rsidR="00201DD5" w:rsidRPr="00001A51">
        <w:rPr>
          <w:rFonts w:ascii="Arabic Transparent" w:hAnsi="Arabic Transparent" w:cs="Arabic Transparent"/>
          <w:sz w:val="28"/>
          <w:szCs w:val="28"/>
          <w:vertAlign w:val="superscript"/>
          <w:rtl/>
          <w:lang w:bidi="ar-JO"/>
        </w:rPr>
        <w:t>(</w:t>
      </w:r>
      <w:r w:rsidR="00201DD5" w:rsidRPr="00001A51">
        <w:rPr>
          <w:rFonts w:ascii="Arabic Transparent" w:hAnsi="Arabic Transparent" w:cs="Arabic Transparent"/>
          <w:sz w:val="28"/>
          <w:szCs w:val="28"/>
          <w:vertAlign w:val="superscript"/>
          <w:rtl/>
          <w:lang w:bidi="ar-JO"/>
        </w:rPr>
        <w:footnoteReference w:id="987"/>
      </w:r>
      <w:r w:rsidR="00201DD5" w:rsidRPr="00001A51">
        <w:rPr>
          <w:rFonts w:ascii="Arabic Transparent" w:hAnsi="Arabic Transparent" w:cs="Arabic Transparent"/>
          <w:sz w:val="28"/>
          <w:szCs w:val="28"/>
          <w:vertAlign w:val="superscript"/>
          <w:rtl/>
          <w:lang w:bidi="ar-JO"/>
        </w:rPr>
        <w:t>)</w:t>
      </w:r>
      <w:r w:rsidR="00201DD5" w:rsidRPr="00001A51">
        <w:rPr>
          <w:rFonts w:ascii="Arabic Transparent" w:hAnsi="Arabic Transparent" w:cs="Arabic Transparent"/>
          <w:sz w:val="28"/>
          <w:szCs w:val="28"/>
          <w:rtl/>
          <w:lang w:bidi="ar-JO"/>
        </w:rPr>
        <w:t xml:space="preserve">: </w:t>
      </w:r>
    </w:p>
    <w:p w14:paraId="18956500" w14:textId="77777777" w:rsidR="00201DD5" w:rsidRPr="00001A51" w:rsidRDefault="00201DD5"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1- أن يكون البائع موكّلاً عن المورّد في بيع منتجاته بأجر، أو وكيلاً عن المشتري بأجر.</w:t>
      </w:r>
    </w:p>
    <w:p w14:paraId="365060A8" w14:textId="77777777" w:rsidR="00201DD5" w:rsidRPr="00001A51" w:rsidRDefault="00201DD5"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2- أن يكون البائع سمساراً بأجر، ووسيطاً في بيع منتجات المورد مقابل جُعل.</w:t>
      </w:r>
    </w:p>
    <w:p w14:paraId="4498D496" w14:textId="77777777" w:rsidR="00201DD5" w:rsidRPr="00001A51" w:rsidRDefault="00201DD5"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3- أن يُجري البائع عقد سلم موصوفاً في الذمة بشرط قبض الثمن معجلاً ليوفرها له، وفي بعض الحالات يكون عقد سلم موازٍ، تحديداً عندما يطلبها البائع من المورد موصوفةً في الذمة.</w:t>
      </w:r>
    </w:p>
    <w:p w14:paraId="36206A3D" w14:textId="77777777" w:rsidR="00201DD5" w:rsidRPr="00001A51" w:rsidRDefault="00201DD5"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4- أن يجري البائع المرابحة للآمر بالشراء، فيشتري لنفسه من المورد ويبيع للمشتري.</w:t>
      </w:r>
    </w:p>
    <w:p w14:paraId="149887A5" w14:textId="3FA3EAF2" w:rsidR="00201DD5" w:rsidRPr="00001A51" w:rsidRDefault="005D7B91"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201DD5" w:rsidRPr="00001A51">
        <w:rPr>
          <w:rFonts w:ascii="Arabic Transparent" w:hAnsi="Arabic Transparent" w:cs="Arabic Transparent"/>
          <w:sz w:val="28"/>
          <w:szCs w:val="28"/>
          <w:rtl/>
          <w:lang w:bidi="ar-JO"/>
        </w:rPr>
        <w:t xml:space="preserve">وفي جميع الصور السابقة تكون السلعة في مخازن المورد والتوصيل على المورد وليس على البائع إلا أن ينظم العملية، ويتفاوت الحكم فيها وفق التكييف الشرعي، ومنهم: </w:t>
      </w:r>
    </w:p>
    <w:p w14:paraId="318FB049" w14:textId="2822FE83" w:rsidR="00327C97" w:rsidRPr="00001A51" w:rsidRDefault="00201DD5" w:rsidP="009504E9">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فتوى دائرة الإفتاء الأردنية</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988"/>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w:t>
      </w:r>
      <w:r w:rsidR="009504E9" w:rsidRPr="00001A51">
        <w:rPr>
          <w:rFonts w:ascii="Arabic Transparent" w:hAnsi="Arabic Transparent" w:cs="Arabic Transparent" w:hint="cs"/>
          <w:sz w:val="28"/>
          <w:szCs w:val="28"/>
          <w:rtl/>
          <w:lang w:bidi="ar-JO"/>
        </w:rPr>
        <w:t xml:space="preserve"> </w:t>
      </w:r>
      <w:r w:rsidRPr="00001A51">
        <w:rPr>
          <w:rFonts w:ascii="Arabic Transparent" w:hAnsi="Arabic Transparent" w:cs="Arabic Transparent"/>
          <w:sz w:val="28"/>
          <w:szCs w:val="28"/>
          <w:rtl/>
          <w:lang w:bidi="ar-JO"/>
        </w:rPr>
        <w:t>وفتوى دار الإفتاء المصرية</w:t>
      </w:r>
      <w:r w:rsidRPr="00001A51">
        <w:rPr>
          <w:rFonts w:ascii="Arabic Transparent" w:hAnsi="Arabic Transparent" w:cs="Arabic Transparent"/>
          <w:sz w:val="28"/>
          <w:szCs w:val="28"/>
          <w:vertAlign w:val="superscript"/>
          <w:rtl/>
          <w:lang w:bidi="ar-JO"/>
        </w:rPr>
        <w:t xml:space="preserve"> (</w:t>
      </w:r>
      <w:r w:rsidRPr="00001A51">
        <w:rPr>
          <w:rFonts w:ascii="Arabic Transparent" w:hAnsi="Arabic Transparent" w:cs="Arabic Transparent"/>
          <w:sz w:val="28"/>
          <w:szCs w:val="28"/>
          <w:vertAlign w:val="superscript"/>
          <w:rtl/>
          <w:lang w:bidi="ar-JO"/>
        </w:rPr>
        <w:footnoteReference w:id="989"/>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w:t>
      </w:r>
    </w:p>
    <w:p w14:paraId="618AB7FC" w14:textId="77777777" w:rsidR="00327C97" w:rsidRPr="00001A51" w:rsidRDefault="00327C97">
      <w:pPr>
        <w:bidi w:val="0"/>
        <w:spacing w:after="0" w:line="240" w:lineRule="auto"/>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br w:type="page"/>
      </w:r>
    </w:p>
    <w:p w14:paraId="706A9E55" w14:textId="77777777" w:rsidR="00201DD5" w:rsidRPr="00001A51" w:rsidRDefault="00201DD5" w:rsidP="00201DD5">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 xml:space="preserve">ثانياً: فتاوى التحريم: </w:t>
      </w:r>
    </w:p>
    <w:p w14:paraId="45491D76" w14:textId="0DA26DE1" w:rsidR="00201DD5" w:rsidRPr="00001A51" w:rsidRDefault="006D14B6"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hint="cs"/>
          <w:sz w:val="28"/>
          <w:szCs w:val="28"/>
          <w:rtl/>
          <w:lang w:bidi="ar-JO"/>
        </w:rPr>
        <w:t xml:space="preserve">   </w:t>
      </w:r>
      <w:r w:rsidR="00201DD5" w:rsidRPr="00001A51">
        <w:rPr>
          <w:rFonts w:ascii="Arabic Transparent" w:hAnsi="Arabic Transparent" w:cs="Arabic Transparent"/>
          <w:sz w:val="28"/>
          <w:szCs w:val="28"/>
          <w:rtl/>
          <w:lang w:bidi="ar-JO"/>
        </w:rPr>
        <w:t xml:space="preserve">  يذهب بعض المجتهدين إلى تحريم الصورة التالية: وهي "قيام البائع بإعداد متجر إلكتروني ويعرض به منتجات الموردين بأسعار أعلى مما سوف تقوم عليه، وعند تلقي طلب شراء من العميل، يقوم البائع بتحويل طلبه للمورد ويطلب منه شحن السلعة مباشرة إلى العميل دون أن يتملكها، وهنا يدخل في عموم بيع ما لا يملك، وبيع المعدوم"</w:t>
      </w:r>
      <w:r w:rsidR="00201DD5" w:rsidRPr="00001A51">
        <w:rPr>
          <w:rFonts w:ascii="Arabic Transparent" w:hAnsi="Arabic Transparent" w:cs="Arabic Transparent"/>
          <w:sz w:val="28"/>
          <w:szCs w:val="28"/>
          <w:vertAlign w:val="superscript"/>
          <w:rtl/>
          <w:lang w:bidi="ar-JO"/>
        </w:rPr>
        <w:t>(</w:t>
      </w:r>
      <w:r w:rsidR="00201DD5" w:rsidRPr="00001A51">
        <w:rPr>
          <w:rFonts w:ascii="Arabic Transparent" w:hAnsi="Arabic Transparent" w:cs="Arabic Transparent"/>
          <w:sz w:val="28"/>
          <w:szCs w:val="28"/>
          <w:vertAlign w:val="superscript"/>
          <w:rtl/>
          <w:lang w:bidi="ar-JO"/>
        </w:rPr>
        <w:footnoteReference w:id="990"/>
      </w:r>
      <w:r w:rsidR="00201DD5" w:rsidRPr="00001A51">
        <w:rPr>
          <w:rFonts w:ascii="Arabic Transparent" w:hAnsi="Arabic Transparent" w:cs="Arabic Transparent"/>
          <w:sz w:val="28"/>
          <w:szCs w:val="28"/>
          <w:vertAlign w:val="superscript"/>
          <w:rtl/>
          <w:lang w:bidi="ar-JO"/>
        </w:rPr>
        <w:t>)</w:t>
      </w:r>
      <w:r w:rsidR="00201DD5" w:rsidRPr="00001A51">
        <w:rPr>
          <w:rFonts w:ascii="Arabic Transparent" w:hAnsi="Arabic Transparent" w:cs="Arabic Transparent"/>
          <w:sz w:val="28"/>
          <w:szCs w:val="28"/>
          <w:rtl/>
          <w:lang w:bidi="ar-JO"/>
        </w:rPr>
        <w:t>، ومن القائلين بالتحريم</w:t>
      </w:r>
      <w:r w:rsidR="005D7B91" w:rsidRPr="00001A51">
        <w:rPr>
          <w:rFonts w:ascii="Arabic Transparent" w:hAnsi="Arabic Transparent" w:cs="Arabic Transparent"/>
          <w:sz w:val="28"/>
          <w:szCs w:val="28"/>
          <w:rtl/>
          <w:lang w:bidi="ar-JO"/>
        </w:rPr>
        <w:t xml:space="preserve">: </w:t>
      </w:r>
    </w:p>
    <w:p w14:paraId="02319391" w14:textId="74A58642" w:rsidR="00201DD5" w:rsidRPr="00001A51" w:rsidRDefault="00201DD5" w:rsidP="00190996">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فتوى صادرة عن كلية الشريعة لجامعة النجاح الوطنية</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991"/>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ودار الإفتاء الليبية</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992"/>
      </w:r>
      <w:r w:rsidRPr="00001A51">
        <w:rPr>
          <w:rFonts w:ascii="Arabic Transparent" w:hAnsi="Arabic Transparent" w:cs="Arabic Transparent"/>
          <w:sz w:val="28"/>
          <w:szCs w:val="28"/>
          <w:vertAlign w:val="superscript"/>
          <w:rtl/>
          <w:lang w:bidi="ar-JO"/>
        </w:rPr>
        <w:t>)</w:t>
      </w:r>
      <w:r w:rsidR="00190996" w:rsidRPr="00001A51">
        <w:rPr>
          <w:rFonts w:ascii="Arabic Transparent" w:hAnsi="Arabic Transparent" w:cs="Arabic Transparent" w:hint="cs"/>
          <w:sz w:val="28"/>
          <w:szCs w:val="28"/>
          <w:rtl/>
          <w:lang w:bidi="ar-JO"/>
        </w:rPr>
        <w:t>،</w:t>
      </w:r>
      <w:r w:rsidRPr="00001A51">
        <w:rPr>
          <w:rFonts w:ascii="Arabic Transparent" w:hAnsi="Arabic Transparent" w:cs="Arabic Transparent"/>
          <w:sz w:val="28"/>
          <w:szCs w:val="28"/>
          <w:rtl/>
          <w:lang w:bidi="ar-JO"/>
        </w:rPr>
        <w:t>وقرار منتدى الاقتصاد الإسلامي</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993"/>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w:t>
      </w:r>
    </w:p>
    <w:p w14:paraId="42F6D3CE" w14:textId="77777777" w:rsidR="00201DD5" w:rsidRPr="00001A51" w:rsidRDefault="00201DD5" w:rsidP="00201DD5">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ثالثاً: تحليل الفتاوى السابقة وتنقيح المناط العام:</w:t>
      </w:r>
    </w:p>
    <w:p w14:paraId="2F255878" w14:textId="409EF133" w:rsidR="00201DD5" w:rsidRPr="00001A51" w:rsidRDefault="005D7B91" w:rsidP="00AE633A">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201DD5" w:rsidRPr="00001A51">
        <w:rPr>
          <w:rFonts w:ascii="Arabic Transparent" w:hAnsi="Arabic Transparent" w:cs="Arabic Transparent"/>
          <w:sz w:val="28"/>
          <w:szCs w:val="28"/>
          <w:rtl/>
          <w:lang w:bidi="ar-JO"/>
        </w:rPr>
        <w:t>بعد عرض الفتاوى السابقة، يتبين أن محل النزاع ليس في الاسم التجاري للمعاملات، وليس في الدليل الكلي، وليس في كون العقد يجرى على شبكة الإنترنت عن بعد، فعند إمعان النظر في فتاوى المحرمين يجد الباحث أنها تنص على أوصاف محرمة، مثل: بيع الإنسان ما لا يملك، وهو في البيع قبل القبض، وهو نوع من بيوع الغرر المحرمة في الإسلام</w:t>
      </w:r>
      <w:r w:rsidR="00201DD5" w:rsidRPr="00001A51">
        <w:rPr>
          <w:rFonts w:ascii="Arabic Transparent" w:hAnsi="Arabic Transparent" w:cs="Arabic Transparent"/>
          <w:sz w:val="28"/>
          <w:szCs w:val="28"/>
          <w:vertAlign w:val="superscript"/>
          <w:rtl/>
          <w:lang w:bidi="ar-JO"/>
        </w:rPr>
        <w:t>(</w:t>
      </w:r>
      <w:r w:rsidR="00201DD5" w:rsidRPr="00001A51">
        <w:rPr>
          <w:rFonts w:ascii="Arabic Transparent" w:hAnsi="Arabic Transparent" w:cs="Arabic Transparent"/>
          <w:sz w:val="28"/>
          <w:szCs w:val="28"/>
          <w:vertAlign w:val="superscript"/>
          <w:rtl/>
          <w:lang w:bidi="ar-JO"/>
        </w:rPr>
        <w:footnoteReference w:id="994"/>
      </w:r>
      <w:r w:rsidR="00201DD5" w:rsidRPr="00001A51">
        <w:rPr>
          <w:rFonts w:ascii="Arabic Transparent" w:hAnsi="Arabic Transparent" w:cs="Arabic Transparent"/>
          <w:sz w:val="28"/>
          <w:szCs w:val="28"/>
          <w:vertAlign w:val="superscript"/>
          <w:rtl/>
          <w:lang w:bidi="ar-JO"/>
        </w:rPr>
        <w:t>)</w:t>
      </w:r>
      <w:r w:rsidR="00201DD5" w:rsidRPr="00001A51">
        <w:rPr>
          <w:rFonts w:ascii="Arabic Transparent" w:hAnsi="Arabic Transparent" w:cs="Arabic Transparent"/>
          <w:sz w:val="28"/>
          <w:szCs w:val="28"/>
          <w:rtl/>
          <w:lang w:bidi="ar-JO"/>
        </w:rPr>
        <w:t>.</w:t>
      </w:r>
    </w:p>
    <w:p w14:paraId="46BFB202" w14:textId="2819E4D7" w:rsidR="00201DD5" w:rsidRPr="00001A51" w:rsidRDefault="005D7B91"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201DD5" w:rsidRPr="00001A51">
        <w:rPr>
          <w:rFonts w:ascii="Arabic Transparent" w:hAnsi="Arabic Transparent" w:cs="Arabic Transparent"/>
          <w:sz w:val="28"/>
          <w:szCs w:val="28"/>
          <w:rtl/>
          <w:lang w:bidi="ar-JO"/>
        </w:rPr>
        <w:t>ونجد أن بعض الفتاوى، مثل: قرار منتدى الاقتصاد نصت على صورة الدروب شوبينج الحقيقية والتي عرفت من المتاجر الغربية والتي تحوي على بعض المخالفات مثل بيع ما لا تملك، وعدم التزام شروط الصرف عند بيع الأثمان، مع وجود الجهالة والغرر عند التسليم للمشتري، بيد أنها لا تذكر الصور الأخرى الجائزة وتتحدث عنها.</w:t>
      </w:r>
    </w:p>
    <w:p w14:paraId="0CFE8405" w14:textId="77777777" w:rsidR="00327C97" w:rsidRPr="00001A51" w:rsidRDefault="00201DD5" w:rsidP="00327C97">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lastRenderedPageBreak/>
        <w:t xml:space="preserve"> </w:t>
      </w:r>
      <w:r w:rsidR="006D14B6" w:rsidRPr="00001A51">
        <w:rPr>
          <w:rFonts w:ascii="Arabic Transparent" w:hAnsi="Arabic Transparent" w:cs="Arabic Transparent" w:hint="cs"/>
          <w:sz w:val="28"/>
          <w:szCs w:val="28"/>
          <w:rtl/>
          <w:lang w:bidi="ar-JO"/>
        </w:rPr>
        <w:t xml:space="preserve">   </w:t>
      </w:r>
      <w:r w:rsidRPr="00001A51">
        <w:rPr>
          <w:rFonts w:ascii="Arabic Transparent" w:hAnsi="Arabic Transparent" w:cs="Arabic Transparent"/>
          <w:sz w:val="28"/>
          <w:szCs w:val="28"/>
          <w:rtl/>
          <w:lang w:bidi="ar-JO"/>
        </w:rPr>
        <w:t xml:space="preserve"> وأما دائرة الإفتاء المصرية، فانطلقت من أصل الإباحة في العقود والشروط، وأجازت عقود الدروب شوبينج بشروط وضوابط، مع انتفاء الغرر ورفع الجهالة مع الالتزام باللوائح والأنظمة </w:t>
      </w:r>
    </w:p>
    <w:p w14:paraId="08057B03" w14:textId="77777777" w:rsidR="00327C97" w:rsidRPr="00001A51" w:rsidRDefault="00327C97">
      <w:pPr>
        <w:bidi w:val="0"/>
        <w:spacing w:after="0" w:line="240" w:lineRule="auto"/>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br w:type="page"/>
      </w:r>
    </w:p>
    <w:p w14:paraId="33A7DAEA" w14:textId="554CE1A1" w:rsidR="00327C97" w:rsidRPr="00001A51" w:rsidRDefault="00201DD5" w:rsidP="00327C97">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والتعليمات التي تنظم التجارة الإلكترونية في البلاد الإسلامية، وطريقة الاجتهاد لم تعمد فيها على استقراء صور محددة وحالات معينة، وإنما انطلاقا من الإباحة الأصلية التي تتبع لها العقود</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995"/>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w:t>
      </w:r>
    </w:p>
    <w:p w14:paraId="5FCD4C8E" w14:textId="60E684C6" w:rsidR="00201DD5" w:rsidRPr="00001A51" w:rsidRDefault="005D7B91" w:rsidP="00190996">
      <w:pPr>
        <w:spacing w:after="0" w:line="360" w:lineRule="auto"/>
        <w:jc w:val="both"/>
        <w:rPr>
          <w:rFonts w:ascii="Arabic Transparent" w:hAnsi="Arabic Transparent" w:cs="Arabic Transparent"/>
          <w:sz w:val="28"/>
          <w:szCs w:val="28"/>
          <w:vertAlign w:val="superscript"/>
          <w:rtl/>
          <w:lang w:bidi="ar-JO"/>
        </w:rPr>
      </w:pPr>
      <w:r w:rsidRPr="00001A51">
        <w:rPr>
          <w:rFonts w:ascii="Arabic Transparent" w:hAnsi="Arabic Transparent" w:cs="Arabic Transparent"/>
          <w:sz w:val="28"/>
          <w:szCs w:val="28"/>
          <w:rtl/>
          <w:lang w:bidi="ar-JO"/>
        </w:rPr>
        <w:t xml:space="preserve">     </w:t>
      </w:r>
      <w:r w:rsidR="00201DD5" w:rsidRPr="00001A51">
        <w:rPr>
          <w:rFonts w:ascii="Arabic Transparent" w:hAnsi="Arabic Transparent" w:cs="Arabic Transparent"/>
          <w:sz w:val="28"/>
          <w:szCs w:val="28"/>
          <w:rtl/>
          <w:lang w:bidi="ar-JO"/>
        </w:rPr>
        <w:t>وفتوى دار الإفتاء الأردنية التي حرصت على تحقيق المناط الخاص في أربع صور حيث بينت أن هناك تفاوتاً بين صور عقود الدروب شوبينج والتي يختلف الحكم عليها وفق صورتها التي تحتوي على أوصاف مؤثرة في التحريم أو الإباحة، لذلك أوصت بدراسة جميع المسائل المتعلقة بهذه التجارات بالنظر الخاص وليس من منظور عام</w:t>
      </w:r>
      <w:r w:rsidR="00201DD5" w:rsidRPr="00001A51">
        <w:rPr>
          <w:rFonts w:ascii="Arabic Transparent" w:hAnsi="Arabic Transparent" w:cs="Arabic Transparent"/>
          <w:sz w:val="28"/>
          <w:szCs w:val="28"/>
          <w:vertAlign w:val="superscript"/>
          <w:rtl/>
          <w:lang w:bidi="ar-JO"/>
        </w:rPr>
        <w:t>(</w:t>
      </w:r>
      <w:r w:rsidR="00201DD5" w:rsidRPr="00001A51">
        <w:rPr>
          <w:rFonts w:ascii="Arabic Transparent" w:hAnsi="Arabic Transparent" w:cs="Arabic Transparent"/>
          <w:sz w:val="28"/>
          <w:szCs w:val="28"/>
          <w:vertAlign w:val="superscript"/>
          <w:rtl/>
          <w:lang w:bidi="ar-JO"/>
        </w:rPr>
        <w:footnoteReference w:id="996"/>
      </w:r>
      <w:r w:rsidR="00201DD5" w:rsidRPr="00001A51">
        <w:rPr>
          <w:rFonts w:ascii="Arabic Transparent" w:hAnsi="Arabic Transparent" w:cs="Arabic Transparent"/>
          <w:sz w:val="28"/>
          <w:szCs w:val="28"/>
          <w:vertAlign w:val="superscript"/>
          <w:rtl/>
          <w:lang w:bidi="ar-JO"/>
        </w:rPr>
        <w:t>)</w:t>
      </w:r>
      <w:r w:rsidR="00201DD5" w:rsidRPr="00001A51">
        <w:rPr>
          <w:rFonts w:ascii="Arabic Transparent" w:hAnsi="Arabic Transparent" w:cs="Arabic Transparent"/>
          <w:sz w:val="28"/>
          <w:szCs w:val="28"/>
          <w:rtl/>
          <w:lang w:bidi="ar-JO"/>
        </w:rPr>
        <w:t>.</w:t>
      </w:r>
    </w:p>
    <w:p w14:paraId="1D7AB388" w14:textId="5CF6897A" w:rsidR="00AE633A" w:rsidRPr="00001A51" w:rsidRDefault="005D7B91" w:rsidP="009504E9">
      <w:pPr>
        <w:spacing w:after="0" w:line="360" w:lineRule="auto"/>
        <w:jc w:val="both"/>
        <w:rPr>
          <w:rFonts w:ascii="Arabic Transparent" w:hAnsi="Arabic Transparent" w:cs="Arabic Transparent"/>
          <w:sz w:val="28"/>
          <w:szCs w:val="28"/>
          <w:lang w:bidi="ar-JO"/>
        </w:rPr>
      </w:pPr>
      <w:r w:rsidRPr="00001A51">
        <w:rPr>
          <w:rFonts w:ascii="Arabic Transparent" w:hAnsi="Arabic Transparent" w:cs="Arabic Transparent"/>
          <w:sz w:val="28"/>
          <w:szCs w:val="28"/>
          <w:rtl/>
          <w:lang w:bidi="ar-JO"/>
        </w:rPr>
        <w:t xml:space="preserve">     </w:t>
      </w:r>
      <w:r w:rsidR="00201DD5" w:rsidRPr="00001A51">
        <w:rPr>
          <w:rFonts w:ascii="Arabic Transparent" w:hAnsi="Arabic Transparent" w:cs="Arabic Transparent"/>
          <w:sz w:val="28"/>
          <w:szCs w:val="28"/>
          <w:rtl/>
          <w:lang w:bidi="ar-JO"/>
        </w:rPr>
        <w:t>وبعد تنقيح المناط وإزالة الأوصاف العارضة، يتبين أنَّ أصل المعاملة الإباحة كما ذهبت لذلك دار الإفتاء المصري، فإنَّ المعاملة لها العديد من النظائر المباحة، فإن خلت من الأسباب المحرمة كان حكمها الإباحة، تخريخاً على الإباحة الأصلية للعقد، واليوم مع اتساع العالم ووجود العرف التجاري، فإنَّ العديد من التجار في الأسواق يستعملون عقد الوكالة عرفاً، فإذا جاء المشتري ولم يجد عنده السلعة يأخذ البائع من جاره السلعة، ويبيع المشتري مالا يملك، وتكفي الوكالة التي تكون بين التاجر وجاره ضمناً على جواز المعاملة المالية.</w:t>
      </w:r>
    </w:p>
    <w:p w14:paraId="06090103" w14:textId="77777777" w:rsidR="00201DD5" w:rsidRPr="00001A51" w:rsidRDefault="00201DD5" w:rsidP="00201DD5">
      <w:pPr>
        <w:spacing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الفرع الثالث: وجه التفاوت في تحقيق المناط الخاص:</w:t>
      </w:r>
    </w:p>
    <w:p w14:paraId="22788F8E" w14:textId="42CCF1FC" w:rsidR="00201DD5" w:rsidRPr="00001A51" w:rsidRDefault="005D7B91" w:rsidP="00201DD5">
      <w:pPr>
        <w:spacing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sz w:val="28"/>
          <w:szCs w:val="28"/>
          <w:rtl/>
          <w:lang w:bidi="ar-JO"/>
        </w:rPr>
        <w:t xml:space="preserve">     </w:t>
      </w:r>
      <w:r w:rsidR="00201DD5" w:rsidRPr="00001A51">
        <w:rPr>
          <w:rFonts w:ascii="Arabic Transparent" w:hAnsi="Arabic Transparent" w:cs="Arabic Transparent"/>
          <w:sz w:val="28"/>
          <w:szCs w:val="28"/>
          <w:rtl/>
          <w:lang w:bidi="ar-JO"/>
        </w:rPr>
        <w:t>عند تحري التفاوت في هذه الواقعة الذي يعود إلى الصور التطبيقية المتنوعة، وإلى تقدير المجتهد ومنهجه في معالجة القضايا المالية المعاصرة، وهي كما يأتي:</w:t>
      </w:r>
      <w:r w:rsidR="00201DD5" w:rsidRPr="00001A51">
        <w:rPr>
          <w:rFonts w:ascii="Arabic Transparent" w:hAnsi="Arabic Transparent" w:cs="Arabic Transparent"/>
          <w:b/>
          <w:bCs/>
          <w:sz w:val="28"/>
          <w:szCs w:val="28"/>
          <w:rtl/>
          <w:lang w:bidi="ar-JO"/>
        </w:rPr>
        <w:t xml:space="preserve"> </w:t>
      </w:r>
    </w:p>
    <w:p w14:paraId="49C7153A" w14:textId="77777777" w:rsidR="00201DD5" w:rsidRPr="00001A51" w:rsidRDefault="00201DD5" w:rsidP="00201DD5">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أولاً: تفاوت في الحكم يعود للواقعة:</w:t>
      </w:r>
    </w:p>
    <w:p w14:paraId="758635DF" w14:textId="27B02D2F" w:rsidR="00201DD5" w:rsidRPr="00001A51" w:rsidRDefault="005D7B91"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b/>
          <w:bCs/>
          <w:sz w:val="28"/>
          <w:szCs w:val="28"/>
          <w:rtl/>
          <w:lang w:bidi="ar-JO"/>
        </w:rPr>
        <w:t xml:space="preserve">     </w:t>
      </w:r>
      <w:r w:rsidR="00201DD5" w:rsidRPr="00001A51">
        <w:rPr>
          <w:rFonts w:ascii="Arabic Transparent" w:hAnsi="Arabic Transparent" w:cs="Arabic Transparent"/>
          <w:sz w:val="28"/>
          <w:szCs w:val="28"/>
          <w:rtl/>
          <w:lang w:bidi="ar-JO"/>
        </w:rPr>
        <w:t>من التفاوت الذي يؤثر في الحكم ما يعود إلى الواقعة، كما يأتي:</w:t>
      </w:r>
    </w:p>
    <w:p w14:paraId="38CDAA1E" w14:textId="6D082014" w:rsidR="00327C97" w:rsidRPr="00001A51" w:rsidRDefault="00201DD5"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1- تنوع متاجر التجارة الإلكترونية التي تتعامل بطريقة الدروب شوبينج والتي تختلف فيها طريقة المعاملة وترتيبات العقد، وأدى هذا التفاوت إلى اختلاف الحكم عند تحقيق المناط في بعض الصور الخاصة التي يتحقق فيها التملك، أو الوكالة عن المالك، أو إمكان التسليم كما في بيع السلم</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997"/>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w:t>
      </w:r>
    </w:p>
    <w:p w14:paraId="6BC37EFC" w14:textId="77777777" w:rsidR="00327C97" w:rsidRPr="00001A51" w:rsidRDefault="00327C97">
      <w:pPr>
        <w:bidi w:val="0"/>
        <w:spacing w:after="0" w:line="240" w:lineRule="auto"/>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lastRenderedPageBreak/>
        <w:br w:type="page"/>
      </w:r>
    </w:p>
    <w:p w14:paraId="45040F59" w14:textId="75757A7F" w:rsidR="00201DD5" w:rsidRPr="00001A51" w:rsidRDefault="00201DD5" w:rsidP="00327C97">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2-تفاوت أوصاف الواقعة المؤثرة يؤدي إلى عدم استقرار الحكم على وجه الإباحة، أو على وجه التحريم، وإنما التنقل بين وجه الإباحة إلى التحريم والعكس وهذا من الطبيعي في </w:t>
      </w:r>
      <w:r w:rsidR="0067036C" w:rsidRPr="00001A51">
        <w:rPr>
          <w:rFonts w:ascii="Arabic Transparent" w:hAnsi="Arabic Transparent" w:cs="Arabic Transparent" w:hint="cs"/>
          <w:sz w:val="28"/>
          <w:szCs w:val="28"/>
          <w:rtl/>
          <w:lang w:bidi="ar-JO"/>
        </w:rPr>
        <w:t>الوقائع</w:t>
      </w:r>
      <w:r w:rsidRPr="00001A51">
        <w:rPr>
          <w:rFonts w:ascii="Arabic Transparent" w:hAnsi="Arabic Transparent" w:cs="Arabic Transparent"/>
          <w:sz w:val="28"/>
          <w:szCs w:val="28"/>
          <w:rtl/>
          <w:lang w:bidi="ar-JO"/>
        </w:rPr>
        <w:t>، ومن غير الطبيعي الجزم بأن حكم جميع صور الدروب شوبينج على الإباحة مطلقاً، أو على التحريم مطلقاً، دون التفصيل والنظر في كل حالة على حدة، فيحرم تحريم وسائل، أو أسباب، أو شروط، "فما دام مقتضى التحريم موجوداً فلا يمكن أن يزول المقتضي"</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998"/>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وإذا زال عاد الحكم للإباحة الأصلية.</w:t>
      </w:r>
    </w:p>
    <w:p w14:paraId="5636D7F4" w14:textId="2F66F18D" w:rsidR="00190996" w:rsidRPr="00001A51" w:rsidRDefault="00201DD5" w:rsidP="009504E9">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sz w:val="28"/>
          <w:szCs w:val="28"/>
          <w:rtl/>
          <w:lang w:bidi="ar-JO"/>
        </w:rPr>
        <w:t>3- إنَّ اختلاف الأعراف والمآلات والملابسات يجعل من الطبيعي أن يتغير الحكم على الواقعة دون إطلاق حكم عام على جميع صورها، فإنَّ الحكم الذي يطلقه الفقيه بالنظر إلى حقيقة المآل، يقول ابن دقيق</w:t>
      </w:r>
      <w:r w:rsidR="005D7B91" w:rsidRPr="00001A51">
        <w:rPr>
          <w:rFonts w:ascii="Arabic Transparent" w:hAnsi="Arabic Transparent" w:cs="Arabic Transparent"/>
          <w:sz w:val="28"/>
          <w:szCs w:val="28"/>
          <w:rtl/>
          <w:lang w:bidi="ar-JO"/>
        </w:rPr>
        <w:t xml:space="preserve">: </w:t>
      </w:r>
      <w:r w:rsidRPr="00001A51">
        <w:rPr>
          <w:rFonts w:ascii="Arabic Transparent" w:hAnsi="Arabic Transparent" w:cs="Arabic Transparent"/>
          <w:sz w:val="28"/>
          <w:szCs w:val="28"/>
          <w:rtl/>
          <w:lang w:bidi="ar-JO"/>
        </w:rPr>
        <w:t>"إن عادة الفقهاء في ‌إطلاق ‌الحكم ‌بالنظر ‌إلى ‌الحقيقة من غير التفاتٍ إلى الأحوال العارضة"</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999"/>
      </w:r>
      <w:r w:rsidRPr="00001A51">
        <w:rPr>
          <w:rFonts w:ascii="Arabic Transparent" w:hAnsi="Arabic Transparent" w:cs="Arabic Transparent"/>
          <w:sz w:val="28"/>
          <w:szCs w:val="28"/>
          <w:vertAlign w:val="superscript"/>
          <w:rtl/>
          <w:lang w:bidi="ar-JO"/>
        </w:rPr>
        <w:t xml:space="preserve">) </w:t>
      </w:r>
      <w:r w:rsidRPr="00001A51">
        <w:rPr>
          <w:rFonts w:ascii="Arabic Transparent" w:hAnsi="Arabic Transparent" w:cs="Arabic Transparent"/>
          <w:sz w:val="28"/>
          <w:szCs w:val="28"/>
          <w:rtl/>
          <w:lang w:bidi="ar-JO"/>
        </w:rPr>
        <w:t>فالأصل في حكم عمل البائع الإباحة وقد يعرض له ما يوجب تحريمه ومنعه من الأسباب المحرمة.</w:t>
      </w:r>
    </w:p>
    <w:p w14:paraId="37FF34E3" w14:textId="77777777" w:rsidR="00201DD5" w:rsidRPr="00001A51" w:rsidRDefault="00201DD5" w:rsidP="00201DD5">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ثانياً: تفاوت في الحكم يعود للاجتهاد ومناهجه:</w:t>
      </w:r>
    </w:p>
    <w:p w14:paraId="549CCA78" w14:textId="03DF33C4" w:rsidR="00201DD5" w:rsidRPr="00001A51" w:rsidRDefault="006D14B6"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hint="cs"/>
          <w:sz w:val="28"/>
          <w:szCs w:val="28"/>
          <w:rtl/>
          <w:lang w:bidi="ar-JO"/>
        </w:rPr>
        <w:t xml:space="preserve">    </w:t>
      </w:r>
      <w:r w:rsidR="005D7B91" w:rsidRPr="00001A51">
        <w:rPr>
          <w:rFonts w:ascii="Arabic Transparent" w:hAnsi="Arabic Transparent" w:cs="Arabic Transparent"/>
          <w:sz w:val="28"/>
          <w:szCs w:val="28"/>
          <w:rtl/>
          <w:lang w:bidi="ar-JO"/>
        </w:rPr>
        <w:t xml:space="preserve"> </w:t>
      </w:r>
      <w:r w:rsidR="00201DD5" w:rsidRPr="00001A51">
        <w:rPr>
          <w:rFonts w:ascii="Arabic Transparent" w:hAnsi="Arabic Transparent" w:cs="Arabic Transparent"/>
          <w:sz w:val="28"/>
          <w:szCs w:val="28"/>
          <w:rtl/>
          <w:lang w:bidi="ar-JO"/>
        </w:rPr>
        <w:t>من التفاوت الذي يؤثر في الحكم ما يعود إلى الاجتهاد ومناهجه، وهو كما يأتي:</w:t>
      </w:r>
    </w:p>
    <w:p w14:paraId="2AD21D3A" w14:textId="139AE6CA" w:rsidR="00327C97" w:rsidRPr="00001A51" w:rsidRDefault="00201DD5" w:rsidP="00190996">
      <w:pPr>
        <w:spacing w:after="0" w:line="360" w:lineRule="auto"/>
        <w:jc w:val="both"/>
        <w:rPr>
          <w:rFonts w:ascii="Arabic Transparent" w:hAnsi="Arabic Transparent" w:cs="Arabic Transparent"/>
          <w:sz w:val="28"/>
          <w:szCs w:val="28"/>
          <w:rtl/>
          <w:lang w:val="en-AE" w:bidi="ar-JO"/>
        </w:rPr>
      </w:pPr>
      <w:r w:rsidRPr="00001A51">
        <w:rPr>
          <w:rFonts w:ascii="Arabic Transparent" w:hAnsi="Arabic Transparent" w:cs="Arabic Transparent"/>
          <w:sz w:val="28"/>
          <w:szCs w:val="28"/>
          <w:rtl/>
          <w:lang w:bidi="ar-JO"/>
        </w:rPr>
        <w:t xml:space="preserve">1- قام منتدى الاقتصاد الإسلامي بتصور حقيقة عقود الدروب شوبينج التي تجري في متاجر عالمية مثل: </w:t>
      </w:r>
      <w:r w:rsidRPr="00001A51">
        <w:rPr>
          <w:rFonts w:ascii="Arabic Transparent" w:hAnsi="Arabic Transparent" w:cs="Arabic Transparent"/>
          <w:sz w:val="28"/>
          <w:szCs w:val="28"/>
          <w:lang w:val="en-AE" w:bidi="ar-JO"/>
        </w:rPr>
        <w:t>eBay</w:t>
      </w:r>
      <w:r w:rsidRPr="00001A51">
        <w:rPr>
          <w:rFonts w:ascii="Arabic Transparent" w:hAnsi="Arabic Transparent" w:cs="Arabic Transparent"/>
          <w:sz w:val="28"/>
          <w:szCs w:val="28"/>
          <w:rtl/>
          <w:lang w:bidi="ar-JO"/>
        </w:rPr>
        <w:t xml:space="preserve">، </w:t>
      </w:r>
      <w:r w:rsidRPr="00001A51">
        <w:rPr>
          <w:rFonts w:ascii="Arabic Transparent" w:hAnsi="Arabic Transparent" w:cs="Arabic Transparent"/>
          <w:sz w:val="28"/>
          <w:szCs w:val="28"/>
          <w:lang w:val="en-AE" w:bidi="ar-JO"/>
        </w:rPr>
        <w:t>AliExpress</w:t>
      </w:r>
      <w:r w:rsidRPr="00001A51">
        <w:rPr>
          <w:rFonts w:ascii="Arabic Transparent" w:hAnsi="Arabic Transparent" w:cs="Arabic Transparent"/>
          <w:sz w:val="28"/>
          <w:szCs w:val="28"/>
          <w:rtl/>
          <w:lang w:val="en-AE" w:bidi="ar-JO"/>
        </w:rPr>
        <w:t>، من خلال الاطلاع على العقود ودراستها وترتيب مراحل عملية الشراء، وبعد التكييف الفقهي لها تبين أنه لا يملك البضاعة ولا يقبض ما يشتريه من المورد للمشتري، ويربح على ما لا يدخل في ضمانه، وقامت باقتراح تصحيح للعقد بأن يبيع بصفته سمساراً وسيطاً لتسهيل التعاقد بين الطرفين، وليس بائعاً مستقلاً يخالف قواعد البيع عند الفقهاء</w:t>
      </w:r>
      <w:r w:rsidRPr="00001A51">
        <w:rPr>
          <w:rFonts w:ascii="Arabic Transparent" w:hAnsi="Arabic Transparent" w:cs="Arabic Transparent"/>
          <w:sz w:val="28"/>
          <w:szCs w:val="28"/>
          <w:vertAlign w:val="superscript"/>
          <w:rtl/>
          <w:lang w:val="en-AE" w:bidi="ar-JO"/>
        </w:rPr>
        <w:t>(</w:t>
      </w:r>
      <w:r w:rsidRPr="00001A51">
        <w:rPr>
          <w:rFonts w:ascii="Arabic Transparent" w:hAnsi="Arabic Transparent" w:cs="Arabic Transparent"/>
          <w:sz w:val="28"/>
          <w:szCs w:val="28"/>
          <w:vertAlign w:val="superscript"/>
          <w:rtl/>
          <w:lang w:val="en-AE" w:bidi="ar-JO"/>
        </w:rPr>
        <w:footnoteReference w:id="1000"/>
      </w:r>
      <w:r w:rsidRPr="00001A51">
        <w:rPr>
          <w:rFonts w:ascii="Arabic Transparent" w:hAnsi="Arabic Transparent" w:cs="Arabic Transparent"/>
          <w:sz w:val="28"/>
          <w:szCs w:val="28"/>
          <w:vertAlign w:val="superscript"/>
          <w:rtl/>
          <w:lang w:val="en-AE" w:bidi="ar-JO"/>
        </w:rPr>
        <w:t>)</w:t>
      </w:r>
      <w:r w:rsidRPr="00001A51">
        <w:rPr>
          <w:rFonts w:ascii="Arabic Transparent" w:hAnsi="Arabic Transparent" w:cs="Arabic Transparent"/>
          <w:sz w:val="28"/>
          <w:szCs w:val="28"/>
          <w:rtl/>
          <w:lang w:val="en-AE" w:bidi="ar-JO"/>
        </w:rPr>
        <w:t xml:space="preserve">، بينما قامت دار الإفتاء المصرية بتخريج الفتوى من جهة الإباحة الأصلية، وبينت أنَّ ما يرد على المعاملة من بيع الغرر الفاحش، أو جهالة المبيع، أو بيع العملات من غير التزام شروط </w:t>
      </w:r>
      <w:r w:rsidRPr="00001A51">
        <w:rPr>
          <w:rFonts w:ascii="Arabic Transparent" w:hAnsi="Arabic Transparent" w:cs="Arabic Transparent"/>
          <w:sz w:val="28"/>
          <w:szCs w:val="28"/>
          <w:rtl/>
          <w:lang w:val="en-AE" w:bidi="ar-JO"/>
        </w:rPr>
        <w:lastRenderedPageBreak/>
        <w:t>المصارفة، وغيرها من محرمات العقود، التي تحرم المعاملة للأسباب الطارئة، فيزول الحكم بزوالها ويعود إلى الحرمة بعودتها</w:t>
      </w:r>
      <w:r w:rsidRPr="00001A51">
        <w:rPr>
          <w:rFonts w:ascii="Arabic Transparent" w:hAnsi="Arabic Transparent" w:cs="Arabic Transparent"/>
          <w:sz w:val="28"/>
          <w:szCs w:val="28"/>
          <w:vertAlign w:val="superscript"/>
          <w:rtl/>
          <w:lang w:val="en-AE" w:bidi="ar-JO"/>
        </w:rPr>
        <w:t>(</w:t>
      </w:r>
      <w:r w:rsidRPr="00001A51">
        <w:rPr>
          <w:rFonts w:ascii="Arabic Transparent" w:hAnsi="Arabic Transparent" w:cs="Arabic Transparent"/>
          <w:sz w:val="28"/>
          <w:szCs w:val="28"/>
          <w:vertAlign w:val="superscript"/>
          <w:rtl/>
          <w:lang w:val="en-AE" w:bidi="ar-JO"/>
        </w:rPr>
        <w:footnoteReference w:id="1001"/>
      </w:r>
      <w:r w:rsidRPr="00001A51">
        <w:rPr>
          <w:rFonts w:ascii="Arabic Transparent" w:hAnsi="Arabic Transparent" w:cs="Arabic Transparent"/>
          <w:sz w:val="28"/>
          <w:szCs w:val="28"/>
          <w:vertAlign w:val="superscript"/>
          <w:rtl/>
          <w:lang w:val="en-AE" w:bidi="ar-JO"/>
        </w:rPr>
        <w:t>)</w:t>
      </w:r>
      <w:r w:rsidRPr="00001A51">
        <w:rPr>
          <w:rFonts w:ascii="Arabic Transparent" w:hAnsi="Arabic Transparent" w:cs="Arabic Transparent"/>
          <w:sz w:val="28"/>
          <w:szCs w:val="28"/>
          <w:rtl/>
          <w:lang w:val="en-AE" w:bidi="ar-JO"/>
        </w:rPr>
        <w:t>.</w:t>
      </w:r>
    </w:p>
    <w:p w14:paraId="3894849D" w14:textId="77777777" w:rsidR="00327C97" w:rsidRPr="00001A51" w:rsidRDefault="00327C97">
      <w:pPr>
        <w:bidi w:val="0"/>
        <w:spacing w:after="0" w:line="240" w:lineRule="auto"/>
        <w:rPr>
          <w:rFonts w:ascii="Arabic Transparent" w:hAnsi="Arabic Transparent" w:cs="Arabic Transparent"/>
          <w:sz w:val="28"/>
          <w:szCs w:val="28"/>
          <w:rtl/>
          <w:lang w:val="en-AE" w:bidi="ar-JO"/>
        </w:rPr>
      </w:pPr>
      <w:r w:rsidRPr="00001A51">
        <w:rPr>
          <w:rFonts w:ascii="Arabic Transparent" w:hAnsi="Arabic Transparent" w:cs="Arabic Transparent"/>
          <w:sz w:val="28"/>
          <w:szCs w:val="28"/>
          <w:rtl/>
          <w:lang w:val="en-AE" w:bidi="ar-JO"/>
        </w:rPr>
        <w:br w:type="page"/>
      </w:r>
    </w:p>
    <w:p w14:paraId="5D3B7D53" w14:textId="35C3242F" w:rsidR="00190996" w:rsidRPr="00001A51" w:rsidRDefault="00201DD5" w:rsidP="009504E9">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2- يتفاوت المجتهدون المعاصرون في منهج التنزيل، فبعضهم يتمسك بظاهر العقود وينطلق من ظاهر التعاقد إلى إمضاء المعاملة ولا يبطل المعاملة بالتهمة أو الشكوك حول صورتها الجديدة التي ليس لها مثال سابق، وبالمقابل يرى الفريق الآخر أن التواطؤ والحيل من أجل تركيب معاملات جديدة هو سبيل للتهمة وتحريم المعاملة لسيرها على خلاف قواعد العقود، يقول فضل مراد،"أما غير الغرر الشديد والجهالة الفاحشة فلا مدخل للقطع ببطلان المعاملة بوجوده، وإلا لأبطلنا أمهات من العقود كالمضاربة، والمساقاة، والمزارعة، والسلم وغير ذلك"</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1002"/>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xml:space="preserve"> فإنَّ المبالغة في التمسك بالقواعد والضوابط من غير إثبات حكم جديدٍ للمستثنيات، يخالف العمل بالاستحسان والمصلحة المرسلة والتي تثبت حكما ً بديلاً يقضي حاجة الناس ويرفع الحرج عنهم ويسير في مصالحهم.</w:t>
      </w:r>
    </w:p>
    <w:p w14:paraId="3DA39C97" w14:textId="77777777" w:rsidR="00201DD5" w:rsidRPr="00001A51" w:rsidRDefault="00201DD5" w:rsidP="00201DD5">
      <w:pPr>
        <w:spacing w:after="0" w:line="360" w:lineRule="auto"/>
        <w:jc w:val="both"/>
        <w:rPr>
          <w:rFonts w:ascii="Arabic Transparent" w:hAnsi="Arabic Transparent" w:cs="Arabic Transparent"/>
          <w:b/>
          <w:bCs/>
          <w:sz w:val="28"/>
          <w:szCs w:val="28"/>
          <w:rtl/>
          <w:lang w:bidi="ar-JO"/>
        </w:rPr>
      </w:pPr>
      <w:r w:rsidRPr="00001A51">
        <w:rPr>
          <w:rFonts w:ascii="Arabic Transparent" w:hAnsi="Arabic Transparent" w:cs="Arabic Transparent"/>
          <w:b/>
          <w:bCs/>
          <w:sz w:val="28"/>
          <w:szCs w:val="28"/>
          <w:rtl/>
          <w:lang w:bidi="ar-JO"/>
        </w:rPr>
        <w:t>الفرع الرابع: مراعاة أصول ضبط التفاوت:</w:t>
      </w:r>
    </w:p>
    <w:p w14:paraId="48BB20A0" w14:textId="1EC695C6" w:rsidR="00201DD5" w:rsidRPr="00201DD5" w:rsidRDefault="006D14B6" w:rsidP="00201DD5">
      <w:pPr>
        <w:widowControl w:val="0"/>
        <w:autoSpaceDE w:val="0"/>
        <w:autoSpaceDN w:val="0"/>
        <w:adjustRightInd w:val="0"/>
        <w:spacing w:after="0" w:line="360" w:lineRule="auto"/>
        <w:contextualSpacing/>
        <w:jc w:val="both"/>
        <w:rPr>
          <w:rFonts w:ascii="Arabic Transparent" w:hAnsi="Arabic Transparent" w:cs="Arabic Transparent"/>
          <w:sz w:val="28"/>
          <w:szCs w:val="28"/>
          <w:rtl/>
          <w:lang w:bidi="ar-JO"/>
        </w:rPr>
      </w:pPr>
      <w:r w:rsidRPr="00001A51">
        <w:rPr>
          <w:rFonts w:ascii="Arabic Transparent" w:hAnsi="Arabic Transparent" w:cs="Arabic Transparent" w:hint="cs"/>
          <w:sz w:val="28"/>
          <w:szCs w:val="28"/>
          <w:rtl/>
          <w:lang w:bidi="ar-JO"/>
        </w:rPr>
        <w:t xml:space="preserve">     </w:t>
      </w:r>
      <w:r w:rsidR="00201DD5" w:rsidRPr="00201DD5">
        <w:rPr>
          <w:rFonts w:ascii="Arabic Transparent" w:hAnsi="Arabic Transparent" w:cs="Arabic Transparent"/>
          <w:sz w:val="28"/>
          <w:szCs w:val="28"/>
          <w:rtl/>
          <w:lang w:bidi="ar-JO"/>
        </w:rPr>
        <w:t>عند مراعاة أصول ضبط التفاوت، والتي تساهم في ضبط التفاوت في الحكم الذي ينسب للواقعة أو للاجتهاد، يتبين للباحث ما يأتي:</w:t>
      </w:r>
    </w:p>
    <w:p w14:paraId="29A0ACA8" w14:textId="189DB046" w:rsidR="00201DD5" w:rsidRPr="00001A51" w:rsidRDefault="00201DD5" w:rsidP="00190996">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1- إنَّ من مراعاة أصول ضبط تفاوت المعاملات، الأخذ بضوابط التجارة الإلكترونية العامة، منها: "مراعاة ضوابط المصارفة الإلكترونية لتبادل العملات الدولية، من التقابض الحقيقي أو الحكمي، واتحاد مجلس العقد بالوسائل الحديثة، وخلو العقد من الربا والقمار والغرر الفاحش والغبن الفاحش"</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1003"/>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 والحرص على تصحيح العقود المحرمة لتتوافق مع الشريعة الإسلامية وتسهل على الناس استعمالها وترفع عنهم الحرج عند وجود البديل النظيف للعمليات المالية الحرمة.</w:t>
      </w:r>
    </w:p>
    <w:p w14:paraId="1DA41E93" w14:textId="00D646DA" w:rsidR="00B47547" w:rsidRPr="00001A51" w:rsidRDefault="00201DD5" w:rsidP="00327C97">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2- اعتبار تحقيق المناط الخاص واثبات الحكم الجديد لمعاملات التجارة الإلكترونية مثل: الدروب شوبينج، متى أمكن تكييف العلاقة بين أطراف المعاملة جرى عليها الحكم بالجواز، ولا اعتبار للمخاطرة، فإنَّ المخاطر لا يبنى عليها حكم؛ لأنَّه وصف عارض يلحق كل تجارة مهما كان نوعها، بل إن سلمت التجارة من المخاطرة كان هذا إخلالاً فيها، والإسلام اعتبر وجود المخاطرة مهم في التجارة لإنعاش الحركة الاقتصادية ولما تستلزمه المخاطرة من تحوِّط التاجر، وإجراء </w:t>
      </w:r>
      <w:r w:rsidRPr="00001A51">
        <w:rPr>
          <w:rFonts w:ascii="Arabic Transparent" w:hAnsi="Arabic Transparent" w:cs="Arabic Transparent"/>
          <w:sz w:val="28"/>
          <w:szCs w:val="28"/>
          <w:rtl/>
          <w:lang w:bidi="ar-JO"/>
        </w:rPr>
        <w:lastRenderedPageBreak/>
        <w:t>التدابير الوقائية، التي تحميه من التقلبات الاقتصادية المستمرة</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1004"/>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w:t>
      </w:r>
      <w:r w:rsidR="00B47547" w:rsidRPr="00001A51">
        <w:rPr>
          <w:rFonts w:ascii="Arabic Transparent" w:hAnsi="Arabic Transparent" w:cs="Arabic Transparent"/>
          <w:sz w:val="28"/>
          <w:szCs w:val="28"/>
          <w:rtl/>
          <w:lang w:bidi="ar-JO"/>
        </w:rPr>
        <w:br w:type="page"/>
      </w:r>
    </w:p>
    <w:p w14:paraId="2D45913D" w14:textId="168216BA" w:rsidR="00201DD5" w:rsidRPr="00001A51" w:rsidRDefault="00201DD5" w:rsidP="009504E9">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3- إن العرف التجاري المعتبر وحاجة الناس لهما دور في تقرير الأحكام الشرعية، فعندما يذهب المشتري إلى متجرٍ ليشتري سلعة، فإن لم يجدها عند البائع يذهب البائع لجاره ويحضرها ويبيع المشتري، أو يقبض الثمن ويرسل المشتري إلى بائع التجزئة ليستلم السلعة، أو يقبض الثمن ويجعل المورد يقوم بإرسال السلعة، وتركيبها في المنزل، وجميعها صور صحيحة وإن خالفت صورة البيع القياسية، ولكنها تجوز لحاجة الناس إلى التيسير في معاملاتهم، "كما جازت المعاطاة في العقود، وكما جازت البيوع الموصوفة بالذمة على خلاف الأصل استحساناً لحاجة الناس"</w:t>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vertAlign w:val="superscript"/>
          <w:rtl/>
          <w:lang w:bidi="ar-JO"/>
        </w:rPr>
        <w:footnoteReference w:id="1005"/>
      </w:r>
      <w:r w:rsidRPr="00001A51">
        <w:rPr>
          <w:rFonts w:ascii="Arabic Transparent" w:hAnsi="Arabic Transparent" w:cs="Arabic Transparent"/>
          <w:sz w:val="28"/>
          <w:szCs w:val="28"/>
          <w:vertAlign w:val="superscript"/>
          <w:rtl/>
          <w:lang w:bidi="ar-JO"/>
        </w:rPr>
        <w:t>)</w:t>
      </w:r>
      <w:r w:rsidRPr="00001A51">
        <w:rPr>
          <w:rFonts w:ascii="Arabic Transparent" w:hAnsi="Arabic Transparent" w:cs="Arabic Transparent"/>
          <w:sz w:val="28"/>
          <w:szCs w:val="28"/>
          <w:rtl/>
          <w:lang w:bidi="ar-JO"/>
        </w:rPr>
        <w:t>.</w:t>
      </w:r>
      <w:r w:rsidRPr="00001A51">
        <w:rPr>
          <w:rFonts w:ascii="Arabic Transparent" w:hAnsi="Arabic Transparent" w:cs="Arabic Transparent"/>
          <w:sz w:val="28"/>
          <w:szCs w:val="28"/>
          <w:rtl/>
          <w:lang w:bidi="ar-JO"/>
        </w:rPr>
        <w:br w:type="page"/>
      </w:r>
    </w:p>
    <w:p w14:paraId="60E194BE" w14:textId="77777777" w:rsidR="00201DD5" w:rsidRPr="00001A51" w:rsidRDefault="00201DD5" w:rsidP="00201DD5">
      <w:pPr>
        <w:spacing w:after="0" w:line="360" w:lineRule="auto"/>
        <w:jc w:val="both"/>
        <w:rPr>
          <w:rFonts w:ascii="Arabic Transparent" w:hAnsi="Arabic Transparent" w:cs="Arabic Transparent"/>
          <w:sz w:val="32"/>
          <w:szCs w:val="32"/>
          <w:rtl/>
          <w:lang w:bidi="ar-JO"/>
        </w:rPr>
      </w:pPr>
      <w:r w:rsidRPr="00001A51">
        <w:rPr>
          <w:rFonts w:ascii="Arabic Transparent" w:hAnsi="Arabic Transparent" w:cs="Arabic Transparent"/>
          <w:b/>
          <w:bCs/>
          <w:sz w:val="32"/>
          <w:szCs w:val="32"/>
          <w:rtl/>
          <w:lang w:bidi="ar-JO"/>
        </w:rPr>
        <w:t xml:space="preserve">الخاتمة: </w:t>
      </w:r>
    </w:p>
    <w:p w14:paraId="49143715" w14:textId="5B7E1B93" w:rsidR="00201DD5" w:rsidRPr="00001A51" w:rsidRDefault="005D7B91"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     </w:t>
      </w:r>
      <w:r w:rsidR="00201DD5" w:rsidRPr="00001A51">
        <w:rPr>
          <w:rFonts w:ascii="Arabic Transparent" w:hAnsi="Arabic Transparent" w:cs="Arabic Transparent"/>
          <w:sz w:val="28"/>
          <w:szCs w:val="28"/>
          <w:rtl/>
          <w:lang w:bidi="ar-JO"/>
        </w:rPr>
        <w:t xml:space="preserve">بعد التداول العلمي في موضوع التفاوت في تحقيق المناط الخاص في المعاملات المالية المعاصرة، توصل الباحث إلى جملة من النتائج والتوصيات وهي: </w:t>
      </w:r>
    </w:p>
    <w:p w14:paraId="2791F659" w14:textId="77777777" w:rsidR="00201DD5" w:rsidRPr="00001A51" w:rsidRDefault="00201DD5" w:rsidP="00201DD5">
      <w:pPr>
        <w:spacing w:after="0" w:line="360" w:lineRule="auto"/>
        <w:jc w:val="both"/>
        <w:rPr>
          <w:rFonts w:ascii="Arabic Transparent" w:hAnsi="Arabic Transparent" w:cs="Arabic Transparent"/>
          <w:b/>
          <w:bCs/>
          <w:sz w:val="32"/>
          <w:szCs w:val="32"/>
          <w:rtl/>
          <w:lang w:bidi="ar-JO"/>
        </w:rPr>
      </w:pPr>
      <w:r w:rsidRPr="00001A51">
        <w:rPr>
          <w:rFonts w:ascii="Arabic Transparent" w:hAnsi="Arabic Transparent" w:cs="Arabic Transparent"/>
          <w:b/>
          <w:bCs/>
          <w:sz w:val="32"/>
          <w:szCs w:val="32"/>
          <w:rtl/>
          <w:lang w:bidi="ar-JO"/>
        </w:rPr>
        <w:t xml:space="preserve">النتائج: </w:t>
      </w:r>
    </w:p>
    <w:p w14:paraId="25A48661" w14:textId="77777777" w:rsidR="00201DD5" w:rsidRPr="00001A51" w:rsidRDefault="00201DD5"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1- يظهر بعد التعرف على حقيقة تحقيق المناط الخاص أن تفاوت الحكم بين الإباحة والتحريم أثر ضروري للاجتهاد التنزيلي عند دراسة فروع المسائل المالية المطبقة بأساليب مختلفة، والتي لا يُقبل القطع فيها بالتحريم مطلقاً أو الإباحة مطلقاً على سبيل الدوام لمخالفة منهج الاجتهاد التنزيلي.</w:t>
      </w:r>
    </w:p>
    <w:p w14:paraId="33C40D1B" w14:textId="77777777" w:rsidR="00201DD5" w:rsidRPr="00001A51" w:rsidRDefault="00201DD5"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2- بعد عرض حقيقة التفاوت وتحليل أسبابه تبين أنَّ العديد من المسائل المعاصرة في المعاملات المالية وقع بها تفاوت في الحكم، لتفاوت الأوصاف التي تعود إلى طبيعة الواقعة كالجنس، أو الوصف، أو القدر، والتفاوت في نظر المجتهد ومنهجه في تنزيل الحكم على محله.</w:t>
      </w:r>
    </w:p>
    <w:p w14:paraId="0337A4CC" w14:textId="77777777" w:rsidR="00201DD5" w:rsidRPr="00001A51" w:rsidRDefault="00201DD5"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3- إن أسباب التفاوت عند تحقيق المناط الخاص راجعة إلى الواقعة والأوصاف المتعلقة بها، ومدى تحقق العلة في الصور الجديدة المركبة، وراجعة إلى طريقة الاجتهاد ومنهج المجتهد في التوفيق بين الظواهر والمقاصد عند تنزيل الحكم على محله.</w:t>
      </w:r>
    </w:p>
    <w:p w14:paraId="08B9CD60" w14:textId="77777777" w:rsidR="00201DD5" w:rsidRPr="00001A51" w:rsidRDefault="00201DD5"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4- إن للتفاوت مراتب؛ فمنه ما يكون مؤثراً: كالتفاوت الفاحش، أو الممنوع، مثل: الغرر الفاحش، أو الربا، وهو الذي يُعبر عنه بالوصف المناسب المؤثر عند الأصوليين، والثاني التفاوت غير المؤثر؛ وهو التفاوت الطبيعي، أو اليسير، كالأوصاف الطردية، والوصف المناسب الملغى، مثل: يسير الغرر أو هيئة البائع، والتي ليس لها علاقة في حكم المسالة.</w:t>
      </w:r>
    </w:p>
    <w:p w14:paraId="5B08963F" w14:textId="77777777" w:rsidR="00201DD5" w:rsidRPr="00001A51" w:rsidRDefault="00201DD5"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5- بينت الدراسة جملة من أصول الضبط التي يستحسن العمل بها لضبط الاجتهاد في الواقعات المالية المعاصرة، والتي ساهمت في إعداد مؤسسات التمويل والاستثمار الإسلامية، والتي سارت على مبادئ الحوكمة والمعايير الشريعة من خلال المخارج الشرعية والتلفيق المنضبط، ضمن منظومة الهندسة السليمة لمنتجات المالية الإسلامية. </w:t>
      </w:r>
    </w:p>
    <w:p w14:paraId="7378CC76" w14:textId="77777777" w:rsidR="00201DD5" w:rsidRPr="00001A51" w:rsidRDefault="00201DD5"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6- تبين للباحث أنَّ التفاوت في الحكم سائغ بسبب تغير الأحوال والمجريات والأوصاف والذي ينتج عنه تغير حكم المسألة لتغير صورتها فينتقل الحكم عليها من المناط العام إلى المناط الخاص فتأخذ حكماً جديداً، مثل صور مسألة الزيادة على القرض من طرف ثالث والتي أجاز بعض الباحثين منها الزيادة التي يدفعها البائع للمصرف مقابل توفير خدمة التمويل الآجل للزبائن.</w:t>
      </w:r>
    </w:p>
    <w:p w14:paraId="7C48B6C3" w14:textId="02384CD6" w:rsidR="006C083A" w:rsidRPr="00001A51" w:rsidRDefault="00201DD5"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7- برز من خلال استقراء الفتاوى المالية الصادرة عن المجامع الفقهية، ودور الإفتاء الإسلامية، وهيئات الرقابة الشرعية، والندوات المتخصصة، والمجلات العلمية المحكّمة، أن الهيئات الشريعة العاملة في البنوك الإسلامية هي الأكثر مراعاةً للتفاوت عند تحقيق المناط الخاص.</w:t>
      </w:r>
    </w:p>
    <w:p w14:paraId="44E85B86" w14:textId="77777777" w:rsidR="006C083A" w:rsidRPr="00001A51" w:rsidRDefault="006C083A">
      <w:pPr>
        <w:bidi w:val="0"/>
        <w:spacing w:after="0" w:line="240" w:lineRule="auto"/>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lastRenderedPageBreak/>
        <w:br w:type="page"/>
      </w:r>
    </w:p>
    <w:p w14:paraId="0C984643" w14:textId="1EBB0743" w:rsidR="00201DD5" w:rsidRPr="00001A51" w:rsidRDefault="00201DD5"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8</w:t>
      </w:r>
      <w:r w:rsidR="00DA3039" w:rsidRPr="00001A51">
        <w:rPr>
          <w:rFonts w:ascii="Arabic Transparent" w:hAnsi="Arabic Transparent" w:cs="Arabic Transparent" w:hint="cs"/>
          <w:sz w:val="28"/>
          <w:szCs w:val="28"/>
          <w:rtl/>
          <w:lang w:bidi="ar-JO"/>
        </w:rPr>
        <w:t>-</w:t>
      </w:r>
      <w:r w:rsidR="00DA3039" w:rsidRPr="00001A51">
        <w:rPr>
          <w:rFonts w:ascii="Aptos" w:hAnsi="Aptos" w:hint="cs"/>
          <w:rtl/>
        </w:rPr>
        <w:t xml:space="preserve"> </w:t>
      </w:r>
      <w:r w:rsidR="00DA3039" w:rsidRPr="00001A51">
        <w:rPr>
          <w:rFonts w:ascii="Arabic Transparent" w:hAnsi="Arabic Transparent" w:cs="Arabic Transparent" w:hint="cs"/>
          <w:sz w:val="28"/>
          <w:szCs w:val="28"/>
          <w:rtl/>
        </w:rPr>
        <w:t>توصلت</w:t>
      </w:r>
      <w:r w:rsidRPr="00001A51">
        <w:rPr>
          <w:rFonts w:ascii="Arabic Transparent" w:hAnsi="Arabic Transparent" w:cs="Arabic Transparent"/>
          <w:sz w:val="28"/>
          <w:szCs w:val="28"/>
          <w:rtl/>
        </w:rPr>
        <w:t xml:space="preserve"> </w:t>
      </w:r>
      <w:r w:rsidRPr="00001A51">
        <w:rPr>
          <w:rFonts w:ascii="Arabic Transparent" w:hAnsi="Arabic Transparent" w:cs="Arabic Transparent"/>
          <w:sz w:val="28"/>
          <w:szCs w:val="28"/>
          <w:rtl/>
          <w:lang w:bidi="ar-JO"/>
        </w:rPr>
        <w:t xml:space="preserve">الدراسة من خلال استقراء الفتاوى المالية وتحليلها، أنَّ بعض الباحثين يحكم على المعاملة بالحرمة مطلقاً، لمسوغات ظنية، فهو بذلك يغلق باب الاجتهاد الجزئي، بتبرير عام، بينما يميل فريق آخر لتحري الموضوعية العلمية في بحث كل صورة باستقلال وإيجاد الضوابط التي تُخلِّص الصورة من الأسباب المحرمة وتجيز تعامل الناس بها. </w:t>
      </w:r>
    </w:p>
    <w:p w14:paraId="48CC2FB6" w14:textId="77777777" w:rsidR="00201DD5" w:rsidRPr="00001A51" w:rsidRDefault="00201DD5" w:rsidP="00201DD5">
      <w:pPr>
        <w:spacing w:after="0" w:line="360" w:lineRule="auto"/>
        <w:jc w:val="both"/>
        <w:rPr>
          <w:rFonts w:ascii="Arabic Transparent" w:hAnsi="Arabic Transparent" w:cs="Arabic Transparent"/>
          <w:b/>
          <w:bCs/>
          <w:sz w:val="32"/>
          <w:szCs w:val="32"/>
          <w:rtl/>
          <w:lang w:bidi="ar-JO"/>
        </w:rPr>
      </w:pPr>
      <w:r w:rsidRPr="00001A51">
        <w:rPr>
          <w:rFonts w:ascii="Arabic Transparent" w:hAnsi="Arabic Transparent" w:cs="Arabic Transparent"/>
          <w:b/>
          <w:bCs/>
          <w:sz w:val="32"/>
          <w:szCs w:val="32"/>
          <w:rtl/>
          <w:lang w:bidi="ar-JO"/>
        </w:rPr>
        <w:br w:type="page"/>
      </w:r>
      <w:r w:rsidRPr="00001A51">
        <w:rPr>
          <w:rFonts w:ascii="Arabic Transparent" w:hAnsi="Arabic Transparent" w:cs="Arabic Transparent"/>
          <w:b/>
          <w:bCs/>
          <w:sz w:val="32"/>
          <w:szCs w:val="32"/>
          <w:rtl/>
          <w:lang w:bidi="ar-JO"/>
        </w:rPr>
        <w:lastRenderedPageBreak/>
        <w:t xml:space="preserve">التوصيات: </w:t>
      </w:r>
    </w:p>
    <w:p w14:paraId="5C4F3BDF" w14:textId="77777777" w:rsidR="00201DD5" w:rsidRPr="00001A51" w:rsidRDefault="00201DD5"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1- توصي الدراسة المجامع الفقهية التي تدعو الباحثين للاستكتاب في صور الموضوعات المستجدة من المعاملات المالية، أن يطلب منهم دراسة حكم المعاملة من جزئية محددة من أجل التّمكّن من تحقيق المناط الخاص بها والتوصل إلى حكمها بدقة.</w:t>
      </w:r>
    </w:p>
    <w:p w14:paraId="66B8C349" w14:textId="77777777" w:rsidR="00201DD5" w:rsidRPr="00001A51" w:rsidRDefault="00201DD5"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2- توصي الدراسة بتوجيه الباحثين إلى دراسة المسائل التطبيقية التي يكثر فيها التفاوت في المناط الخاص عند تنزيله على محله، مع ضرورة اشراك أصحاب العلاقة في الدراسات من علماء الشريعة والاقتصاد والقانون، لأنَّ بعض جزئيات المناط لا تنكشف إلا بالخبرة الفنية من قبل أصحاب الاختصاص.</w:t>
      </w:r>
    </w:p>
    <w:p w14:paraId="5928A93A" w14:textId="3A1D5474" w:rsidR="00201DD5" w:rsidRPr="00001A51" w:rsidRDefault="00201DD5" w:rsidP="00201DD5">
      <w:pPr>
        <w:spacing w:after="0" w:line="360" w:lineRule="auto"/>
        <w:jc w:val="both"/>
        <w:rPr>
          <w:rFonts w:ascii="Arabic Transparent" w:hAnsi="Arabic Transparent" w:cs="Arabic Transparent"/>
          <w:sz w:val="28"/>
          <w:szCs w:val="28"/>
          <w:rtl/>
          <w:lang w:bidi="ar-JO"/>
        </w:rPr>
      </w:pPr>
      <w:r w:rsidRPr="00001A51">
        <w:rPr>
          <w:rFonts w:ascii="Arabic Transparent" w:hAnsi="Arabic Transparent" w:cs="Arabic Transparent"/>
          <w:sz w:val="28"/>
          <w:szCs w:val="28"/>
          <w:rtl/>
          <w:lang w:bidi="ar-JO"/>
        </w:rPr>
        <w:t xml:space="preserve">3- توصي الدراسة مراكز الإفتاء، إلى إعادة النظر في تحريم مسائل المعاملات القديمة التي تغيَّر الحكم </w:t>
      </w:r>
      <w:r w:rsidR="00422C0D" w:rsidRPr="00001A51">
        <w:rPr>
          <w:rFonts w:ascii="Arabic Transparent" w:hAnsi="Arabic Transparent" w:cs="Arabic Transparent" w:hint="cs"/>
          <w:sz w:val="28"/>
          <w:szCs w:val="28"/>
          <w:rtl/>
          <w:lang w:bidi="ar-JO"/>
        </w:rPr>
        <w:t>عليها</w:t>
      </w:r>
      <w:r w:rsidRPr="00001A51">
        <w:rPr>
          <w:rFonts w:ascii="Arabic Transparent" w:hAnsi="Arabic Transparent" w:cs="Arabic Transparent"/>
          <w:sz w:val="28"/>
          <w:szCs w:val="28"/>
          <w:rtl/>
          <w:lang w:bidi="ar-JO"/>
        </w:rPr>
        <w:t xml:space="preserve"> مع الدراسات الجديدة؛ لتفاوت الأوصاف في الواقعة وزوال أسباب التحريم المتعلقة بها. </w:t>
      </w:r>
    </w:p>
    <w:p w14:paraId="3CF3E050" w14:textId="57445BAC" w:rsidR="00017DFE" w:rsidRPr="00001A51" w:rsidRDefault="00201DD5" w:rsidP="00190996">
      <w:pPr>
        <w:rPr>
          <w:rFonts w:ascii="Arabic Transparent" w:hAnsi="Arabic Transparent" w:cs="Arabic Transparent"/>
          <w:b/>
          <w:bCs/>
          <w:sz w:val="32"/>
          <w:szCs w:val="32"/>
          <w:rtl/>
          <w:lang w:bidi="ar-JO"/>
        </w:rPr>
      </w:pPr>
      <w:r w:rsidRPr="00001A51">
        <w:rPr>
          <w:rFonts w:ascii="Arabic Transparent" w:hAnsi="Arabic Transparent" w:cs="Arabic Transparent"/>
          <w:sz w:val="32"/>
          <w:szCs w:val="32"/>
          <w:rtl/>
          <w:lang w:bidi="ar-JO"/>
        </w:rPr>
        <w:br w:type="page"/>
      </w:r>
      <w:r w:rsidR="00190996" w:rsidRPr="00001A51">
        <w:rPr>
          <w:rFonts w:ascii="Arabic Transparent" w:hAnsi="Arabic Transparent" w:cs="Arabic Transparent" w:hint="cs"/>
          <w:b/>
          <w:bCs/>
          <w:sz w:val="32"/>
          <w:szCs w:val="32"/>
          <w:rtl/>
          <w:lang w:bidi="ar-JO"/>
        </w:rPr>
        <w:lastRenderedPageBreak/>
        <w:t>المصادر والمراجع:</w:t>
      </w:r>
    </w:p>
    <w:p w14:paraId="3831F88E"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val="en-AE" w:bidi="ar-JO"/>
        </w:rPr>
      </w:pPr>
      <w:r w:rsidRPr="00706B94">
        <w:rPr>
          <w:rFonts w:ascii="Arabic Transparent" w:eastAsia="Calibri" w:hAnsi="Arabic Transparent" w:cs="Arabic Transparent"/>
          <w:sz w:val="26"/>
          <w:szCs w:val="26"/>
          <w:rtl/>
          <w:lang w:val="en-AE" w:bidi="ar-JO"/>
        </w:rPr>
        <w:t xml:space="preserve">الآمدي، علي بن محمد، (1402)، </w:t>
      </w:r>
      <w:r w:rsidRPr="00706B94">
        <w:rPr>
          <w:rFonts w:ascii="Arabic Transparent" w:eastAsia="Calibri" w:hAnsi="Arabic Transparent" w:cs="Arabic Transparent"/>
          <w:b/>
          <w:bCs/>
          <w:sz w:val="26"/>
          <w:szCs w:val="26"/>
          <w:rtl/>
          <w:lang w:val="en-AE" w:bidi="ar-JO"/>
        </w:rPr>
        <w:t>الإحكام في أصول الأحكام</w:t>
      </w:r>
      <w:r w:rsidRPr="00706B94">
        <w:rPr>
          <w:rFonts w:ascii="Arabic Transparent" w:eastAsia="Calibri" w:hAnsi="Arabic Transparent" w:cs="Arabic Transparent"/>
          <w:sz w:val="26"/>
          <w:szCs w:val="26"/>
          <w:rtl/>
          <w:lang w:val="en-AE" w:bidi="ar-JO"/>
        </w:rPr>
        <w:t xml:space="preserve"> (تعليق عبد الرزاق عفيفي، وتصحيح عبد الله بن غديان وعلي الحمد الصالحي) ط2، المكتب الإسلامي - بيروت، دمشق.</w:t>
      </w:r>
    </w:p>
    <w:p w14:paraId="70192E68"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val="en-AE"/>
        </w:rPr>
      </w:pPr>
      <w:r w:rsidRPr="00706B94">
        <w:rPr>
          <w:rFonts w:ascii="Arabic Transparent" w:eastAsia="Calibri" w:hAnsi="Arabic Transparent" w:cs="Arabic Transparent"/>
          <w:sz w:val="26"/>
          <w:szCs w:val="26"/>
          <w:rtl/>
        </w:rPr>
        <w:t xml:space="preserve">الأبهري، أبو بكر محمد بن عبد الله المالكي (2020). </w:t>
      </w:r>
      <w:r w:rsidRPr="00706B94">
        <w:rPr>
          <w:rFonts w:ascii="Arabic Transparent" w:eastAsia="Calibri" w:hAnsi="Arabic Transparent" w:cs="Arabic Transparent"/>
          <w:b/>
          <w:bCs/>
          <w:sz w:val="26"/>
          <w:szCs w:val="26"/>
          <w:rtl/>
        </w:rPr>
        <w:t>شرح المختصر الكبير لابن عبد الحكم</w:t>
      </w:r>
      <w:r w:rsidRPr="00706B94">
        <w:rPr>
          <w:rFonts w:ascii="Arabic Transparent" w:eastAsia="Calibri" w:hAnsi="Arabic Transparent" w:cs="Arabic Transparent"/>
          <w:sz w:val="26"/>
          <w:szCs w:val="26"/>
          <w:rtl/>
        </w:rPr>
        <w:t>، تحقيق: أحمد عبد الله حسن، ط1، 4 أجزاء، جمعية دار البر، دبي.</w:t>
      </w:r>
    </w:p>
    <w:p w14:paraId="11164F49"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val="en-AE" w:bidi="ar-JO"/>
        </w:rPr>
      </w:pPr>
      <w:r w:rsidRPr="00706B94">
        <w:rPr>
          <w:rFonts w:ascii="Arabic Transparent" w:eastAsia="Calibri" w:hAnsi="Arabic Transparent" w:cs="Arabic Transparent"/>
          <w:sz w:val="26"/>
          <w:szCs w:val="26"/>
          <w:rtl/>
          <w:lang w:val="en-AE" w:bidi="ar-JO"/>
        </w:rPr>
        <w:t>احمين، محمد (2015،</w:t>
      </w:r>
      <w:r w:rsidRPr="00706B94">
        <w:rPr>
          <w:rFonts w:ascii="Arabic Transparent" w:eastAsia="Calibri" w:hAnsi="Arabic Transparent" w:cs="Arabic Transparent"/>
          <w:b/>
          <w:bCs/>
          <w:sz w:val="26"/>
          <w:szCs w:val="26"/>
          <w:rtl/>
          <w:lang w:val="en-AE" w:bidi="ar-JO"/>
        </w:rPr>
        <w:t xml:space="preserve"> مدخل إلى الرقابة الشرعية دليل علمي وعملي للفتوى والتدقيق الشرعي في المؤسسات المالية الإسلامية</w:t>
      </w:r>
      <w:r w:rsidRPr="00706B94">
        <w:rPr>
          <w:rFonts w:ascii="Arabic Transparent" w:eastAsia="Calibri" w:hAnsi="Arabic Transparent" w:cs="Arabic Transparent"/>
          <w:sz w:val="26"/>
          <w:szCs w:val="26"/>
          <w:rtl/>
          <w:lang w:val="en-AE" w:bidi="ar-JO"/>
        </w:rPr>
        <w:t>، ط1، دار ابن حزم – بيروت.</w:t>
      </w:r>
    </w:p>
    <w:p w14:paraId="1FEC4E9B"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val="en-AE" w:bidi="ar-JO"/>
        </w:rPr>
      </w:pPr>
      <w:r w:rsidRPr="00706B94">
        <w:rPr>
          <w:rFonts w:ascii="Arabic Transparent" w:eastAsia="Calibri" w:hAnsi="Arabic Transparent" w:cs="Arabic Transparent"/>
          <w:sz w:val="26"/>
          <w:szCs w:val="26"/>
          <w:rtl/>
          <w:lang w:val="en-AE" w:bidi="ar-JO"/>
        </w:rPr>
        <w:t xml:space="preserve">الأزهري، محمد بن أحمد بن الأزهري الهروي، أبو منصور، (2001)، </w:t>
      </w:r>
      <w:r w:rsidRPr="00706B94">
        <w:rPr>
          <w:rFonts w:ascii="Arabic Transparent" w:eastAsia="Calibri" w:hAnsi="Arabic Transparent" w:cs="Arabic Transparent"/>
          <w:b/>
          <w:bCs/>
          <w:sz w:val="26"/>
          <w:szCs w:val="26"/>
          <w:rtl/>
          <w:lang w:val="en-AE" w:bidi="ar-JO"/>
        </w:rPr>
        <w:t>تهذيب اللغة</w:t>
      </w:r>
      <w:r w:rsidRPr="00706B94">
        <w:rPr>
          <w:rFonts w:ascii="Arabic Transparent" w:eastAsia="Calibri" w:hAnsi="Arabic Transparent" w:cs="Arabic Transparent"/>
          <w:sz w:val="26"/>
          <w:szCs w:val="26"/>
          <w:rtl/>
          <w:lang w:val="en-AE" w:bidi="ar-JO"/>
        </w:rPr>
        <w:t>، تحقيق: محمد عوض مرعب، ط1، دار إحياء التراث العربي، بيروت.</w:t>
      </w:r>
    </w:p>
    <w:p w14:paraId="479054CB"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val="en-AE" w:bidi="ar-JO"/>
        </w:rPr>
      </w:pPr>
      <w:r w:rsidRPr="00706B94">
        <w:rPr>
          <w:rFonts w:ascii="Arabic Transparent" w:eastAsia="Calibri" w:hAnsi="Arabic Transparent" w:cs="Arabic Transparent"/>
          <w:sz w:val="26"/>
          <w:szCs w:val="26"/>
          <w:rtl/>
          <w:lang w:val="en-AE" w:bidi="ar-JO"/>
        </w:rPr>
        <w:t xml:space="preserve">الأسمندي، محمد بن عبد الحميد (2007). </w:t>
      </w:r>
      <w:r w:rsidRPr="00706B94">
        <w:rPr>
          <w:rFonts w:ascii="Arabic Transparent" w:eastAsia="Calibri" w:hAnsi="Arabic Transparent" w:cs="Arabic Transparent"/>
          <w:b/>
          <w:bCs/>
          <w:sz w:val="26"/>
          <w:szCs w:val="26"/>
          <w:rtl/>
          <w:lang w:val="en-AE" w:bidi="ar-JO"/>
        </w:rPr>
        <w:t>طريقة الخلاف في الفقه بين الأئمة الأسلاف</w:t>
      </w:r>
      <w:r w:rsidRPr="00706B94">
        <w:rPr>
          <w:rFonts w:ascii="Arabic Transparent" w:eastAsia="Calibri" w:hAnsi="Arabic Transparent" w:cs="Arabic Transparent"/>
          <w:sz w:val="26"/>
          <w:szCs w:val="26"/>
          <w:rtl/>
          <w:lang w:val="en-AE" w:bidi="ar-JO"/>
        </w:rPr>
        <w:t>، تحقيق: محمد زكي عبد البر، ط2، مكتبة دار التراث، القاهرة.</w:t>
      </w:r>
    </w:p>
    <w:p w14:paraId="0711CA57"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val="en-AE" w:bidi="ar-JO"/>
        </w:rPr>
      </w:pPr>
      <w:r w:rsidRPr="00706B94">
        <w:rPr>
          <w:rFonts w:ascii="Arabic Transparent" w:eastAsia="Calibri" w:hAnsi="Arabic Transparent" w:cs="Arabic Transparent"/>
          <w:sz w:val="26"/>
          <w:szCs w:val="26"/>
          <w:rtl/>
          <w:lang w:val="en-AE" w:bidi="ar-JO"/>
        </w:rPr>
        <w:t xml:space="preserve">الإسنوي، جمال الدين عبد الرحيم بن الحسن (1981م). </w:t>
      </w:r>
      <w:r w:rsidRPr="00706B94">
        <w:rPr>
          <w:rFonts w:ascii="Arabic Transparent" w:eastAsia="Calibri" w:hAnsi="Arabic Transparent" w:cs="Arabic Transparent"/>
          <w:b/>
          <w:bCs/>
          <w:sz w:val="26"/>
          <w:szCs w:val="26"/>
          <w:rtl/>
          <w:lang w:val="en-AE" w:bidi="ar-JO"/>
        </w:rPr>
        <w:t>التمهيد في تخريج الفروع على الأصول</w:t>
      </w:r>
      <w:r w:rsidRPr="00706B94">
        <w:rPr>
          <w:rFonts w:ascii="Arabic Transparent" w:eastAsia="Calibri" w:hAnsi="Arabic Transparent" w:cs="Arabic Transparent"/>
          <w:sz w:val="26"/>
          <w:szCs w:val="26"/>
          <w:rtl/>
          <w:lang w:val="en-AE" w:bidi="ar-JO"/>
        </w:rPr>
        <w:t>، تحقيق: محمد حسن هيتو، ط2، مؤسسة الرسالة، بيروت.</w:t>
      </w:r>
    </w:p>
    <w:p w14:paraId="508C0FDF"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val="en-AE" w:bidi="ar-JO"/>
        </w:rPr>
      </w:pPr>
      <w:r w:rsidRPr="00706B94">
        <w:rPr>
          <w:rFonts w:ascii="Arabic Transparent" w:eastAsia="Calibri" w:hAnsi="Arabic Transparent" w:cs="Arabic Transparent"/>
          <w:sz w:val="26"/>
          <w:szCs w:val="26"/>
          <w:rtl/>
          <w:lang w:val="en-AE" w:bidi="ar-JO"/>
        </w:rPr>
        <w:t xml:space="preserve">الإسنوي، جمال الدين (2007). </w:t>
      </w:r>
      <w:r w:rsidRPr="00706B94">
        <w:rPr>
          <w:rFonts w:ascii="Arabic Transparent" w:eastAsia="Calibri" w:hAnsi="Arabic Transparent" w:cs="Arabic Transparent"/>
          <w:b/>
          <w:bCs/>
          <w:sz w:val="26"/>
          <w:szCs w:val="26"/>
          <w:rtl/>
          <w:lang w:val="en-AE" w:bidi="ar-JO"/>
        </w:rPr>
        <w:t>مطالع الدقائق في تحرير الجوامع والفوارق</w:t>
      </w:r>
      <w:r w:rsidRPr="00706B94">
        <w:rPr>
          <w:rFonts w:ascii="Arabic Transparent" w:eastAsia="Calibri" w:hAnsi="Arabic Transparent" w:cs="Arabic Transparent"/>
          <w:sz w:val="26"/>
          <w:szCs w:val="26"/>
          <w:rtl/>
          <w:lang w:val="en-AE" w:bidi="ar-JO"/>
        </w:rPr>
        <w:t>، تحقيق: نصر الدين فريد محمد واصل، ط1، دار الشروق، القاهرة.</w:t>
      </w:r>
    </w:p>
    <w:p w14:paraId="2849B48E"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val="en-AE" w:bidi="ar-JO"/>
        </w:rPr>
      </w:pPr>
      <w:r w:rsidRPr="00706B94">
        <w:rPr>
          <w:rFonts w:ascii="Arabic Transparent" w:eastAsia="Calibri" w:hAnsi="Arabic Transparent" w:cs="Arabic Transparent"/>
          <w:sz w:val="26"/>
          <w:szCs w:val="26"/>
          <w:rtl/>
          <w:lang w:val="en-AE" w:bidi="ar-JO"/>
        </w:rPr>
        <w:t xml:space="preserve">الإسنوي، عبد الرحيم بن الحسن، (1999)، </w:t>
      </w:r>
      <w:r w:rsidRPr="00706B94">
        <w:rPr>
          <w:rFonts w:ascii="Arabic Transparent" w:eastAsia="Calibri" w:hAnsi="Arabic Transparent" w:cs="Arabic Transparent"/>
          <w:b/>
          <w:bCs/>
          <w:sz w:val="26"/>
          <w:szCs w:val="26"/>
          <w:rtl/>
          <w:lang w:val="en-AE" w:bidi="ar-JO"/>
        </w:rPr>
        <w:t>نهاية السول شرح منهاج الوصول في علم الأصول</w:t>
      </w:r>
      <w:r w:rsidRPr="00706B94">
        <w:rPr>
          <w:rFonts w:ascii="Arabic Transparent" w:eastAsia="Calibri" w:hAnsi="Arabic Transparent" w:cs="Arabic Transparent"/>
          <w:sz w:val="26"/>
          <w:szCs w:val="26"/>
          <w:rtl/>
          <w:lang w:val="en-AE" w:bidi="ar-JO"/>
        </w:rPr>
        <w:t>، ضبطه وصححه ووضع حواشيه عبد القادر محمد علي، ط1، دار الكتب العلمية – بيروت.</w:t>
      </w:r>
    </w:p>
    <w:p w14:paraId="2EA07D8F" w14:textId="77777777" w:rsidR="00706B94" w:rsidRPr="00706B94" w:rsidRDefault="00706B94" w:rsidP="00706B94">
      <w:pPr>
        <w:numPr>
          <w:ilvl w:val="0"/>
          <w:numId w:val="21"/>
        </w:numPr>
        <w:spacing w:after="160" w:line="360" w:lineRule="auto"/>
        <w:ind w:left="566" w:hanging="567"/>
        <w:contextualSpacing/>
        <w:jc w:val="both"/>
        <w:rPr>
          <w:rFonts w:ascii="Arabic Transparent" w:eastAsia="Calibri" w:hAnsi="Arabic Transparent" w:cs="Arabic Transparent"/>
          <w:sz w:val="26"/>
          <w:szCs w:val="26"/>
          <w:lang w:val="en-AE" w:bidi="ar-JO"/>
        </w:rPr>
      </w:pPr>
      <w:r w:rsidRPr="00706B94">
        <w:rPr>
          <w:rFonts w:ascii="Arabic Transparent" w:eastAsia="Calibri" w:hAnsi="Arabic Transparent" w:cs="Arabic Transparent"/>
          <w:sz w:val="26"/>
          <w:szCs w:val="26"/>
          <w:rtl/>
          <w:lang w:val="en-AE" w:bidi="ar-JO"/>
        </w:rPr>
        <w:t xml:space="preserve">الأشقر، أحمد، (2007) </w:t>
      </w:r>
      <w:r w:rsidRPr="00706B94">
        <w:rPr>
          <w:rFonts w:ascii="Arabic Transparent" w:eastAsia="Calibri" w:hAnsi="Arabic Transparent" w:cs="Arabic Transparent"/>
          <w:b/>
          <w:bCs/>
          <w:sz w:val="26"/>
          <w:szCs w:val="26"/>
          <w:rtl/>
          <w:lang w:val="en-AE" w:bidi="ar-JO"/>
        </w:rPr>
        <w:t>الاقتصاد الكلي</w:t>
      </w:r>
      <w:r w:rsidRPr="00706B94">
        <w:rPr>
          <w:rFonts w:ascii="Arabic Transparent" w:eastAsia="Calibri" w:hAnsi="Arabic Transparent" w:cs="Arabic Transparent"/>
          <w:sz w:val="26"/>
          <w:szCs w:val="26"/>
          <w:rtl/>
          <w:lang w:val="en-AE" w:bidi="ar-JO"/>
        </w:rPr>
        <w:t>، ط1، دار الثقافة للنشر والتوزيع، بيروت.</w:t>
      </w:r>
    </w:p>
    <w:p w14:paraId="5DFDA5D9" w14:textId="77777777" w:rsidR="00706B94" w:rsidRPr="00706B94" w:rsidRDefault="00706B94" w:rsidP="00706B94">
      <w:pPr>
        <w:numPr>
          <w:ilvl w:val="0"/>
          <w:numId w:val="21"/>
        </w:numPr>
        <w:spacing w:after="160" w:line="360" w:lineRule="auto"/>
        <w:ind w:left="566" w:hanging="567"/>
        <w:contextualSpacing/>
        <w:jc w:val="both"/>
        <w:rPr>
          <w:rFonts w:ascii="Arabic Transparent" w:eastAsia="Calibri" w:hAnsi="Arabic Transparent" w:cs="Arabic Transparent"/>
          <w:sz w:val="26"/>
          <w:szCs w:val="26"/>
          <w:rtl/>
          <w:lang w:val="en-AE" w:bidi="ar-JO"/>
        </w:rPr>
      </w:pPr>
      <w:r w:rsidRPr="00706B94">
        <w:rPr>
          <w:rFonts w:ascii="Arabic Transparent" w:eastAsia="Calibri" w:hAnsi="Arabic Transparent" w:cs="Arabic Transparent"/>
          <w:sz w:val="26"/>
          <w:szCs w:val="26"/>
          <w:rtl/>
          <w:lang w:val="en-AE" w:bidi="ar-JO"/>
        </w:rPr>
        <w:t xml:space="preserve">الأصفهاني، الحسن بن محمد الراغب، (2019) </w:t>
      </w:r>
      <w:r w:rsidRPr="00706B94">
        <w:rPr>
          <w:rFonts w:ascii="Arabic Transparent" w:eastAsia="Calibri" w:hAnsi="Arabic Transparent" w:cs="Arabic Transparent"/>
          <w:b/>
          <w:bCs/>
          <w:sz w:val="26"/>
          <w:szCs w:val="26"/>
          <w:rtl/>
          <w:lang w:val="en-AE" w:bidi="ar-JO"/>
        </w:rPr>
        <w:t>مفردات ألفاظ القرآن</w:t>
      </w:r>
      <w:r w:rsidRPr="00706B94">
        <w:rPr>
          <w:rFonts w:ascii="Arabic Transparent" w:eastAsia="Calibri" w:hAnsi="Arabic Transparent" w:cs="Arabic Transparent"/>
          <w:sz w:val="26"/>
          <w:szCs w:val="26"/>
          <w:rtl/>
          <w:lang w:val="en-AE" w:bidi="ar-JO"/>
        </w:rPr>
        <w:t>، تحقيق: صفوان عدنان، ط4، دار القلم دمشق.</w:t>
      </w:r>
    </w:p>
    <w:p w14:paraId="66D059EF"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val="en-AE" w:bidi="ar-JO"/>
        </w:rPr>
      </w:pPr>
      <w:r w:rsidRPr="00706B94">
        <w:rPr>
          <w:rFonts w:ascii="Arabic Transparent" w:eastAsia="Calibri" w:hAnsi="Arabic Transparent" w:cs="Arabic Transparent"/>
          <w:sz w:val="26"/>
          <w:szCs w:val="26"/>
          <w:rtl/>
          <w:lang w:val="en-AE" w:bidi="ar-JO"/>
        </w:rPr>
        <w:t xml:space="preserve">أمجوض، عبدالحليم بن محمد أيت، </w:t>
      </w:r>
      <w:r w:rsidRPr="00706B94">
        <w:rPr>
          <w:rFonts w:ascii="Arabic Transparent" w:eastAsia="Calibri" w:hAnsi="Arabic Transparent" w:cs="Arabic Transparent"/>
          <w:b/>
          <w:bCs/>
          <w:sz w:val="26"/>
          <w:szCs w:val="26"/>
          <w:rtl/>
          <w:lang w:val="en-AE" w:bidi="ar-JO"/>
        </w:rPr>
        <w:t>فقه التنزيل وقواعده وتطبيقاته من خلال نوازل من تراث المالكية ونماذج من القضايا المعاصرة</w:t>
      </w:r>
      <w:r w:rsidRPr="00706B94">
        <w:rPr>
          <w:rFonts w:ascii="Arabic Transparent" w:eastAsia="Calibri" w:hAnsi="Arabic Transparent" w:cs="Arabic Transparent"/>
          <w:sz w:val="26"/>
          <w:szCs w:val="26"/>
          <w:rtl/>
          <w:lang w:val="en-AE" w:bidi="ar-JO"/>
        </w:rPr>
        <w:t>، ط1، ص402، دار الفقيه للنشر والتوزيع، أبوظبي، الإمارات العربية المتحدة.</w:t>
      </w:r>
    </w:p>
    <w:p w14:paraId="62171970"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val="en-AE" w:bidi="ar-JO"/>
        </w:rPr>
      </w:pPr>
      <w:r w:rsidRPr="00706B94">
        <w:rPr>
          <w:rFonts w:ascii="Arabic Transparent" w:eastAsia="Calibri" w:hAnsi="Arabic Transparent" w:cs="Arabic Transparent"/>
          <w:sz w:val="26"/>
          <w:szCs w:val="26"/>
          <w:rtl/>
          <w:lang w:val="en-AE" w:bidi="ar-JO"/>
        </w:rPr>
        <w:t xml:space="preserve">أمير بادشاه الحنفي، محمد أمين (1932م). </w:t>
      </w:r>
      <w:r w:rsidRPr="00706B94">
        <w:rPr>
          <w:rFonts w:ascii="Arabic Transparent" w:eastAsia="Calibri" w:hAnsi="Arabic Transparent" w:cs="Arabic Transparent"/>
          <w:b/>
          <w:bCs/>
          <w:sz w:val="26"/>
          <w:szCs w:val="26"/>
          <w:rtl/>
          <w:lang w:val="en-AE" w:bidi="ar-JO"/>
        </w:rPr>
        <w:t>تيسير التحرير على كتاب التحرير في أصول الفقه الجامع بين اصطلاحي الحنفية والشافعية</w:t>
      </w:r>
      <w:r w:rsidRPr="00706B94">
        <w:rPr>
          <w:rFonts w:ascii="Arabic Transparent" w:eastAsia="Calibri" w:hAnsi="Arabic Transparent" w:cs="Arabic Transparent"/>
          <w:sz w:val="26"/>
          <w:szCs w:val="26"/>
          <w:rtl/>
          <w:lang w:val="en-AE" w:bidi="ar-JO"/>
        </w:rPr>
        <w:t xml:space="preserve"> ،ط1، مصطفى البابي الحلبي، مصر.</w:t>
      </w:r>
    </w:p>
    <w:p w14:paraId="2B37C1F1"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val="en-AE" w:bidi="ar-JO"/>
        </w:rPr>
      </w:pPr>
      <w:r w:rsidRPr="00706B94">
        <w:rPr>
          <w:rFonts w:ascii="Arabic Transparent" w:eastAsia="Calibri" w:hAnsi="Arabic Transparent" w:cs="Arabic Transparent"/>
          <w:sz w:val="26"/>
          <w:szCs w:val="26"/>
          <w:rtl/>
          <w:lang w:val="en-AE" w:bidi="ar-JO"/>
        </w:rPr>
        <w:t xml:space="preserve">الأنصاري، زكريا بن محمد بن أحمد (1895). </w:t>
      </w:r>
      <w:r w:rsidRPr="00706B94">
        <w:rPr>
          <w:rFonts w:ascii="Arabic Transparent" w:eastAsia="Calibri" w:hAnsi="Arabic Transparent" w:cs="Arabic Transparent"/>
          <w:b/>
          <w:bCs/>
          <w:sz w:val="26"/>
          <w:szCs w:val="26"/>
          <w:rtl/>
          <w:lang w:val="en-AE" w:bidi="ar-JO"/>
        </w:rPr>
        <w:t>أسنى المطالب في شرح روض الطالب</w:t>
      </w:r>
      <w:r w:rsidRPr="00706B94">
        <w:rPr>
          <w:rFonts w:ascii="Arabic Transparent" w:eastAsia="Calibri" w:hAnsi="Arabic Transparent" w:cs="Arabic Transparent"/>
          <w:sz w:val="26"/>
          <w:szCs w:val="26"/>
          <w:rtl/>
          <w:lang w:val="en-AE" w:bidi="ar-JO"/>
        </w:rPr>
        <w:t>، المطبعة الميمنية.</w:t>
      </w:r>
    </w:p>
    <w:p w14:paraId="151815BE"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val="en-AE" w:bidi="ar-JO"/>
        </w:rPr>
      </w:pPr>
      <w:r w:rsidRPr="00706B94">
        <w:rPr>
          <w:rFonts w:ascii="Arabic Transparent" w:eastAsia="Calibri" w:hAnsi="Arabic Transparent" w:cs="Arabic Transparent"/>
          <w:sz w:val="26"/>
          <w:szCs w:val="26"/>
          <w:rtl/>
          <w:lang w:val="en-AE" w:bidi="ar-JO"/>
        </w:rPr>
        <w:t xml:space="preserve">الأنصاري، زكريا بن محمد بن أحمد (د.ت). </w:t>
      </w:r>
      <w:r w:rsidRPr="00706B94">
        <w:rPr>
          <w:rFonts w:ascii="Arabic Transparent" w:eastAsia="Calibri" w:hAnsi="Arabic Transparent" w:cs="Arabic Transparent"/>
          <w:b/>
          <w:bCs/>
          <w:sz w:val="26"/>
          <w:szCs w:val="26"/>
          <w:rtl/>
          <w:lang w:val="en-AE" w:bidi="ar-JO"/>
        </w:rPr>
        <w:t>الغرر البهية في شرح البهجة الوردية</w:t>
      </w:r>
      <w:r w:rsidRPr="00706B94">
        <w:rPr>
          <w:rFonts w:ascii="Arabic Transparent" w:eastAsia="Calibri" w:hAnsi="Arabic Transparent" w:cs="Arabic Transparent"/>
          <w:sz w:val="26"/>
          <w:szCs w:val="26"/>
          <w:rtl/>
          <w:lang w:val="en-AE" w:bidi="ar-JO"/>
        </w:rPr>
        <w:t>، المطبعة الميمنية.</w:t>
      </w:r>
    </w:p>
    <w:p w14:paraId="5806CFAC"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val="en-AE" w:bidi="ar-JO"/>
        </w:rPr>
      </w:pPr>
      <w:r w:rsidRPr="00706B94">
        <w:rPr>
          <w:rFonts w:ascii="Arabic Transparent" w:eastAsia="Calibri" w:hAnsi="Arabic Transparent" w:cs="Arabic Transparent"/>
          <w:sz w:val="26"/>
          <w:szCs w:val="26"/>
          <w:rtl/>
          <w:lang w:val="en-AE" w:bidi="ar-JO"/>
        </w:rPr>
        <w:t xml:space="preserve">أوبك، محمد بن أحمد بن سيد، </w:t>
      </w:r>
      <w:r w:rsidRPr="00706B94">
        <w:rPr>
          <w:rFonts w:ascii="Arabic Transparent" w:eastAsia="Calibri" w:hAnsi="Arabic Transparent" w:cs="Arabic Transparent"/>
          <w:b/>
          <w:bCs/>
          <w:sz w:val="26"/>
          <w:szCs w:val="26"/>
          <w:rtl/>
          <w:lang w:val="en-AE" w:bidi="ar-JO"/>
        </w:rPr>
        <w:t>الاجتهاد الأصولي دراسة في المفهوم والمنهج</w:t>
      </w:r>
      <w:r w:rsidRPr="00706B94">
        <w:rPr>
          <w:rFonts w:ascii="Arabic Transparent" w:eastAsia="Calibri" w:hAnsi="Arabic Transparent" w:cs="Arabic Transparent"/>
          <w:sz w:val="26"/>
          <w:szCs w:val="26"/>
          <w:rtl/>
          <w:lang w:val="en-AE" w:bidi="ar-JO"/>
        </w:rPr>
        <w:t xml:space="preserve"> (2012م)، ط1، دار كنوز اشبيليا، الرياض.</w:t>
      </w:r>
    </w:p>
    <w:p w14:paraId="1859D56D"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val="en-AE" w:bidi="ar-JO"/>
        </w:rPr>
      </w:pPr>
      <w:r w:rsidRPr="00706B94">
        <w:rPr>
          <w:rFonts w:ascii="Arabic Transparent" w:eastAsia="Calibri" w:hAnsi="Arabic Transparent" w:cs="Arabic Transparent"/>
          <w:sz w:val="26"/>
          <w:szCs w:val="26"/>
          <w:rtl/>
          <w:lang w:val="en-AE" w:bidi="ar-JO"/>
        </w:rPr>
        <w:t xml:space="preserve">أوهاب، نذير، (2019) </w:t>
      </w:r>
      <w:r w:rsidRPr="00706B94">
        <w:rPr>
          <w:rFonts w:ascii="Arabic Transparent" w:eastAsia="Calibri" w:hAnsi="Arabic Transparent" w:cs="Arabic Transparent"/>
          <w:b/>
          <w:bCs/>
          <w:sz w:val="26"/>
          <w:szCs w:val="26"/>
          <w:rtl/>
          <w:lang w:val="en-AE" w:bidi="ar-JO"/>
        </w:rPr>
        <w:t>تحقيق المناط الخاص بالفتوى، مفهومه وضوابطه، وتطبيقاته</w:t>
      </w:r>
      <w:r w:rsidRPr="00706B94">
        <w:rPr>
          <w:rFonts w:ascii="Arabic Transparent" w:eastAsia="Calibri" w:hAnsi="Arabic Transparent" w:cs="Arabic Transparent"/>
          <w:sz w:val="26"/>
          <w:szCs w:val="26"/>
          <w:rtl/>
          <w:lang w:val="en-AE" w:bidi="ar-JO"/>
        </w:rPr>
        <w:t>، ط1، الملتقى الدولي الرابع صناعة الفتوى في ظل التحديات المعاصرة، السعودية.</w:t>
      </w:r>
    </w:p>
    <w:p w14:paraId="495D6534"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tl/>
          <w:lang w:val="en-AE" w:bidi="ar-JO"/>
        </w:rPr>
      </w:pPr>
      <w:r w:rsidRPr="00706B94">
        <w:rPr>
          <w:rFonts w:ascii="Arabic Transparent" w:eastAsia="Calibri" w:hAnsi="Arabic Transparent" w:cs="Arabic Transparent"/>
          <w:sz w:val="26"/>
          <w:szCs w:val="26"/>
          <w:rtl/>
          <w:lang w:val="en-AE" w:bidi="ar-JO"/>
        </w:rPr>
        <w:lastRenderedPageBreak/>
        <w:t xml:space="preserve">الإيجي، عبد الرحمن بن أحمد، عضد الدين، (2004)، </w:t>
      </w:r>
      <w:r w:rsidRPr="00706B94">
        <w:rPr>
          <w:rFonts w:ascii="Arabic Transparent" w:eastAsia="Calibri" w:hAnsi="Arabic Transparent" w:cs="Arabic Transparent"/>
          <w:b/>
          <w:bCs/>
          <w:sz w:val="26"/>
          <w:szCs w:val="26"/>
          <w:rtl/>
          <w:lang w:val="en-AE" w:bidi="ar-JO"/>
        </w:rPr>
        <w:t>شرح مختصر المنتهى الأصولي</w:t>
      </w:r>
      <w:r w:rsidRPr="00706B94">
        <w:rPr>
          <w:rFonts w:ascii="Arabic Transparent" w:eastAsia="Calibri" w:hAnsi="Arabic Transparent" w:cs="Arabic Transparent"/>
          <w:sz w:val="26"/>
          <w:szCs w:val="26"/>
          <w:rtl/>
          <w:lang w:val="en-AE" w:bidi="ar-JO"/>
        </w:rPr>
        <w:t>، ومعه حاشية سعد الدين التفتازاني، وحاشية الشريف الجرجاني، وحاشية حسن الفناري، وحاشية محمد أبو الفضل الجيزاوي (تحقيق محمد حسن محمد حسن إسماعيل)، ط1، دار الكتب العلمية، بيروت.</w:t>
      </w:r>
    </w:p>
    <w:p w14:paraId="1F0054FC"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البابرتي، محمد بن محمود بن أحمد، (2005م)، </w:t>
      </w:r>
      <w:r w:rsidRPr="00706B94">
        <w:rPr>
          <w:rFonts w:ascii="Arabic Transparent" w:eastAsia="Calibri" w:hAnsi="Arabic Transparent" w:cs="Arabic Transparent"/>
          <w:b/>
          <w:bCs/>
          <w:sz w:val="26"/>
          <w:szCs w:val="26"/>
          <w:rtl/>
          <w:lang w:bidi="ar-JO"/>
        </w:rPr>
        <w:t>الردود والنقود شرح مخصر ابن الحاجب</w:t>
      </w:r>
      <w:r w:rsidRPr="00706B94">
        <w:rPr>
          <w:rFonts w:ascii="Arabic Transparent" w:eastAsia="Calibri" w:hAnsi="Arabic Transparent" w:cs="Arabic Transparent"/>
          <w:sz w:val="26"/>
          <w:szCs w:val="26"/>
          <w:rtl/>
          <w:lang w:bidi="ar-JO"/>
        </w:rPr>
        <w:t>، تحقيق: ضيف الله العمري ط1، مكتبة الرشد، السعودية.</w:t>
      </w:r>
    </w:p>
    <w:p w14:paraId="6AC8F9E5"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البابرتي، أكمل الدين محمد بن محمد بن محمود (1970). </w:t>
      </w:r>
      <w:r w:rsidRPr="00706B94">
        <w:rPr>
          <w:rFonts w:ascii="Arabic Transparent" w:eastAsia="Calibri" w:hAnsi="Arabic Transparent" w:cs="Arabic Transparent"/>
          <w:b/>
          <w:bCs/>
          <w:sz w:val="26"/>
          <w:szCs w:val="26"/>
          <w:rtl/>
          <w:lang w:bidi="ar-JO"/>
        </w:rPr>
        <w:t>العناية شرح الهداية</w:t>
      </w:r>
      <w:r w:rsidRPr="00706B94">
        <w:rPr>
          <w:rFonts w:ascii="Arabic Transparent" w:eastAsia="Calibri" w:hAnsi="Arabic Transparent" w:cs="Arabic Transparent"/>
          <w:sz w:val="26"/>
          <w:szCs w:val="26"/>
          <w:rtl/>
          <w:lang w:bidi="ar-JO"/>
        </w:rPr>
        <w:t>، [مطبوع بهامش فتح القدير لابن الهمام]، ط1، شركة مكتبة ومطبعة مصطفى البابي الحلبي وأولاده، مصر.</w:t>
      </w:r>
    </w:p>
    <w:p w14:paraId="3B27C8CB"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الباجي، سليمان بن خلف، (1914)، </w:t>
      </w:r>
      <w:r w:rsidRPr="00706B94">
        <w:rPr>
          <w:rFonts w:ascii="Arabic Transparent" w:eastAsia="Calibri" w:hAnsi="Arabic Transparent" w:cs="Arabic Transparent"/>
          <w:b/>
          <w:bCs/>
          <w:sz w:val="26"/>
          <w:szCs w:val="26"/>
          <w:rtl/>
          <w:lang w:bidi="ar-JO"/>
        </w:rPr>
        <w:t>المنتقى شرح الموطأ</w:t>
      </w:r>
      <w:r w:rsidRPr="00706B94">
        <w:rPr>
          <w:rFonts w:ascii="Arabic Transparent" w:eastAsia="Calibri" w:hAnsi="Arabic Transparent" w:cs="Arabic Transparent"/>
          <w:sz w:val="26"/>
          <w:szCs w:val="26"/>
          <w:rtl/>
          <w:lang w:bidi="ar-JO"/>
        </w:rPr>
        <w:t>، ط1، مطبعة السعادة – مصر.</w:t>
      </w:r>
    </w:p>
    <w:p w14:paraId="004EDE4E"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الباحسين، يعقوب بن عبد الوهاب بن يوسف (1998). </w:t>
      </w:r>
      <w:r w:rsidRPr="00706B94">
        <w:rPr>
          <w:rFonts w:ascii="Arabic Transparent" w:eastAsia="Calibri" w:hAnsi="Arabic Transparent" w:cs="Arabic Transparent"/>
          <w:b/>
          <w:bCs/>
          <w:sz w:val="26"/>
          <w:szCs w:val="26"/>
          <w:rtl/>
          <w:lang w:bidi="ar-JO"/>
        </w:rPr>
        <w:t>الفروق الفقهية والأصولية: مقوماتها، شروطها، نشأتها، تطورها (دراسة نظرية وصفية تاريخية).</w:t>
      </w:r>
      <w:r w:rsidRPr="00706B94">
        <w:rPr>
          <w:rFonts w:ascii="Arabic Transparent" w:eastAsia="Calibri" w:hAnsi="Arabic Transparent" w:cs="Arabic Transparent"/>
          <w:sz w:val="26"/>
          <w:szCs w:val="26"/>
          <w:rtl/>
          <w:lang w:bidi="ar-JO"/>
        </w:rPr>
        <w:t xml:space="preserve"> ط1، مكتبة الرشد، الرياض.</w:t>
      </w:r>
    </w:p>
    <w:p w14:paraId="6CB2FF8B"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الباقلاني، محمد بن الطيب، (1998)، </w:t>
      </w:r>
      <w:r w:rsidRPr="00706B94">
        <w:rPr>
          <w:rFonts w:ascii="Arabic Transparent" w:eastAsia="Calibri" w:hAnsi="Arabic Transparent" w:cs="Arabic Transparent"/>
          <w:b/>
          <w:bCs/>
          <w:sz w:val="26"/>
          <w:szCs w:val="26"/>
          <w:rtl/>
          <w:lang w:bidi="ar-JO"/>
        </w:rPr>
        <w:t xml:space="preserve">التقريب والإرشاد (الصغير) </w:t>
      </w:r>
      <w:r w:rsidRPr="00706B94">
        <w:rPr>
          <w:rFonts w:ascii="Arabic Transparent" w:eastAsia="Calibri" w:hAnsi="Arabic Transparent" w:cs="Arabic Transparent"/>
          <w:sz w:val="26"/>
          <w:szCs w:val="26"/>
          <w:rtl/>
          <w:lang w:bidi="ar-JO"/>
        </w:rPr>
        <w:t>(تحقيق عبد الحميد بن علي أبو زنيد)، ط2، مؤسسة الرسالة – بيروت، لبنان.</w:t>
      </w:r>
    </w:p>
    <w:p w14:paraId="2A0273F5"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الباني، محمد (1932). </w:t>
      </w:r>
      <w:r w:rsidRPr="00706B94">
        <w:rPr>
          <w:rFonts w:ascii="Arabic Transparent" w:eastAsia="Calibri" w:hAnsi="Arabic Transparent" w:cs="Arabic Transparent"/>
          <w:b/>
          <w:bCs/>
          <w:sz w:val="26"/>
          <w:szCs w:val="26"/>
          <w:rtl/>
          <w:lang w:bidi="ar-JO"/>
        </w:rPr>
        <w:t>عمدة التحقيق في التقليد والتلفيق</w:t>
      </w:r>
      <w:r w:rsidRPr="00706B94">
        <w:rPr>
          <w:rFonts w:ascii="Arabic Transparent" w:eastAsia="Calibri" w:hAnsi="Arabic Transparent" w:cs="Arabic Transparent"/>
          <w:sz w:val="26"/>
          <w:szCs w:val="26"/>
          <w:rtl/>
          <w:lang w:bidi="ar-JO"/>
        </w:rPr>
        <w:t>، ط1، مطبعة حكومة دمشق، دمشق.</w:t>
      </w:r>
    </w:p>
    <w:p w14:paraId="3B2734A1"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بايندر، عبد العزيز (2008). </w:t>
      </w:r>
      <w:r w:rsidRPr="00706B94">
        <w:rPr>
          <w:rFonts w:ascii="Arabic Transparent" w:eastAsia="Calibri" w:hAnsi="Arabic Transparent" w:cs="Arabic Transparent"/>
          <w:b/>
          <w:bCs/>
          <w:sz w:val="26"/>
          <w:szCs w:val="26"/>
          <w:rtl/>
          <w:lang w:bidi="ar-JO"/>
        </w:rPr>
        <w:t>التجارة والربا</w:t>
      </w:r>
      <w:r w:rsidRPr="00706B94">
        <w:rPr>
          <w:rFonts w:ascii="Arabic Transparent" w:eastAsia="Calibri" w:hAnsi="Arabic Transparent" w:cs="Arabic Transparent"/>
          <w:sz w:val="26"/>
          <w:szCs w:val="26"/>
          <w:rtl/>
          <w:lang w:bidi="ar-JO"/>
        </w:rPr>
        <w:t>، (د.ط)، وقف السليمانية، استانبول.</w:t>
      </w:r>
    </w:p>
    <w:p w14:paraId="6A1AC7EC"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البخاري، محمد بن إسماعيل، (1978) </w:t>
      </w:r>
      <w:r w:rsidRPr="00706B94">
        <w:rPr>
          <w:rFonts w:ascii="Arabic Transparent" w:eastAsia="Calibri" w:hAnsi="Arabic Transparent" w:cs="Arabic Transparent"/>
          <w:b/>
          <w:bCs/>
          <w:sz w:val="26"/>
          <w:szCs w:val="26"/>
          <w:rtl/>
          <w:lang w:bidi="ar-JO"/>
        </w:rPr>
        <w:t>الجامعُ المُسندُ الصَّحيحُ المُختصَرُ من أُمورِ رسولِ الله ﷺ وسُنَنِهِ وأيّامِهِ</w:t>
      </w:r>
      <w:r w:rsidRPr="00706B94">
        <w:rPr>
          <w:rFonts w:ascii="Arabic Transparent" w:eastAsia="Calibri" w:hAnsi="Arabic Transparent" w:cs="Arabic Transparent"/>
          <w:sz w:val="26"/>
          <w:szCs w:val="26"/>
          <w:rtl/>
          <w:lang w:bidi="ar-JO"/>
        </w:rPr>
        <w:t>، (تحقيق الدكتور مصطفى البغا) ط3، دار ابن كثير -دمشق.</w:t>
      </w:r>
    </w:p>
    <w:p w14:paraId="207494DC"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ابن بدران، عبد القادر بن أحمد (1984)، </w:t>
      </w:r>
      <w:r w:rsidRPr="00706B94">
        <w:rPr>
          <w:rFonts w:ascii="Arabic Transparent" w:eastAsia="Calibri" w:hAnsi="Arabic Transparent" w:cs="Arabic Transparent"/>
          <w:b/>
          <w:bCs/>
          <w:sz w:val="26"/>
          <w:szCs w:val="26"/>
          <w:rtl/>
          <w:lang w:bidi="ar-JO"/>
        </w:rPr>
        <w:t>العقود الياقوتية في جيد الأسئلة الكويتية</w:t>
      </w:r>
      <w:r w:rsidRPr="00706B94">
        <w:rPr>
          <w:rFonts w:ascii="Arabic Transparent" w:eastAsia="Calibri" w:hAnsi="Arabic Transparent" w:cs="Arabic Transparent"/>
          <w:sz w:val="26"/>
          <w:szCs w:val="26"/>
          <w:rtl/>
          <w:lang w:bidi="ar-JO"/>
        </w:rPr>
        <w:t>، تحقيق: عبد الستار أبو غدة، ط1، مطبعة الصحابة الإسلامية، الكويت.</w:t>
      </w:r>
    </w:p>
    <w:p w14:paraId="337F7385"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ابن بدران، عبد القادر، (1980)، </w:t>
      </w:r>
      <w:r w:rsidRPr="00706B94">
        <w:rPr>
          <w:rFonts w:ascii="Arabic Transparent" w:eastAsia="Calibri" w:hAnsi="Arabic Transparent" w:cs="Arabic Transparent"/>
          <w:b/>
          <w:bCs/>
          <w:sz w:val="26"/>
          <w:szCs w:val="26"/>
          <w:rtl/>
          <w:lang w:bidi="ar-JO"/>
        </w:rPr>
        <w:t>المدخل إلى مذهب الإمام أحمد بن حنبل</w:t>
      </w:r>
      <w:r w:rsidRPr="00706B94">
        <w:rPr>
          <w:rFonts w:ascii="Arabic Transparent" w:eastAsia="Calibri" w:hAnsi="Arabic Transparent" w:cs="Arabic Transparent"/>
          <w:sz w:val="26"/>
          <w:szCs w:val="26"/>
          <w:rtl/>
          <w:lang w:bidi="ar-JO"/>
        </w:rPr>
        <w:t xml:space="preserve"> (تحقيق عبد الله بن عبد المحسن التركي) ط2، مؤسسة الرسالة - بيروت.</w:t>
      </w:r>
    </w:p>
    <w:p w14:paraId="3B7F869D"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tl/>
          <w:lang w:bidi="ar-JO"/>
        </w:rPr>
      </w:pPr>
      <w:r w:rsidRPr="00706B94">
        <w:rPr>
          <w:rFonts w:ascii="Arabic Transparent" w:eastAsia="Calibri" w:hAnsi="Arabic Transparent" w:cs="Arabic Transparent"/>
          <w:sz w:val="26"/>
          <w:szCs w:val="26"/>
          <w:rtl/>
          <w:lang w:bidi="ar-JO"/>
        </w:rPr>
        <w:t xml:space="preserve">ابن بزيزة، عبد العزيز بن إبراهيم، (2010)، </w:t>
      </w:r>
      <w:r w:rsidRPr="00706B94">
        <w:rPr>
          <w:rFonts w:ascii="Arabic Transparent" w:eastAsia="Calibri" w:hAnsi="Arabic Transparent" w:cs="Arabic Transparent"/>
          <w:b/>
          <w:bCs/>
          <w:sz w:val="26"/>
          <w:szCs w:val="26"/>
          <w:rtl/>
          <w:lang w:bidi="ar-JO"/>
        </w:rPr>
        <w:t>روضة المستبين في شرح كتاب التلقين</w:t>
      </w:r>
      <w:r w:rsidRPr="00706B94">
        <w:rPr>
          <w:rFonts w:ascii="Arabic Transparent" w:eastAsia="Calibri" w:hAnsi="Arabic Transparent" w:cs="Arabic Transparent"/>
          <w:sz w:val="26"/>
          <w:szCs w:val="26"/>
          <w:rtl/>
          <w:lang w:bidi="ar-JO"/>
        </w:rPr>
        <w:t xml:space="preserve"> (تحقيق عبد اللطيف زكاغ) ط1، دار ابن حزم - بيروت.</w:t>
      </w:r>
    </w:p>
    <w:p w14:paraId="265C11F3"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البركتي، محمد عميم الإحسان المجددي، (2003)، </w:t>
      </w:r>
      <w:r w:rsidRPr="00706B94">
        <w:rPr>
          <w:rFonts w:ascii="Arabic Transparent" w:eastAsia="Calibri" w:hAnsi="Arabic Transparent" w:cs="Arabic Transparent"/>
          <w:b/>
          <w:bCs/>
          <w:sz w:val="26"/>
          <w:szCs w:val="26"/>
          <w:rtl/>
          <w:lang w:bidi="ar-JO"/>
        </w:rPr>
        <w:t>التعريفات الفقهية</w:t>
      </w:r>
      <w:r w:rsidRPr="00706B94">
        <w:rPr>
          <w:rFonts w:ascii="Arabic Transparent" w:eastAsia="Calibri" w:hAnsi="Arabic Transparent" w:cs="Arabic Transparent"/>
          <w:sz w:val="26"/>
          <w:szCs w:val="26"/>
          <w:rtl/>
          <w:lang w:bidi="ar-JO"/>
        </w:rPr>
        <w:t>، ط1، دار الكتب العلمية، بيروت.</w:t>
      </w:r>
    </w:p>
    <w:p w14:paraId="352953BF"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البرهاني، برهان الدين محمود بن أحمد بن عبد العزيز بن عمر البخاري الحنفي (2004). </w:t>
      </w:r>
      <w:r w:rsidRPr="00706B94">
        <w:rPr>
          <w:rFonts w:ascii="Arabic Transparent" w:eastAsia="Calibri" w:hAnsi="Arabic Transparent" w:cs="Arabic Transparent"/>
          <w:b/>
          <w:bCs/>
          <w:sz w:val="26"/>
          <w:szCs w:val="26"/>
          <w:rtl/>
          <w:lang w:bidi="ar-JO"/>
        </w:rPr>
        <w:t>المحيط البرهاني في الفقه النعماني</w:t>
      </w:r>
      <w:r w:rsidRPr="00706B94">
        <w:rPr>
          <w:rFonts w:ascii="Arabic Transparent" w:eastAsia="Calibri" w:hAnsi="Arabic Transparent" w:cs="Arabic Transparent"/>
          <w:sz w:val="26"/>
          <w:szCs w:val="26"/>
          <w:rtl/>
          <w:lang w:bidi="ar-JO"/>
        </w:rPr>
        <w:t>، تحقيق: عبد الكريم سامي الجندي، ط1، دار الكتب العلمية، بيروت.</w:t>
      </w:r>
    </w:p>
    <w:p w14:paraId="0D7E9045"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البغوي، أبو محمد الحسين بن مسعود بن محمد بن الفراء (د.ت). </w:t>
      </w:r>
      <w:r w:rsidRPr="00706B94">
        <w:rPr>
          <w:rFonts w:ascii="Arabic Transparent" w:eastAsia="Calibri" w:hAnsi="Arabic Transparent" w:cs="Arabic Transparent"/>
          <w:b/>
          <w:bCs/>
          <w:sz w:val="26"/>
          <w:szCs w:val="26"/>
          <w:rtl/>
          <w:lang w:bidi="ar-JO"/>
        </w:rPr>
        <w:t>معالم التنزيل في تفسير القرآن = تفسير البغوي</w:t>
      </w:r>
      <w:r w:rsidRPr="00706B94">
        <w:rPr>
          <w:rFonts w:ascii="Arabic Transparent" w:eastAsia="Calibri" w:hAnsi="Arabic Transparent" w:cs="Arabic Transparent"/>
          <w:sz w:val="26"/>
          <w:szCs w:val="26"/>
          <w:rtl/>
          <w:lang w:bidi="ar-JO"/>
        </w:rPr>
        <w:t>، تحقيق عبد الرزاق المهدي. ط1. دار إحياء التراث العربي، بيروت.</w:t>
      </w:r>
    </w:p>
    <w:p w14:paraId="4B715E4A"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البقمي، صالح، حسن (1993) </w:t>
      </w:r>
      <w:r w:rsidRPr="00706B94">
        <w:rPr>
          <w:rFonts w:ascii="Arabic Transparent" w:eastAsia="Calibri" w:hAnsi="Arabic Transparent" w:cs="Arabic Transparent"/>
          <w:b/>
          <w:bCs/>
          <w:sz w:val="26"/>
          <w:szCs w:val="26"/>
          <w:rtl/>
          <w:lang w:bidi="ar-JO"/>
        </w:rPr>
        <w:t>وفاء الديون وعلاقته بالربط بتغير المستوى العام للأسعار</w:t>
      </w:r>
      <w:r w:rsidRPr="00706B94">
        <w:rPr>
          <w:rFonts w:ascii="Arabic Transparent" w:eastAsia="Calibri" w:hAnsi="Arabic Transparent" w:cs="Arabic Transparent"/>
          <w:sz w:val="26"/>
          <w:szCs w:val="26"/>
          <w:rtl/>
          <w:lang w:bidi="ar-JO"/>
        </w:rPr>
        <w:t>، بحث منشور في مجلة مجمع الفقه الإسلامي، ع8، ج8، ص1512، منظمة المؤتمر الإسلامي- جدة.</w:t>
      </w:r>
    </w:p>
    <w:p w14:paraId="573B11B3"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البكري، أبو بكر عثمان بن محمد شطا (1997). </w:t>
      </w:r>
      <w:r w:rsidRPr="00706B94">
        <w:rPr>
          <w:rFonts w:ascii="Arabic Transparent" w:eastAsia="Calibri" w:hAnsi="Arabic Transparent" w:cs="Arabic Transparent"/>
          <w:b/>
          <w:bCs/>
          <w:sz w:val="26"/>
          <w:szCs w:val="26"/>
          <w:rtl/>
          <w:lang w:bidi="ar-JO"/>
        </w:rPr>
        <w:t>إعانة الطالبين على حل ألفاظ فتح المعين</w:t>
      </w:r>
      <w:r w:rsidRPr="00706B94">
        <w:rPr>
          <w:rFonts w:ascii="Arabic Transparent" w:eastAsia="Calibri" w:hAnsi="Arabic Transparent" w:cs="Arabic Transparent"/>
          <w:sz w:val="26"/>
          <w:szCs w:val="26"/>
          <w:rtl/>
          <w:lang w:bidi="ar-JO"/>
        </w:rPr>
        <w:t>، ط1، دار الفكر للطباعة والنشر والتوزيع، بيروت.</w:t>
      </w:r>
    </w:p>
    <w:p w14:paraId="1022F18C"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البهوتي، منصور بن يونس بن صلاح الدين ابن حسن بن إدريس(1968). </w:t>
      </w:r>
      <w:r w:rsidRPr="00706B94">
        <w:rPr>
          <w:rFonts w:ascii="Arabic Transparent" w:eastAsia="Calibri" w:hAnsi="Arabic Transparent" w:cs="Arabic Transparent"/>
          <w:b/>
          <w:bCs/>
          <w:sz w:val="26"/>
          <w:szCs w:val="26"/>
          <w:rtl/>
          <w:lang w:bidi="ar-JO"/>
        </w:rPr>
        <w:t>كشاف القناع عن متن الإقناع</w:t>
      </w:r>
      <w:r w:rsidRPr="00706B94">
        <w:rPr>
          <w:rFonts w:ascii="Arabic Transparent" w:eastAsia="Calibri" w:hAnsi="Arabic Transparent" w:cs="Arabic Transparent"/>
          <w:sz w:val="26"/>
          <w:szCs w:val="26"/>
          <w:rtl/>
          <w:lang w:bidi="ar-JO"/>
        </w:rPr>
        <w:t>. راجعه وعلّق عليه: هلال مصيلحي مصطفى هلال. الرياض: مكتبة النصر الحديثة،</w:t>
      </w:r>
    </w:p>
    <w:p w14:paraId="27994275"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tl/>
          <w:lang w:bidi="ar-JO"/>
        </w:rPr>
      </w:pPr>
      <w:r w:rsidRPr="00706B94">
        <w:rPr>
          <w:rFonts w:ascii="Arabic Transparent" w:eastAsia="Calibri" w:hAnsi="Arabic Transparent" w:cs="Arabic Transparent"/>
          <w:sz w:val="26"/>
          <w:szCs w:val="26"/>
          <w:rtl/>
          <w:lang w:bidi="ar-JO"/>
        </w:rPr>
        <w:lastRenderedPageBreak/>
        <w:t xml:space="preserve">البوطي، محمد سعيد رمضان (1994). </w:t>
      </w:r>
      <w:r w:rsidRPr="00706B94">
        <w:rPr>
          <w:rFonts w:ascii="Arabic Transparent" w:eastAsia="Calibri" w:hAnsi="Arabic Transparent" w:cs="Arabic Transparent"/>
          <w:b/>
          <w:bCs/>
          <w:sz w:val="26"/>
          <w:szCs w:val="26"/>
          <w:rtl/>
          <w:lang w:bidi="ar-JO"/>
        </w:rPr>
        <w:t>قضايا فقهية معاصرة</w:t>
      </w:r>
      <w:r w:rsidRPr="00706B94">
        <w:rPr>
          <w:rFonts w:ascii="Arabic Transparent" w:eastAsia="Calibri" w:hAnsi="Arabic Transparent" w:cs="Arabic Transparent"/>
          <w:sz w:val="26"/>
          <w:szCs w:val="26"/>
          <w:rtl/>
          <w:lang w:bidi="ar-JO"/>
        </w:rPr>
        <w:t>، ط5، مكتبة الفارابي، دمشق</w:t>
      </w:r>
    </w:p>
    <w:p w14:paraId="3D9737A1"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tl/>
          <w:lang w:bidi="ar-JO"/>
        </w:rPr>
      </w:pPr>
      <w:r w:rsidRPr="00706B94">
        <w:rPr>
          <w:rFonts w:ascii="Arabic Transparent" w:eastAsia="Calibri" w:hAnsi="Arabic Transparent" w:cs="Arabic Transparent"/>
          <w:sz w:val="26"/>
          <w:szCs w:val="26"/>
          <w:rtl/>
          <w:lang w:bidi="ar-JO"/>
        </w:rPr>
        <w:t>ابن بيه، عبد الله بن محفوظ (2013).ا</w:t>
      </w:r>
      <w:r w:rsidRPr="00706B94">
        <w:rPr>
          <w:rFonts w:ascii="Arabic Transparent" w:eastAsia="Calibri" w:hAnsi="Arabic Transparent" w:cs="Arabic Transparent"/>
          <w:b/>
          <w:bCs/>
          <w:sz w:val="26"/>
          <w:szCs w:val="26"/>
          <w:rtl/>
          <w:lang w:bidi="ar-JO"/>
        </w:rPr>
        <w:t>لبيان الختامي لمؤتمر: الاجتهاد بتحقيق المناط: فقه الواقع والتوقع</w:t>
      </w:r>
      <w:r w:rsidRPr="00706B94">
        <w:rPr>
          <w:rFonts w:ascii="Arabic Transparent" w:eastAsia="Calibri" w:hAnsi="Arabic Transparent" w:cs="Arabic Transparent"/>
          <w:sz w:val="26"/>
          <w:szCs w:val="26"/>
          <w:rtl/>
          <w:lang w:bidi="ar-JO"/>
        </w:rPr>
        <w:t>، فندق شيراتون- الكويت.</w:t>
      </w:r>
    </w:p>
    <w:p w14:paraId="6D3DED02"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البيهقي، أحمد بن الحسين بن علي، أبو بكر البيهقي، ت: 1989م، </w:t>
      </w:r>
      <w:r w:rsidRPr="00706B94">
        <w:rPr>
          <w:rFonts w:ascii="Arabic Transparent" w:eastAsia="Calibri" w:hAnsi="Arabic Transparent" w:cs="Arabic Transparent"/>
          <w:b/>
          <w:bCs/>
          <w:sz w:val="26"/>
          <w:szCs w:val="26"/>
          <w:rtl/>
          <w:lang w:bidi="ar-JO"/>
        </w:rPr>
        <w:t>السنن الصغير للبيهقي</w:t>
      </w:r>
      <w:r w:rsidRPr="00706B94">
        <w:rPr>
          <w:rFonts w:ascii="Arabic Transparent" w:eastAsia="Calibri" w:hAnsi="Arabic Transparent" w:cs="Arabic Transparent"/>
          <w:sz w:val="26"/>
          <w:szCs w:val="26"/>
          <w:rtl/>
          <w:lang w:bidi="ar-JO"/>
        </w:rPr>
        <w:t>، تحقيق: عبد المعطي أمين قلعجي، ط1، جامعة الدراسات الإسلامية، كراتشي ـ باكستان</w:t>
      </w:r>
    </w:p>
    <w:p w14:paraId="7BBA578A"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tl/>
          <w:lang w:bidi="ar-JO"/>
        </w:rPr>
      </w:pPr>
      <w:r w:rsidRPr="00706B94">
        <w:rPr>
          <w:rFonts w:ascii="Arabic Transparent" w:eastAsia="Calibri" w:hAnsi="Arabic Transparent" w:cs="Arabic Transparent"/>
          <w:sz w:val="26"/>
          <w:szCs w:val="26"/>
          <w:rtl/>
          <w:lang w:bidi="ar-JO"/>
        </w:rPr>
        <w:t xml:space="preserve">البيهقي، أحمد بن الحسين بن علي، أبو بكر(2003م). </w:t>
      </w:r>
      <w:r w:rsidRPr="00706B94">
        <w:rPr>
          <w:rFonts w:ascii="Arabic Transparent" w:eastAsia="Calibri" w:hAnsi="Arabic Transparent" w:cs="Arabic Transparent"/>
          <w:b/>
          <w:bCs/>
          <w:sz w:val="26"/>
          <w:szCs w:val="26"/>
          <w:rtl/>
          <w:lang w:bidi="ar-JO"/>
        </w:rPr>
        <w:t>السنن الكبرى</w:t>
      </w:r>
      <w:r w:rsidRPr="00706B94">
        <w:rPr>
          <w:rFonts w:ascii="Arabic Transparent" w:eastAsia="Calibri" w:hAnsi="Arabic Transparent" w:cs="Arabic Transparent"/>
          <w:sz w:val="26"/>
          <w:szCs w:val="26"/>
          <w:rtl/>
          <w:lang w:bidi="ar-JO"/>
        </w:rPr>
        <w:t xml:space="preserve">، تحقيق محمد عبد القادر عطا، ط3، دار الكتب العلمية، بيروت. </w:t>
      </w:r>
    </w:p>
    <w:p w14:paraId="36BD460A"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البيهقي، أحمد بن الحسين بن علي بن موسى الخُسْرَوْجِردي الخراساني، أبو بكر (1991)، </w:t>
      </w:r>
      <w:r w:rsidRPr="00706B94">
        <w:rPr>
          <w:rFonts w:ascii="Arabic Transparent" w:eastAsia="Calibri" w:hAnsi="Arabic Transparent" w:cs="Arabic Transparent"/>
          <w:b/>
          <w:bCs/>
          <w:sz w:val="26"/>
          <w:szCs w:val="26"/>
          <w:rtl/>
          <w:lang w:bidi="ar-JO"/>
        </w:rPr>
        <w:t>معرفة السنن والآثار</w:t>
      </w:r>
      <w:r w:rsidRPr="00706B94">
        <w:rPr>
          <w:rFonts w:ascii="Arabic Transparent" w:eastAsia="Calibri" w:hAnsi="Arabic Transparent" w:cs="Arabic Transparent"/>
          <w:sz w:val="26"/>
          <w:szCs w:val="26"/>
          <w:rtl/>
          <w:lang w:bidi="ar-JO"/>
        </w:rPr>
        <w:t>، تحقيق: عبد المعطي أمين قلعجي، ط1، جامعة الدراسات الإسلامية، كراتشي- باكستان.</w:t>
      </w:r>
    </w:p>
    <w:p w14:paraId="1634BFAF"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الترمذي، أبو عيسى محمد بن عيسى بن سورة. (2009)  </w:t>
      </w:r>
      <w:r w:rsidRPr="00706B94">
        <w:rPr>
          <w:rFonts w:ascii="Arabic Transparent" w:eastAsia="Calibri" w:hAnsi="Arabic Transparent" w:cs="Arabic Transparent"/>
          <w:b/>
          <w:bCs/>
          <w:sz w:val="26"/>
          <w:szCs w:val="26"/>
          <w:rtl/>
          <w:lang w:bidi="ar-JO"/>
        </w:rPr>
        <w:t>سنن الترمذي</w:t>
      </w:r>
      <w:r w:rsidRPr="00706B94">
        <w:rPr>
          <w:rFonts w:ascii="Arabic Transparent" w:eastAsia="Calibri" w:hAnsi="Arabic Transparent" w:cs="Arabic Transparent"/>
          <w:sz w:val="26"/>
          <w:szCs w:val="26"/>
          <w:rtl/>
          <w:lang w:bidi="ar-JO"/>
        </w:rPr>
        <w:t xml:space="preserve">، تحقيق: شعيب الأرنؤوط وآخرين، ط1، دار الرسالة العالمية، لبنان، </w:t>
      </w:r>
    </w:p>
    <w:p w14:paraId="00AA4C15"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التفتازاني، سعد الدين مسعود بن عمر، (1998م)، </w:t>
      </w:r>
      <w:r w:rsidRPr="00706B94">
        <w:rPr>
          <w:rFonts w:ascii="Arabic Transparent" w:eastAsia="Calibri" w:hAnsi="Arabic Transparent" w:cs="Arabic Transparent"/>
          <w:b/>
          <w:bCs/>
          <w:sz w:val="26"/>
          <w:szCs w:val="26"/>
          <w:rtl/>
          <w:lang w:bidi="ar-JO"/>
        </w:rPr>
        <w:t>شرح المقاصد في علم الكلام</w:t>
      </w:r>
      <w:r w:rsidRPr="00706B94">
        <w:rPr>
          <w:rFonts w:ascii="Arabic Transparent" w:eastAsia="Calibri" w:hAnsi="Arabic Transparent" w:cs="Arabic Transparent"/>
          <w:sz w:val="26"/>
          <w:szCs w:val="26"/>
          <w:rtl/>
          <w:lang w:bidi="ar-JO"/>
        </w:rPr>
        <w:t>، ط1، دار الكتب للطباعة والنشر والتوزيع- بيروت.</w:t>
      </w:r>
    </w:p>
    <w:p w14:paraId="20357B40"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التلمساني، محمد بن أحمد، (1998)، </w:t>
      </w:r>
      <w:r w:rsidRPr="00706B94">
        <w:rPr>
          <w:rFonts w:ascii="Arabic Transparent" w:eastAsia="Calibri" w:hAnsi="Arabic Transparent" w:cs="Arabic Transparent"/>
          <w:b/>
          <w:bCs/>
          <w:sz w:val="26"/>
          <w:szCs w:val="26"/>
          <w:rtl/>
          <w:lang w:bidi="ar-JO"/>
        </w:rPr>
        <w:t>مفتاح الوصول إلى بناء الفروع على الأصول</w:t>
      </w:r>
      <w:r w:rsidRPr="00706B94">
        <w:rPr>
          <w:rFonts w:ascii="Arabic Transparent" w:eastAsia="Calibri" w:hAnsi="Arabic Transparent" w:cs="Arabic Transparent"/>
          <w:sz w:val="26"/>
          <w:szCs w:val="26"/>
          <w:rtl/>
          <w:lang w:bidi="ar-JO"/>
        </w:rPr>
        <w:t xml:space="preserve"> (تحقيق محمد علي فركوس) ط1، المكتبة المكية - مكة المكرمة، مؤسسة الريان - بيروت.</w:t>
      </w:r>
    </w:p>
    <w:p w14:paraId="3EC613E1"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التهانوي، محمد أعلى بن علي بن محمد حامد الفاروقي الحنفي، (1996)، </w:t>
      </w:r>
      <w:r w:rsidRPr="00706B94">
        <w:rPr>
          <w:rFonts w:ascii="Arabic Transparent" w:eastAsia="Calibri" w:hAnsi="Arabic Transparent" w:cs="Arabic Transparent"/>
          <w:b/>
          <w:bCs/>
          <w:sz w:val="26"/>
          <w:szCs w:val="26"/>
          <w:rtl/>
          <w:lang w:bidi="ar-JO"/>
        </w:rPr>
        <w:t>كشاف اصطلاحات الفنون والعلوم</w:t>
      </w:r>
      <w:r w:rsidRPr="00706B94">
        <w:rPr>
          <w:rFonts w:ascii="Arabic Transparent" w:eastAsia="Calibri" w:hAnsi="Arabic Transparent" w:cs="Arabic Transparent"/>
          <w:sz w:val="26"/>
          <w:szCs w:val="26"/>
          <w:rtl/>
          <w:lang w:bidi="ar-JO"/>
        </w:rPr>
        <w:t>، تحقيق: علي دحروج، تقديم وإشراف: رفيق العجم، ط1، مكتبة لبنان ناشرون – بيروت.</w:t>
      </w:r>
    </w:p>
    <w:p w14:paraId="4FF5649C"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التوحيدي، علي بن محمد بن العباس، أبو حيان (1988)، </w:t>
      </w:r>
      <w:r w:rsidRPr="00706B94">
        <w:rPr>
          <w:rFonts w:ascii="Arabic Transparent" w:eastAsia="Calibri" w:hAnsi="Arabic Transparent" w:cs="Arabic Transparent"/>
          <w:b/>
          <w:bCs/>
          <w:sz w:val="26"/>
          <w:szCs w:val="26"/>
          <w:rtl/>
          <w:lang w:bidi="ar-JO"/>
        </w:rPr>
        <w:t>البصائر والذخائر</w:t>
      </w:r>
      <w:r w:rsidRPr="00706B94">
        <w:rPr>
          <w:rFonts w:ascii="Arabic Transparent" w:eastAsia="Calibri" w:hAnsi="Arabic Transparent" w:cs="Arabic Transparent"/>
          <w:sz w:val="26"/>
          <w:szCs w:val="26"/>
          <w:rtl/>
          <w:lang w:bidi="ar-JO"/>
        </w:rPr>
        <w:t>، تحقيق: وداد القاضي، ط1، دار صادر، بيروت.</w:t>
      </w:r>
    </w:p>
    <w:p w14:paraId="142189F1"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ابن تيمية، أحمد بن عبد الحليم بن عبد السلام (2019)، </w:t>
      </w:r>
      <w:r w:rsidRPr="00706B94">
        <w:rPr>
          <w:rFonts w:ascii="Arabic Transparent" w:eastAsia="Calibri" w:hAnsi="Arabic Transparent" w:cs="Arabic Transparent"/>
          <w:b/>
          <w:bCs/>
          <w:sz w:val="26"/>
          <w:szCs w:val="26"/>
          <w:rtl/>
          <w:lang w:bidi="ar-JO"/>
        </w:rPr>
        <w:t>تنبيه الرجل العاقل على تمويه الجدل الباطل</w:t>
      </w:r>
      <w:r w:rsidRPr="00706B94">
        <w:rPr>
          <w:rFonts w:ascii="Arabic Transparent" w:eastAsia="Calibri" w:hAnsi="Arabic Transparent" w:cs="Arabic Transparent"/>
          <w:sz w:val="26"/>
          <w:szCs w:val="26"/>
          <w:rtl/>
          <w:lang w:bidi="ar-JO"/>
        </w:rPr>
        <w:t>، تحقيق: علي بن محمد العمران ومحمد عزير شمس، ط3، دار ابن حزم، بيروت.</w:t>
      </w:r>
    </w:p>
    <w:p w14:paraId="65B5B126"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ابن تيمية، أحمد بن عبد الحليم بن عبد السلام (2019). </w:t>
      </w:r>
      <w:r w:rsidRPr="00706B94">
        <w:rPr>
          <w:rFonts w:ascii="Arabic Transparent" w:eastAsia="Calibri" w:hAnsi="Arabic Transparent" w:cs="Arabic Transparent"/>
          <w:b/>
          <w:bCs/>
          <w:sz w:val="26"/>
          <w:szCs w:val="26"/>
          <w:rtl/>
          <w:lang w:bidi="ar-JO"/>
        </w:rPr>
        <w:t>جامع المسائل</w:t>
      </w:r>
      <w:r w:rsidRPr="00706B94">
        <w:rPr>
          <w:rFonts w:ascii="Arabic Transparent" w:eastAsia="Calibri" w:hAnsi="Arabic Transparent" w:cs="Arabic Transparent"/>
          <w:sz w:val="26"/>
          <w:szCs w:val="26"/>
          <w:rtl/>
          <w:lang w:bidi="ar-JO"/>
        </w:rPr>
        <w:t xml:space="preserve"> (تحقيق: محمد عزير شمس، وعلي بن محمد العمران، وعبد الرحمن بن حسن قائد)، ط2، دار عطاءات العلم، الرياض؛ دار ابن حزم، بيروت.</w:t>
      </w:r>
    </w:p>
    <w:p w14:paraId="0659ED67"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ابن تيمية، أحمد بن عبد الحليم بن عبد السلام، أبو العباس تقي الدين (1991)، </w:t>
      </w:r>
      <w:r w:rsidRPr="00706B94">
        <w:rPr>
          <w:rFonts w:ascii="Arabic Transparent" w:eastAsia="Calibri" w:hAnsi="Arabic Transparent" w:cs="Arabic Transparent"/>
          <w:b/>
          <w:bCs/>
          <w:sz w:val="26"/>
          <w:szCs w:val="26"/>
          <w:rtl/>
          <w:lang w:bidi="ar-JO"/>
        </w:rPr>
        <w:t>درء تعارض العقل والنقل</w:t>
      </w:r>
      <w:r w:rsidRPr="00706B94">
        <w:rPr>
          <w:rFonts w:ascii="Arabic Transparent" w:eastAsia="Calibri" w:hAnsi="Arabic Transparent" w:cs="Arabic Transparent"/>
          <w:sz w:val="26"/>
          <w:szCs w:val="26"/>
          <w:rtl/>
          <w:lang w:bidi="ar-JO"/>
        </w:rPr>
        <w:t>، تحقيق: محمد رشاد سالم، ط2، جامعة الإمام محمد بن سعود الإسلامية، المملكة العربية السعودية.</w:t>
      </w:r>
    </w:p>
    <w:p w14:paraId="42F53FCA"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ابن تيمية، تقي الدين أحمد بن عبد الحليم (1997). </w:t>
      </w:r>
      <w:r w:rsidRPr="00706B94">
        <w:rPr>
          <w:rFonts w:ascii="Arabic Transparent" w:eastAsia="Calibri" w:hAnsi="Arabic Transparent" w:cs="Arabic Transparent"/>
          <w:b/>
          <w:bCs/>
          <w:sz w:val="26"/>
          <w:szCs w:val="26"/>
          <w:rtl/>
          <w:lang w:bidi="ar-JO"/>
        </w:rPr>
        <w:t>السياسة الشرعية في إصلاح الراعي والرعية</w:t>
      </w:r>
      <w:r w:rsidRPr="00706B94">
        <w:rPr>
          <w:rFonts w:ascii="Arabic Transparent" w:eastAsia="Calibri" w:hAnsi="Arabic Transparent" w:cs="Arabic Transparent"/>
          <w:sz w:val="26"/>
          <w:szCs w:val="26"/>
          <w:rtl/>
          <w:lang w:bidi="ar-JO"/>
        </w:rPr>
        <w:t>، ط1، وزارة الشؤون الإسلامية والأوقاف والدعوة والإرشاد، المملكة العربية السعودية.</w:t>
      </w:r>
    </w:p>
    <w:p w14:paraId="559D0B23"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ابن تيمية، أحمد بن عبد الحليم، (1987)، </w:t>
      </w:r>
      <w:r w:rsidRPr="00706B94">
        <w:rPr>
          <w:rFonts w:ascii="Arabic Transparent" w:eastAsia="Calibri" w:hAnsi="Arabic Transparent" w:cs="Arabic Transparent"/>
          <w:b/>
          <w:bCs/>
          <w:sz w:val="26"/>
          <w:szCs w:val="26"/>
          <w:rtl/>
          <w:lang w:bidi="ar-JO"/>
        </w:rPr>
        <w:t>الفتاوى الكبرى</w:t>
      </w:r>
      <w:r w:rsidRPr="00706B94">
        <w:rPr>
          <w:rFonts w:ascii="Arabic Transparent" w:eastAsia="Calibri" w:hAnsi="Arabic Transparent" w:cs="Arabic Transparent"/>
          <w:sz w:val="26"/>
          <w:szCs w:val="26"/>
          <w:rtl/>
          <w:lang w:bidi="ar-JO"/>
        </w:rPr>
        <w:t>، ط1، دار الكتب العلمية - بيروت.</w:t>
      </w:r>
    </w:p>
    <w:p w14:paraId="04C126FE"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tl/>
          <w:lang w:bidi="ar-JO"/>
        </w:rPr>
      </w:pPr>
      <w:r w:rsidRPr="00706B94">
        <w:rPr>
          <w:rFonts w:ascii="Arabic Transparent" w:eastAsia="Calibri" w:hAnsi="Arabic Transparent" w:cs="Arabic Transparent"/>
          <w:sz w:val="26"/>
          <w:szCs w:val="26"/>
          <w:rtl/>
          <w:lang w:bidi="ar-JO"/>
        </w:rPr>
        <w:t xml:space="preserve">ابن تيمية، أحمد بن عبد الحليم، (2004م)، </w:t>
      </w:r>
      <w:r w:rsidRPr="00706B94">
        <w:rPr>
          <w:rFonts w:ascii="Arabic Transparent" w:eastAsia="Calibri" w:hAnsi="Arabic Transparent" w:cs="Arabic Transparent"/>
          <w:b/>
          <w:bCs/>
          <w:sz w:val="26"/>
          <w:szCs w:val="26"/>
          <w:rtl/>
          <w:lang w:bidi="ar-JO"/>
        </w:rPr>
        <w:t>مجموع الفتاوى</w:t>
      </w:r>
      <w:r w:rsidRPr="00706B94">
        <w:rPr>
          <w:rFonts w:ascii="Arabic Transparent" w:eastAsia="Calibri" w:hAnsi="Arabic Transparent" w:cs="Arabic Transparent"/>
          <w:sz w:val="26"/>
          <w:szCs w:val="26"/>
          <w:rtl/>
          <w:lang w:bidi="ar-JO"/>
        </w:rPr>
        <w:t>، تحقيق عبد الرحمن بن محمد بن قاسم، ط1، مجمع الملك فهد لطباعة المصحف الشريف – المدينة المنورة.</w:t>
      </w:r>
    </w:p>
    <w:p w14:paraId="0101999F"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tl/>
          <w:lang w:bidi="ar-JO"/>
        </w:rPr>
      </w:pPr>
      <w:r w:rsidRPr="00706B94">
        <w:rPr>
          <w:rFonts w:ascii="Arabic Transparent" w:eastAsia="Calibri" w:hAnsi="Arabic Transparent" w:cs="Arabic Transparent"/>
          <w:sz w:val="26"/>
          <w:szCs w:val="26"/>
          <w:rtl/>
          <w:lang w:bidi="ar-JO"/>
        </w:rPr>
        <w:t xml:space="preserve">ابن تيمية، أحمد بن عبد الحليم، (1986)، </w:t>
      </w:r>
      <w:r w:rsidRPr="00706B94">
        <w:rPr>
          <w:rFonts w:ascii="Arabic Transparent" w:eastAsia="Calibri" w:hAnsi="Arabic Transparent" w:cs="Arabic Transparent"/>
          <w:b/>
          <w:bCs/>
          <w:sz w:val="26"/>
          <w:szCs w:val="26"/>
          <w:rtl/>
          <w:lang w:bidi="ar-JO"/>
        </w:rPr>
        <w:t>منهاج السنة النبوية في نقض كلام الشيعة القدرية</w:t>
      </w:r>
      <w:r w:rsidRPr="00706B94">
        <w:rPr>
          <w:rFonts w:ascii="Arabic Transparent" w:eastAsia="Calibri" w:hAnsi="Arabic Transparent" w:cs="Arabic Transparent"/>
          <w:sz w:val="26"/>
          <w:szCs w:val="26"/>
          <w:rtl/>
          <w:lang w:bidi="ar-JO"/>
        </w:rPr>
        <w:t xml:space="preserve"> (تحقيق محمد رشاد سالم) ط1، جامعة الإمام محمد بن سعود الإسلامية - الرياض.</w:t>
      </w:r>
    </w:p>
    <w:p w14:paraId="356F16D8"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lastRenderedPageBreak/>
        <w:t xml:space="preserve">جابر، محمود صالح، وأيمن مصطفى الدباغ، (2005)، </w:t>
      </w:r>
      <w:r w:rsidRPr="00706B94">
        <w:rPr>
          <w:rFonts w:ascii="Arabic Transparent" w:eastAsia="Calibri" w:hAnsi="Arabic Transparent" w:cs="Arabic Transparent"/>
          <w:b/>
          <w:bCs/>
          <w:sz w:val="26"/>
          <w:szCs w:val="26"/>
          <w:rtl/>
        </w:rPr>
        <w:t>مناهج الأصوليين في بحث مسألة تعليل الأحكام،</w:t>
      </w:r>
      <w:r w:rsidRPr="00706B94">
        <w:rPr>
          <w:rFonts w:ascii="Arabic Transparent" w:eastAsia="Calibri" w:hAnsi="Arabic Transparent" w:cs="Arabic Transparent"/>
          <w:sz w:val="26"/>
          <w:szCs w:val="26"/>
          <w:rtl/>
        </w:rPr>
        <w:t xml:space="preserve"> مجلة دراسات: علوم الشريعة والقانون، المجلد 32، العدد 1، ص174–195.</w:t>
      </w:r>
    </w:p>
    <w:p w14:paraId="01CC2B26"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الجاوي، محمد بن عمر (د.ت). </w:t>
      </w:r>
      <w:r w:rsidRPr="00706B94">
        <w:rPr>
          <w:rFonts w:ascii="Arabic Transparent" w:eastAsia="Calibri" w:hAnsi="Arabic Transparent" w:cs="Arabic Transparent"/>
          <w:b/>
          <w:bCs/>
          <w:sz w:val="26"/>
          <w:szCs w:val="26"/>
          <w:rtl/>
        </w:rPr>
        <w:t>نهاية الزين في إرشاد المبتدئين</w:t>
      </w:r>
      <w:r w:rsidRPr="00706B94">
        <w:rPr>
          <w:rFonts w:ascii="Arabic Transparent" w:eastAsia="Calibri" w:hAnsi="Arabic Transparent" w:cs="Arabic Transparent"/>
          <w:sz w:val="26"/>
          <w:szCs w:val="26"/>
          <w:rtl/>
        </w:rPr>
        <w:t>، ط1، دار الفكر، بيروت.</w:t>
      </w:r>
    </w:p>
    <w:p w14:paraId="10A0051C"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جبل، محمد حسن حسن، (2010)، </w:t>
      </w:r>
      <w:r w:rsidRPr="00706B94">
        <w:rPr>
          <w:rFonts w:ascii="Arabic Transparent" w:eastAsia="Calibri" w:hAnsi="Arabic Transparent" w:cs="Arabic Transparent"/>
          <w:b/>
          <w:bCs/>
          <w:sz w:val="26"/>
          <w:szCs w:val="26"/>
          <w:rtl/>
        </w:rPr>
        <w:t>المعجم الاشتقاقي المؤصل لألفاظ القرآن الكريم</w:t>
      </w:r>
      <w:r w:rsidRPr="00706B94">
        <w:rPr>
          <w:rFonts w:ascii="Arabic Transparent" w:eastAsia="Calibri" w:hAnsi="Arabic Transparent" w:cs="Arabic Transparent"/>
          <w:sz w:val="26"/>
          <w:szCs w:val="26"/>
          <w:rtl/>
        </w:rPr>
        <w:t>، ط1، مكتبة الآداب – القاهرة.</w:t>
      </w:r>
    </w:p>
    <w:p w14:paraId="65F0AE68"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tl/>
          <w:lang w:bidi="ar-JO"/>
        </w:rPr>
      </w:pPr>
      <w:r w:rsidRPr="00706B94">
        <w:rPr>
          <w:rFonts w:ascii="Arabic Transparent" w:eastAsia="Calibri" w:hAnsi="Arabic Transparent" w:cs="Arabic Transparent"/>
          <w:sz w:val="26"/>
          <w:szCs w:val="26"/>
          <w:rtl/>
          <w:lang w:bidi="ar-JO"/>
        </w:rPr>
        <w:t xml:space="preserve">ابن جُزَي، محمد بن أحمد، (2003)، </w:t>
      </w:r>
      <w:r w:rsidRPr="00706B94">
        <w:rPr>
          <w:rFonts w:ascii="Arabic Transparent" w:eastAsia="Calibri" w:hAnsi="Arabic Transparent" w:cs="Arabic Transparent"/>
          <w:b/>
          <w:bCs/>
          <w:sz w:val="26"/>
          <w:szCs w:val="26"/>
          <w:rtl/>
          <w:lang w:bidi="ar-JO"/>
        </w:rPr>
        <w:t>تقريب الوصول إلى علم الأصول</w:t>
      </w:r>
      <w:r w:rsidRPr="00706B94">
        <w:rPr>
          <w:rFonts w:ascii="Arabic Transparent" w:eastAsia="Calibri" w:hAnsi="Arabic Transparent" w:cs="Arabic Transparent"/>
          <w:sz w:val="26"/>
          <w:szCs w:val="26"/>
          <w:rtl/>
          <w:lang w:bidi="ar-JO"/>
        </w:rPr>
        <w:t xml:space="preserve"> (تحقيق محمد حسن إسماعيل) ط1، دار الكتب العلمية - بيروت، لبنان.</w:t>
      </w:r>
    </w:p>
    <w:p w14:paraId="5D5FB534"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الجرجاني، علي بن محمد بن علي الزين الشريف، (1983)، </w:t>
      </w:r>
      <w:r w:rsidRPr="00706B94">
        <w:rPr>
          <w:rFonts w:ascii="Arabic Transparent" w:eastAsia="Calibri" w:hAnsi="Arabic Transparent" w:cs="Arabic Transparent"/>
          <w:b/>
          <w:bCs/>
          <w:sz w:val="26"/>
          <w:szCs w:val="26"/>
          <w:rtl/>
        </w:rPr>
        <w:t>التعريفات</w:t>
      </w:r>
      <w:r w:rsidRPr="00706B94">
        <w:rPr>
          <w:rFonts w:ascii="Arabic Transparent" w:eastAsia="Calibri" w:hAnsi="Arabic Transparent" w:cs="Arabic Transparent"/>
          <w:sz w:val="26"/>
          <w:szCs w:val="26"/>
          <w:rtl/>
        </w:rPr>
        <w:t xml:space="preserve"> (ضبطه وصححه جماعة من العلماء بإشراف الناشر)، ط1، دار الكتب العلمية - بيروت، لبنان.</w:t>
      </w:r>
    </w:p>
    <w:p w14:paraId="3BB77B89"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tl/>
        </w:rPr>
      </w:pPr>
      <w:r w:rsidRPr="00706B94">
        <w:rPr>
          <w:rFonts w:ascii="Arabic Transparent" w:eastAsia="Calibri" w:hAnsi="Arabic Transparent" w:cs="Arabic Transparent"/>
          <w:sz w:val="26"/>
          <w:szCs w:val="26"/>
          <w:rtl/>
        </w:rPr>
        <w:t xml:space="preserve">الجمل، سليمان بن عمر بن منصور العجيلي الأزهري (د.ت)، </w:t>
      </w:r>
      <w:r w:rsidRPr="00706B94">
        <w:rPr>
          <w:rFonts w:ascii="Arabic Transparent" w:eastAsia="Calibri" w:hAnsi="Arabic Transparent" w:cs="Arabic Transparent"/>
          <w:b/>
          <w:bCs/>
          <w:sz w:val="26"/>
          <w:szCs w:val="26"/>
          <w:rtl/>
        </w:rPr>
        <w:t>فتوحات الوهاب بتوضيح شرح منهج الطلاب المعروف بحاشية الجمل</w:t>
      </w:r>
      <w:r w:rsidRPr="00706B94">
        <w:rPr>
          <w:rFonts w:ascii="Arabic Transparent" w:eastAsia="Calibri" w:hAnsi="Arabic Transparent" w:cs="Arabic Transparent"/>
          <w:sz w:val="26"/>
          <w:szCs w:val="26"/>
          <w:rtl/>
        </w:rPr>
        <w:t>، دار الفكر، بيروت.</w:t>
      </w:r>
    </w:p>
    <w:p w14:paraId="090B02FA"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الجوهري، أبو نصر إسماعيل بن حماد الفارابي، (1987)، </w:t>
      </w:r>
      <w:r w:rsidRPr="00706B94">
        <w:rPr>
          <w:rFonts w:ascii="Arabic Transparent" w:eastAsia="Calibri" w:hAnsi="Arabic Transparent" w:cs="Arabic Transparent"/>
          <w:b/>
          <w:bCs/>
          <w:sz w:val="26"/>
          <w:szCs w:val="26"/>
          <w:rtl/>
        </w:rPr>
        <w:t>الصحاح تاج اللغة وصحاح العربية</w:t>
      </w:r>
      <w:r w:rsidRPr="00706B94">
        <w:rPr>
          <w:rFonts w:ascii="Arabic Transparent" w:eastAsia="Calibri" w:hAnsi="Arabic Transparent" w:cs="Arabic Transparent"/>
          <w:sz w:val="26"/>
          <w:szCs w:val="26"/>
          <w:rtl/>
        </w:rPr>
        <w:t>، تحقيق: أحمد عبد الغفور عطار، ط4، دار العلم للملايين – بيروت.</w:t>
      </w:r>
    </w:p>
    <w:p w14:paraId="067DD9E3"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الجوهري، إسماعيل ابن غنيم (2010م)، </w:t>
      </w:r>
      <w:r w:rsidRPr="00706B94">
        <w:rPr>
          <w:rFonts w:ascii="Arabic Transparent" w:eastAsia="Calibri" w:hAnsi="Arabic Transparent" w:cs="Arabic Transparent"/>
          <w:b/>
          <w:bCs/>
          <w:sz w:val="26"/>
          <w:szCs w:val="26"/>
          <w:rtl/>
        </w:rPr>
        <w:t>إجراز السعد بإنجاز الوعد بمسائل أما بعد</w:t>
      </w:r>
      <w:r w:rsidRPr="00706B94">
        <w:rPr>
          <w:rFonts w:ascii="Arabic Transparent" w:eastAsia="Calibri" w:hAnsi="Arabic Transparent" w:cs="Arabic Transparent"/>
          <w:sz w:val="26"/>
          <w:szCs w:val="26"/>
          <w:rtl/>
        </w:rPr>
        <w:t>، تحقيق: د. جميل عبدالله عويضة، د.ط،  المكتبة العصرية -بيروت.</w:t>
      </w:r>
    </w:p>
    <w:p w14:paraId="251C7B42"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الجويني، عبد الملك بن عبد الله بن يوسف بن محمد، (1996)، ا</w:t>
      </w:r>
      <w:r w:rsidRPr="00706B94">
        <w:rPr>
          <w:rFonts w:ascii="Arabic Transparent" w:eastAsia="Calibri" w:hAnsi="Arabic Transparent" w:cs="Arabic Transparent"/>
          <w:b/>
          <w:bCs/>
          <w:sz w:val="26"/>
          <w:szCs w:val="26"/>
          <w:rtl/>
        </w:rPr>
        <w:t>لتلخيص في أصول الفقه</w:t>
      </w:r>
      <w:r w:rsidRPr="00706B94">
        <w:rPr>
          <w:rFonts w:ascii="Arabic Transparent" w:eastAsia="Calibri" w:hAnsi="Arabic Transparent" w:cs="Arabic Transparent"/>
          <w:sz w:val="26"/>
          <w:szCs w:val="26"/>
          <w:rtl/>
        </w:rPr>
        <w:t xml:space="preserve"> ( تحقيق عبد الله جولم النبالي وبشير أحمد العمري) ط1، دار البشائر الإسلامية - بيروت.</w:t>
      </w:r>
    </w:p>
    <w:p w14:paraId="50B169BE"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الجويني، عبد الملك بن عبد الله بن يوسف، أبو المعالي (إمام الحرمين)، (1981)، </w:t>
      </w:r>
      <w:r w:rsidRPr="00706B94">
        <w:rPr>
          <w:rFonts w:ascii="Arabic Transparent" w:eastAsia="Calibri" w:hAnsi="Arabic Transparent" w:cs="Arabic Transparent"/>
          <w:b/>
          <w:bCs/>
          <w:sz w:val="26"/>
          <w:szCs w:val="26"/>
          <w:rtl/>
        </w:rPr>
        <w:t>غياث الأمم في التياث الظلم</w:t>
      </w:r>
      <w:r w:rsidRPr="00706B94">
        <w:rPr>
          <w:rFonts w:ascii="Arabic Transparent" w:eastAsia="Calibri" w:hAnsi="Arabic Transparent" w:cs="Arabic Transparent"/>
          <w:sz w:val="26"/>
          <w:szCs w:val="26"/>
          <w:rtl/>
        </w:rPr>
        <w:t xml:space="preserve"> (تحقيق عبد العظيم الديب)، ط2، مكتبة إمام الحرمين، قطر.</w:t>
      </w:r>
    </w:p>
    <w:p w14:paraId="413284E6"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الجويني، عبد الملك بن عبد الله بن يوسف (1999). </w:t>
      </w:r>
      <w:r w:rsidRPr="00706B94">
        <w:rPr>
          <w:rFonts w:ascii="Arabic Transparent" w:eastAsia="Calibri" w:hAnsi="Arabic Transparent" w:cs="Arabic Transparent"/>
          <w:b/>
          <w:bCs/>
          <w:sz w:val="26"/>
          <w:szCs w:val="26"/>
          <w:rtl/>
        </w:rPr>
        <w:t>الكافية في الجدل</w:t>
      </w:r>
      <w:r w:rsidRPr="00706B94">
        <w:rPr>
          <w:rFonts w:ascii="Arabic Transparent" w:eastAsia="Calibri" w:hAnsi="Arabic Transparent" w:cs="Arabic Transparent"/>
          <w:sz w:val="26"/>
          <w:szCs w:val="26"/>
          <w:rtl/>
        </w:rPr>
        <w:t>، ط1، دار الكتب العلمية، بيروت، ص 69.</w:t>
      </w:r>
    </w:p>
    <w:p w14:paraId="4A215474"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الجويني، عبد الملك بن عبد الله بن يوسف (2007م). </w:t>
      </w:r>
      <w:r w:rsidRPr="00706B94">
        <w:rPr>
          <w:rFonts w:ascii="Arabic Transparent" w:eastAsia="Calibri" w:hAnsi="Arabic Transparent" w:cs="Arabic Transparent"/>
          <w:b/>
          <w:bCs/>
          <w:sz w:val="26"/>
          <w:szCs w:val="26"/>
          <w:rtl/>
        </w:rPr>
        <w:t>نهاية المطلب في دراية المذهب</w:t>
      </w:r>
      <w:r w:rsidRPr="00706B94">
        <w:rPr>
          <w:rFonts w:ascii="Arabic Transparent" w:eastAsia="Calibri" w:hAnsi="Arabic Transparent" w:cs="Arabic Transparent"/>
          <w:sz w:val="26"/>
          <w:szCs w:val="26"/>
          <w:rtl/>
        </w:rPr>
        <w:t xml:space="preserve"> (تحقيق وفهارس: عبد العظيم محمود الدّيب). ط1، دار المنهاج، جدة.</w:t>
      </w:r>
    </w:p>
    <w:p w14:paraId="7BB1CB5E"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tl/>
        </w:rPr>
      </w:pPr>
      <w:r w:rsidRPr="00706B94">
        <w:rPr>
          <w:rFonts w:ascii="Arabic Transparent" w:eastAsia="Calibri" w:hAnsi="Arabic Transparent" w:cs="Arabic Transparent"/>
          <w:sz w:val="26"/>
          <w:szCs w:val="26"/>
          <w:rtl/>
        </w:rPr>
        <w:t xml:space="preserve">أبو جيب، معتز؛ وهاشم، أشرف. (2019). </w:t>
      </w:r>
      <w:r w:rsidRPr="00706B94">
        <w:rPr>
          <w:rFonts w:ascii="Arabic Transparent" w:eastAsia="Calibri" w:hAnsi="Arabic Transparent" w:cs="Arabic Transparent"/>
          <w:b/>
          <w:bCs/>
          <w:sz w:val="26"/>
          <w:szCs w:val="26"/>
          <w:rtl/>
        </w:rPr>
        <w:t>أنواع العملات الرقمية المشفرة</w:t>
      </w:r>
      <w:r w:rsidRPr="00706B94">
        <w:rPr>
          <w:rFonts w:ascii="Arabic Transparent" w:eastAsia="Calibri" w:hAnsi="Arabic Transparent" w:cs="Arabic Transparent"/>
          <w:sz w:val="26"/>
          <w:szCs w:val="26"/>
          <w:rtl/>
        </w:rPr>
        <w:t>. ورقة عمل مقدمة إلى ندوة العملات الإلكترونية. مجمع الفقه الإسلامي الدولي. جدة، المملكة العربية السعودية. 9-11 سبتمبر 2019م.</w:t>
      </w:r>
    </w:p>
    <w:p w14:paraId="6ED3BE32"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tl/>
        </w:rPr>
      </w:pPr>
      <w:r w:rsidRPr="00706B94">
        <w:rPr>
          <w:rFonts w:ascii="Arabic Transparent" w:eastAsia="Calibri" w:hAnsi="Arabic Transparent" w:cs="Arabic Transparent"/>
          <w:sz w:val="26"/>
          <w:szCs w:val="26"/>
          <w:rtl/>
        </w:rPr>
        <w:t xml:space="preserve">الجيزاني، محمد بن حسين (2010). </w:t>
      </w:r>
      <w:r w:rsidRPr="00706B94">
        <w:rPr>
          <w:rFonts w:ascii="Arabic Transparent" w:eastAsia="Calibri" w:hAnsi="Arabic Transparent" w:cs="Arabic Transparent"/>
          <w:b/>
          <w:bCs/>
          <w:sz w:val="26"/>
          <w:szCs w:val="26"/>
          <w:rtl/>
        </w:rPr>
        <w:t>منهج السلف في الجمع بين النصوص والمقاصد وتطبيقاته المعاصرة</w:t>
      </w:r>
      <w:r w:rsidRPr="00706B94">
        <w:rPr>
          <w:rFonts w:ascii="Arabic Transparent" w:eastAsia="Calibri" w:hAnsi="Arabic Transparent" w:cs="Arabic Transparent"/>
          <w:sz w:val="26"/>
          <w:szCs w:val="26"/>
          <w:rtl/>
        </w:rPr>
        <w:t>، بحث مقدم لندوة نحو منهج علمي أصيل لدراسة القضايا الفقهية المعاصرة، مركز التميز البحثي في فقه القضايا المعاصرة، جامعة الإمام محمد بن سعود الإسلامية، الرياض.</w:t>
      </w:r>
    </w:p>
    <w:p w14:paraId="4C34777A"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val="en-AE"/>
        </w:rPr>
      </w:pPr>
      <w:r w:rsidRPr="00706B94">
        <w:rPr>
          <w:rFonts w:ascii="Arabic Transparent" w:eastAsia="Calibri" w:hAnsi="Arabic Transparent" w:cs="Arabic Transparent"/>
          <w:sz w:val="26"/>
          <w:szCs w:val="26"/>
          <w:rtl/>
          <w:lang w:val="en-AE"/>
        </w:rPr>
        <w:t xml:space="preserve">حاج، ابن أمير محمد الحنفي (1898)، </w:t>
      </w:r>
      <w:r w:rsidRPr="00706B94">
        <w:rPr>
          <w:rFonts w:ascii="Arabic Transparent" w:eastAsia="Calibri" w:hAnsi="Arabic Transparent" w:cs="Arabic Transparent"/>
          <w:b/>
          <w:bCs/>
          <w:sz w:val="26"/>
          <w:szCs w:val="26"/>
          <w:rtl/>
          <w:lang w:val="en-AE"/>
        </w:rPr>
        <w:t>التقرير والتحبير على كتاب التحرير</w:t>
      </w:r>
      <w:r w:rsidRPr="00706B94">
        <w:rPr>
          <w:rFonts w:ascii="Arabic Transparent" w:eastAsia="Calibri" w:hAnsi="Arabic Transparent" w:cs="Arabic Transparent"/>
          <w:sz w:val="26"/>
          <w:szCs w:val="26"/>
          <w:rtl/>
          <w:lang w:val="en-AE"/>
        </w:rPr>
        <w:t>، ط1، المطبعة الكبرى الأميرية، بولاق – مصر.</w:t>
      </w:r>
    </w:p>
    <w:p w14:paraId="13D87224"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val="en-AE"/>
        </w:rPr>
      </w:pPr>
      <w:r w:rsidRPr="00706B94">
        <w:rPr>
          <w:rFonts w:ascii="Arabic Transparent" w:eastAsia="Calibri" w:hAnsi="Arabic Transparent" w:cs="Arabic Transparent"/>
          <w:sz w:val="26"/>
          <w:szCs w:val="26"/>
          <w:rtl/>
          <w:lang w:val="en-AE"/>
        </w:rPr>
        <w:t xml:space="preserve">الحاج، حاتم (2019)، </w:t>
      </w:r>
      <w:r w:rsidRPr="00706B94">
        <w:rPr>
          <w:rFonts w:ascii="Arabic Transparent" w:eastAsia="Calibri" w:hAnsi="Arabic Transparent" w:cs="Arabic Transparent"/>
          <w:b/>
          <w:bCs/>
          <w:sz w:val="26"/>
          <w:szCs w:val="26"/>
          <w:rtl/>
          <w:lang w:val="en-AE"/>
        </w:rPr>
        <w:t>أثر تطور المعارف الطبية على تغير الفتوى والقضاء</w:t>
      </w:r>
      <w:r w:rsidRPr="00706B94">
        <w:rPr>
          <w:rFonts w:ascii="Arabic Transparent" w:eastAsia="Calibri" w:hAnsi="Arabic Transparent" w:cs="Arabic Transparent"/>
          <w:sz w:val="26"/>
          <w:szCs w:val="26"/>
          <w:rtl/>
          <w:lang w:val="en-AE"/>
        </w:rPr>
        <w:t>، إشراف: صلاح الصاوي، ط2، دار بلال بن رباح؛ دار ابن حزم، القاهرة.</w:t>
      </w:r>
    </w:p>
    <w:p w14:paraId="719F9B5A"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val="en-AE"/>
        </w:rPr>
        <w:t>الحارث، محمد بن داهر التميمي البغدادي (1992). ب</w:t>
      </w:r>
      <w:r w:rsidRPr="00706B94">
        <w:rPr>
          <w:rFonts w:ascii="Arabic Transparent" w:eastAsia="Calibri" w:hAnsi="Arabic Transparent" w:cs="Arabic Transparent"/>
          <w:b/>
          <w:bCs/>
          <w:sz w:val="26"/>
          <w:szCs w:val="26"/>
          <w:rtl/>
          <w:lang w:val="en-AE"/>
        </w:rPr>
        <w:t>غية الباحث عن زوائد مسند الحارث</w:t>
      </w:r>
      <w:r w:rsidRPr="00706B94">
        <w:rPr>
          <w:rFonts w:ascii="Arabic Transparent" w:eastAsia="Calibri" w:hAnsi="Arabic Transparent" w:cs="Arabic Transparent"/>
          <w:sz w:val="26"/>
          <w:szCs w:val="26"/>
          <w:rtl/>
          <w:lang w:val="en-AE"/>
        </w:rPr>
        <w:t xml:space="preserve">. انتقاه نور الدين علي بن أبي بكر الهيثمي، تحقيق حسين أحمد صالح الباكري، ط1، مركز خدمة </w:t>
      </w:r>
      <w:r w:rsidRPr="00706B94">
        <w:rPr>
          <w:rFonts w:ascii="Arabic Transparent" w:eastAsia="Calibri" w:hAnsi="Arabic Transparent" w:cs="Arabic Transparent"/>
          <w:sz w:val="26"/>
          <w:szCs w:val="26"/>
          <w:rtl/>
          <w:lang w:val="en-AE"/>
        </w:rPr>
        <w:lastRenderedPageBreak/>
        <w:t>السنة والسيرة النبوية، المدينة المنورة</w:t>
      </w:r>
      <w:r w:rsidRPr="00706B94">
        <w:rPr>
          <w:rFonts w:ascii="Arabic Transparent" w:eastAsia="Calibri" w:hAnsi="Arabic Transparent" w:cs="Arabic Transparent"/>
          <w:sz w:val="26"/>
          <w:szCs w:val="26"/>
          <w:rtl/>
          <w:lang w:bidi="ar-JO"/>
        </w:rPr>
        <w:t xml:space="preserve">ابن حجر العسقلاني، أحمد بن علي (د.ت). </w:t>
      </w:r>
      <w:r w:rsidRPr="00706B94">
        <w:rPr>
          <w:rFonts w:ascii="Arabic Transparent" w:eastAsia="Calibri" w:hAnsi="Arabic Transparent" w:cs="Arabic Transparent"/>
          <w:b/>
          <w:bCs/>
          <w:sz w:val="26"/>
          <w:szCs w:val="26"/>
          <w:rtl/>
          <w:lang w:bidi="ar-JO"/>
        </w:rPr>
        <w:t>التلخيص الحبير في تخريج أحاديث الرافعي الكبير</w:t>
      </w:r>
      <w:r w:rsidRPr="00706B94">
        <w:rPr>
          <w:rFonts w:ascii="Arabic Transparent" w:eastAsia="Calibri" w:hAnsi="Arabic Transparent" w:cs="Arabic Transparent"/>
          <w:sz w:val="26"/>
          <w:szCs w:val="26"/>
          <w:rtl/>
          <w:lang w:bidi="ar-JO"/>
        </w:rPr>
        <w:t>، ط1، شركة الطباعة الفنية المتحدة – القاهرة.</w:t>
      </w:r>
    </w:p>
    <w:p w14:paraId="1317C874"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ابن حجر العسقلاني، أحمد بن علي، (1960م)، </w:t>
      </w:r>
      <w:r w:rsidRPr="00706B94">
        <w:rPr>
          <w:rFonts w:ascii="Arabic Transparent" w:eastAsia="Calibri" w:hAnsi="Arabic Transparent" w:cs="Arabic Transparent"/>
          <w:b/>
          <w:bCs/>
          <w:sz w:val="26"/>
          <w:szCs w:val="26"/>
          <w:rtl/>
          <w:lang w:bidi="ar-JO"/>
        </w:rPr>
        <w:t>فتح الباري بشرح البخاري</w:t>
      </w:r>
      <w:r w:rsidRPr="00706B94">
        <w:rPr>
          <w:rFonts w:ascii="Arabic Transparent" w:eastAsia="Calibri" w:hAnsi="Arabic Transparent" w:cs="Arabic Transparent"/>
          <w:sz w:val="26"/>
          <w:szCs w:val="26"/>
          <w:rtl/>
          <w:lang w:bidi="ar-JO"/>
        </w:rPr>
        <w:t>، تحقيق محمد فؤاد عبد الباقي، ط1، المكتبة السلفية – مصرالعبكري</w:t>
      </w:r>
    </w:p>
    <w:p w14:paraId="1271CE41"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ابن حجر الهيتمي ، أحمد بن محمد بن علي (2008). </w:t>
      </w:r>
      <w:r w:rsidRPr="00706B94">
        <w:rPr>
          <w:rFonts w:ascii="Arabic Transparent" w:eastAsia="Calibri" w:hAnsi="Arabic Transparent" w:cs="Arabic Transparent"/>
          <w:b/>
          <w:bCs/>
          <w:sz w:val="26"/>
          <w:szCs w:val="26"/>
          <w:rtl/>
          <w:lang w:bidi="ar-JO"/>
        </w:rPr>
        <w:t>الإعلام بقواطع الإسلام</w:t>
      </w:r>
      <w:r w:rsidRPr="00706B94">
        <w:rPr>
          <w:rFonts w:ascii="Arabic Transparent" w:eastAsia="Calibri" w:hAnsi="Arabic Transparent" w:cs="Arabic Transparent"/>
          <w:sz w:val="26"/>
          <w:szCs w:val="26"/>
          <w:rtl/>
          <w:lang w:bidi="ar-JO"/>
        </w:rPr>
        <w:t>، تحقيق: محمد عواد العواد، ط1، دار التقوى، سوريا.</w:t>
      </w:r>
    </w:p>
    <w:p w14:paraId="33024B5C"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ابن حجر الهيتمي ، أحمد بن محمد بن علي ، (1983)، </w:t>
      </w:r>
      <w:r w:rsidRPr="00706B94">
        <w:rPr>
          <w:rFonts w:ascii="Arabic Transparent" w:eastAsia="Calibri" w:hAnsi="Arabic Transparent" w:cs="Arabic Transparent"/>
          <w:b/>
          <w:bCs/>
          <w:sz w:val="26"/>
          <w:szCs w:val="26"/>
          <w:rtl/>
          <w:lang w:bidi="ar-JO"/>
        </w:rPr>
        <w:t>تحفة المحتاج في شرح المنهاج</w:t>
      </w:r>
      <w:r w:rsidRPr="00706B94">
        <w:rPr>
          <w:rFonts w:ascii="Arabic Transparent" w:eastAsia="Calibri" w:hAnsi="Arabic Transparent" w:cs="Arabic Transparent"/>
          <w:sz w:val="26"/>
          <w:szCs w:val="26"/>
          <w:rtl/>
          <w:lang w:bidi="ar-JO"/>
        </w:rPr>
        <w:t>، ط1، المكتبة التجارية الكبرى - مصر.</w:t>
      </w:r>
    </w:p>
    <w:p w14:paraId="7A11E7A7"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tl/>
          <w:lang w:bidi="ar-JO"/>
        </w:rPr>
      </w:pPr>
      <w:r w:rsidRPr="00706B94">
        <w:rPr>
          <w:rFonts w:ascii="Arabic Transparent" w:eastAsia="Calibri" w:hAnsi="Arabic Transparent" w:cs="Arabic Transparent"/>
          <w:sz w:val="26"/>
          <w:szCs w:val="26"/>
          <w:rtl/>
          <w:lang w:val="en-AE"/>
        </w:rPr>
        <w:t xml:space="preserve">الحجوي، محمد بن الحسن الثعالبي، (1995)، </w:t>
      </w:r>
      <w:r w:rsidRPr="00706B94">
        <w:rPr>
          <w:rFonts w:ascii="Arabic Transparent" w:eastAsia="Calibri" w:hAnsi="Arabic Transparent" w:cs="Arabic Transparent"/>
          <w:b/>
          <w:bCs/>
          <w:sz w:val="26"/>
          <w:szCs w:val="26"/>
          <w:rtl/>
          <w:lang w:val="en-AE"/>
        </w:rPr>
        <w:t>الفكر الإسلامي في تاريخ الفقه الإسلامي</w:t>
      </w:r>
      <w:r w:rsidRPr="00706B94">
        <w:rPr>
          <w:rFonts w:ascii="Arabic Transparent" w:eastAsia="Calibri" w:hAnsi="Arabic Transparent" w:cs="Arabic Transparent"/>
          <w:sz w:val="26"/>
          <w:szCs w:val="26"/>
          <w:rtl/>
          <w:lang w:val="en-AE"/>
        </w:rPr>
        <w:t>، ط1، دار الكتب العلمية –بيروت.</w:t>
      </w:r>
    </w:p>
    <w:p w14:paraId="1BF0ECB4"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tl/>
          <w:lang w:bidi="ar-JO"/>
        </w:rPr>
      </w:pPr>
      <w:r w:rsidRPr="00706B94">
        <w:rPr>
          <w:rFonts w:ascii="Arabic Transparent" w:eastAsia="Calibri" w:hAnsi="Arabic Transparent" w:cs="Arabic Transparent"/>
          <w:sz w:val="26"/>
          <w:szCs w:val="26"/>
          <w:rtl/>
          <w:lang w:bidi="ar-JO"/>
        </w:rPr>
        <w:t xml:space="preserve">ابن حزم، علي بن أحمد بن سعيد (د.ت). </w:t>
      </w:r>
      <w:r w:rsidRPr="00706B94">
        <w:rPr>
          <w:rFonts w:ascii="Arabic Transparent" w:eastAsia="Calibri" w:hAnsi="Arabic Transparent" w:cs="Arabic Transparent"/>
          <w:b/>
          <w:bCs/>
          <w:sz w:val="26"/>
          <w:szCs w:val="26"/>
          <w:rtl/>
          <w:lang w:bidi="ar-JO"/>
        </w:rPr>
        <w:t>المُحلَّى بالآثار</w:t>
      </w:r>
      <w:r w:rsidRPr="00706B94">
        <w:rPr>
          <w:rFonts w:ascii="Arabic Transparent" w:eastAsia="Calibri" w:hAnsi="Arabic Transparent" w:cs="Arabic Transparent"/>
          <w:sz w:val="26"/>
          <w:szCs w:val="26"/>
          <w:rtl/>
          <w:lang w:bidi="ar-JO"/>
        </w:rPr>
        <w:t xml:space="preserve"> (تحقيق: عبد الغفار سليمان البنداري). دار الفكر، بيروت.</w:t>
      </w:r>
    </w:p>
    <w:p w14:paraId="04B572C3"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val="en-AE"/>
        </w:rPr>
      </w:pPr>
      <w:r w:rsidRPr="00706B94">
        <w:rPr>
          <w:rFonts w:ascii="Arabic Transparent" w:eastAsia="Calibri" w:hAnsi="Arabic Transparent" w:cs="Arabic Transparent"/>
          <w:sz w:val="26"/>
          <w:szCs w:val="26"/>
          <w:rtl/>
          <w:lang w:val="en-AE"/>
        </w:rPr>
        <w:t xml:space="preserve">حسونة، عارف عز الدين حامد (2023). </w:t>
      </w:r>
      <w:r w:rsidRPr="00706B94">
        <w:rPr>
          <w:rFonts w:ascii="Arabic Transparent" w:eastAsia="Calibri" w:hAnsi="Arabic Transparent" w:cs="Arabic Transparent"/>
          <w:b/>
          <w:bCs/>
          <w:sz w:val="26"/>
          <w:szCs w:val="26"/>
          <w:rtl/>
          <w:lang w:val="en-AE"/>
        </w:rPr>
        <w:t>مناهج الاجتهاد الفقهي المعاصر</w:t>
      </w:r>
      <w:r w:rsidRPr="00706B94">
        <w:rPr>
          <w:rFonts w:ascii="Arabic Transparent" w:eastAsia="Calibri" w:hAnsi="Arabic Transparent" w:cs="Arabic Transparent"/>
          <w:sz w:val="26"/>
          <w:szCs w:val="26"/>
          <w:rtl/>
          <w:lang w:val="en-AE"/>
        </w:rPr>
        <w:t>، ط1، دار المرقاة للدراسات والنشر، عمّان.</w:t>
      </w:r>
    </w:p>
    <w:p w14:paraId="40004D40"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tl/>
        </w:rPr>
      </w:pPr>
      <w:r w:rsidRPr="00706B94">
        <w:rPr>
          <w:rFonts w:ascii="Arabic Transparent" w:eastAsia="Calibri" w:hAnsi="Arabic Transparent" w:cs="Arabic Transparent"/>
          <w:sz w:val="26"/>
          <w:szCs w:val="26"/>
          <w:rtl/>
          <w:lang w:val="en-AE"/>
        </w:rPr>
        <w:t xml:space="preserve">الحطاب، شمس الدين محمد بن محمد بن عبد الرحمن الرعيني المالكي (1992). </w:t>
      </w:r>
      <w:r w:rsidRPr="00706B94">
        <w:rPr>
          <w:rFonts w:ascii="Arabic Transparent" w:eastAsia="Calibri" w:hAnsi="Arabic Transparent" w:cs="Arabic Transparent"/>
          <w:b/>
          <w:bCs/>
          <w:sz w:val="26"/>
          <w:szCs w:val="26"/>
          <w:rtl/>
          <w:lang w:val="en-AE"/>
        </w:rPr>
        <w:t>مواهب الجليل في شرح مختصر خليل</w:t>
      </w:r>
      <w:r w:rsidRPr="00706B94">
        <w:rPr>
          <w:rFonts w:ascii="Arabic Transparent" w:eastAsia="Calibri" w:hAnsi="Arabic Transparent" w:cs="Arabic Transparent"/>
          <w:sz w:val="26"/>
          <w:szCs w:val="26"/>
          <w:rtl/>
          <w:lang w:val="en-AE"/>
        </w:rPr>
        <w:t>، ط3، دار الفكر</w:t>
      </w:r>
      <w:r w:rsidRPr="00706B94">
        <w:rPr>
          <w:rFonts w:ascii="Arabic Transparent" w:eastAsia="Calibri" w:hAnsi="Arabic Transparent" w:cs="Arabic Transparent"/>
          <w:sz w:val="26"/>
          <w:szCs w:val="26"/>
          <w:rtl/>
        </w:rPr>
        <w:t>.</w:t>
      </w:r>
    </w:p>
    <w:p w14:paraId="66A062BE"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val="en-AE"/>
        </w:rPr>
      </w:pPr>
      <w:r w:rsidRPr="00706B94">
        <w:rPr>
          <w:rFonts w:ascii="Arabic Transparent" w:eastAsia="Calibri" w:hAnsi="Arabic Transparent" w:cs="Arabic Transparent"/>
          <w:sz w:val="26"/>
          <w:szCs w:val="26"/>
          <w:rtl/>
          <w:lang w:val="en-AE"/>
        </w:rPr>
        <w:t xml:space="preserve">حكيم، محمد طاهر (2010). </w:t>
      </w:r>
      <w:r w:rsidRPr="00706B94">
        <w:rPr>
          <w:rFonts w:ascii="Arabic Transparent" w:eastAsia="Calibri" w:hAnsi="Arabic Transparent" w:cs="Arabic Transparent"/>
          <w:b/>
          <w:bCs/>
          <w:sz w:val="26"/>
          <w:szCs w:val="26"/>
          <w:rtl/>
          <w:lang w:val="en-AE"/>
        </w:rPr>
        <w:t>منهج الجمع بين المقاصد والنصوص</w:t>
      </w:r>
      <w:r w:rsidRPr="00706B94">
        <w:rPr>
          <w:rFonts w:ascii="Arabic Transparent" w:eastAsia="Calibri" w:hAnsi="Arabic Transparent" w:cs="Arabic Transparent"/>
          <w:sz w:val="26"/>
          <w:szCs w:val="26"/>
          <w:rtl/>
          <w:lang w:val="en-AE"/>
        </w:rPr>
        <w:t>، بحث مقدم لندوة نحو منهج علمي أصيل لدراسة القضايا الفقهية المعاصرة، مركز التميز البحثي في فقه القضايا المعاصرة، جامعة الإمام محمد بن سعود الإسلامية، الرياض.</w:t>
      </w:r>
    </w:p>
    <w:p w14:paraId="31F912B4"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val="en-AE"/>
        </w:rPr>
      </w:pPr>
      <w:r w:rsidRPr="00706B94">
        <w:rPr>
          <w:rFonts w:ascii="Arabic Transparent" w:eastAsia="Calibri" w:hAnsi="Arabic Transparent" w:cs="Arabic Transparent"/>
          <w:sz w:val="26"/>
          <w:szCs w:val="26"/>
          <w:rtl/>
          <w:lang w:val="en-AE"/>
        </w:rPr>
        <w:t xml:space="preserve">الحميدان، حميدان بن عبد الله بن محمد (1992م). </w:t>
      </w:r>
      <w:r w:rsidRPr="00706B94">
        <w:rPr>
          <w:rFonts w:ascii="Arabic Transparent" w:eastAsia="Calibri" w:hAnsi="Arabic Transparent" w:cs="Arabic Transparent"/>
          <w:b/>
          <w:bCs/>
          <w:sz w:val="26"/>
          <w:szCs w:val="26"/>
          <w:rtl/>
          <w:lang w:val="en-AE"/>
        </w:rPr>
        <w:t>فقهاء الصحابة المكثرون من الفتوى ومناهجهم الاجتهادية</w:t>
      </w:r>
      <w:r w:rsidRPr="00706B94">
        <w:rPr>
          <w:rFonts w:ascii="Arabic Transparent" w:eastAsia="Calibri" w:hAnsi="Arabic Transparent" w:cs="Arabic Transparent"/>
          <w:sz w:val="26"/>
          <w:szCs w:val="26"/>
          <w:rtl/>
          <w:lang w:val="en-AE"/>
        </w:rPr>
        <w:t>، مجلة جامعة أم القرى للبحوث العلمية، السنة الرابعة، العدد6، جامعة أم القرى، مكة المكرمة.</w:t>
      </w:r>
    </w:p>
    <w:p w14:paraId="3B4F4AA6"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val="en-AE"/>
        </w:rPr>
      </w:pPr>
      <w:r w:rsidRPr="00706B94">
        <w:rPr>
          <w:rFonts w:ascii="Arabic Transparent" w:eastAsia="Calibri" w:hAnsi="Arabic Transparent" w:cs="Arabic Transparent"/>
          <w:sz w:val="26"/>
          <w:szCs w:val="26"/>
          <w:rtl/>
          <w:lang w:val="en-AE"/>
        </w:rPr>
        <w:t xml:space="preserve">الحميري، نشوان بن سعيد، (1999)، </w:t>
      </w:r>
      <w:r w:rsidRPr="00706B94">
        <w:rPr>
          <w:rFonts w:ascii="Arabic Transparent" w:eastAsia="Calibri" w:hAnsi="Arabic Transparent" w:cs="Arabic Transparent"/>
          <w:b/>
          <w:bCs/>
          <w:sz w:val="26"/>
          <w:szCs w:val="26"/>
          <w:rtl/>
          <w:lang w:val="en-AE"/>
        </w:rPr>
        <w:t>شمس العلوم ودواء كلام العرب من الكلوم</w:t>
      </w:r>
      <w:r w:rsidRPr="00706B94">
        <w:rPr>
          <w:rFonts w:ascii="Arabic Transparent" w:eastAsia="Calibri" w:hAnsi="Arabic Transparent" w:cs="Arabic Transparent"/>
          <w:sz w:val="26"/>
          <w:szCs w:val="26"/>
          <w:rtl/>
          <w:lang w:val="en-AE"/>
        </w:rPr>
        <w:t>، تحقيق: حسين بن عبدالله العمري وآخرون، ط1، دار الفكر المعاصر، بيروت.</w:t>
      </w:r>
    </w:p>
    <w:p w14:paraId="6BEF922D"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val="en-AE"/>
        </w:rPr>
      </w:pPr>
      <w:r w:rsidRPr="00706B94">
        <w:rPr>
          <w:rFonts w:ascii="Arabic Transparent" w:eastAsia="Calibri" w:hAnsi="Arabic Transparent" w:cs="Arabic Transparent"/>
          <w:sz w:val="26"/>
          <w:szCs w:val="26"/>
          <w:rtl/>
          <w:lang w:val="en-AE"/>
        </w:rPr>
        <w:t xml:space="preserve">حنفي، خالد محمد عبد الواحد (2015). </w:t>
      </w:r>
      <w:r w:rsidRPr="00706B94">
        <w:rPr>
          <w:rFonts w:ascii="Arabic Transparent" w:eastAsia="Calibri" w:hAnsi="Arabic Transparent" w:cs="Arabic Transparent"/>
          <w:b/>
          <w:bCs/>
          <w:sz w:val="26"/>
          <w:szCs w:val="26"/>
          <w:rtl/>
          <w:lang w:val="en-AE"/>
        </w:rPr>
        <w:t>اجتهادات عمر بن الخطاب: دراسة أصولية</w:t>
      </w:r>
      <w:r w:rsidRPr="00706B94">
        <w:rPr>
          <w:rFonts w:ascii="Arabic Transparent" w:eastAsia="Calibri" w:hAnsi="Arabic Transparent" w:cs="Arabic Transparent"/>
          <w:sz w:val="26"/>
          <w:szCs w:val="26"/>
          <w:rtl/>
          <w:lang w:val="en-AE"/>
        </w:rPr>
        <w:t>. دار الفكر العربي.</w:t>
      </w:r>
    </w:p>
    <w:p w14:paraId="60C7BA50"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val="en-AE"/>
        </w:rPr>
      </w:pPr>
      <w:r w:rsidRPr="00706B94">
        <w:rPr>
          <w:rFonts w:ascii="Arabic Transparent" w:eastAsia="Calibri" w:hAnsi="Arabic Transparent" w:cs="Arabic Transparent"/>
          <w:sz w:val="26"/>
          <w:szCs w:val="26"/>
          <w:rtl/>
          <w:lang w:val="en-AE"/>
        </w:rPr>
        <w:t xml:space="preserve">الحنيطي، هناء محمد هلال (2005م). </w:t>
      </w:r>
      <w:r w:rsidRPr="00706B94">
        <w:rPr>
          <w:rFonts w:ascii="Arabic Transparent" w:eastAsia="Calibri" w:hAnsi="Arabic Transparent" w:cs="Arabic Transparent"/>
          <w:b/>
          <w:bCs/>
          <w:sz w:val="26"/>
          <w:szCs w:val="26"/>
          <w:rtl/>
          <w:lang w:val="en-AE"/>
        </w:rPr>
        <w:t>بيع العينة والتورق: دراسة تطبيقية على المصارف الإسلامية</w:t>
      </w:r>
      <w:r w:rsidRPr="00706B94">
        <w:rPr>
          <w:rFonts w:ascii="Arabic Transparent" w:eastAsia="Calibri" w:hAnsi="Arabic Transparent" w:cs="Arabic Transparent"/>
          <w:sz w:val="26"/>
          <w:szCs w:val="26"/>
          <w:rtl/>
          <w:lang w:val="en-AE"/>
        </w:rPr>
        <w:t>، رسالة دكتوراه، إشراف: أ.د. عبد السلام العبادي، الأكاديمية العربية للعلوم المصرفية، دار كنوز إشبيليا للنشر والتوزيع، الرياض</w:t>
      </w:r>
    </w:p>
    <w:p w14:paraId="6943738A"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tl/>
        </w:rPr>
      </w:pPr>
      <w:r w:rsidRPr="00706B94">
        <w:rPr>
          <w:rFonts w:ascii="Arabic Transparent" w:eastAsia="Calibri" w:hAnsi="Arabic Transparent" w:cs="Arabic Transparent"/>
          <w:sz w:val="26"/>
          <w:szCs w:val="26"/>
          <w:rtl/>
        </w:rPr>
        <w:t xml:space="preserve">أبو حيان الأندلسي، محمد بن يوسف (2000م). </w:t>
      </w:r>
      <w:r w:rsidRPr="00706B94">
        <w:rPr>
          <w:rFonts w:ascii="Arabic Transparent" w:eastAsia="Calibri" w:hAnsi="Arabic Transparent" w:cs="Arabic Transparent"/>
          <w:b/>
          <w:bCs/>
          <w:sz w:val="26"/>
          <w:szCs w:val="26"/>
          <w:rtl/>
        </w:rPr>
        <w:t>البحر المحيط في التفسير</w:t>
      </w:r>
      <w:r w:rsidRPr="00706B94">
        <w:rPr>
          <w:rFonts w:ascii="Arabic Transparent" w:eastAsia="Calibri" w:hAnsi="Arabic Transparent" w:cs="Arabic Transparent"/>
          <w:sz w:val="26"/>
          <w:szCs w:val="26"/>
          <w:rtl/>
        </w:rPr>
        <w:t>. بعناية: صدقي محمد جميل العطار، وزهير جعيد، وعرفان العشا حسّونة. دار الفكر، بيروت.</w:t>
      </w:r>
    </w:p>
    <w:p w14:paraId="5BB46539"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val="en-AE" w:bidi="ar-JO"/>
        </w:rPr>
      </w:pPr>
      <w:r w:rsidRPr="00706B94">
        <w:rPr>
          <w:rFonts w:ascii="Arabic Transparent" w:eastAsia="Calibri" w:hAnsi="Arabic Transparent" w:cs="Arabic Transparent"/>
          <w:sz w:val="26"/>
          <w:szCs w:val="26"/>
          <w:rtl/>
          <w:lang w:val="en-AE" w:bidi="ar-JO"/>
        </w:rPr>
        <w:t xml:space="preserve">أبو حيان، محمد بن يوسف بن علي بن يوسف الأندلسي ، (1983)، </w:t>
      </w:r>
      <w:r w:rsidRPr="00706B94">
        <w:rPr>
          <w:rFonts w:ascii="Arabic Transparent" w:eastAsia="Calibri" w:hAnsi="Arabic Transparent" w:cs="Arabic Transparent"/>
          <w:b/>
          <w:bCs/>
          <w:sz w:val="26"/>
          <w:szCs w:val="26"/>
          <w:rtl/>
          <w:lang w:val="en-AE" w:bidi="ar-JO"/>
        </w:rPr>
        <w:t>تحفة الأريب بما في القرآن من الغريب</w:t>
      </w:r>
      <w:r w:rsidRPr="00706B94">
        <w:rPr>
          <w:rFonts w:ascii="Arabic Transparent" w:eastAsia="Calibri" w:hAnsi="Arabic Transparent" w:cs="Arabic Transparent"/>
          <w:sz w:val="26"/>
          <w:szCs w:val="26"/>
          <w:rtl/>
          <w:lang w:val="en-AE" w:bidi="ar-JO"/>
        </w:rPr>
        <w:t>، تحقيق: سمير المجذوب، ط1، المكتب الإسلامي.</w:t>
      </w:r>
    </w:p>
    <w:p w14:paraId="329C31B8"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val="en-AE"/>
        </w:rPr>
      </w:pPr>
      <w:r w:rsidRPr="00706B94">
        <w:rPr>
          <w:rFonts w:ascii="Arabic Transparent" w:eastAsia="Calibri" w:hAnsi="Arabic Transparent" w:cs="Arabic Transparent"/>
          <w:sz w:val="26"/>
          <w:szCs w:val="26"/>
          <w:rtl/>
          <w:lang w:val="en-AE"/>
        </w:rPr>
        <w:t xml:space="preserve">الحيد، أحمد بن سعد بن فهد (2023). </w:t>
      </w:r>
      <w:r w:rsidRPr="00706B94">
        <w:rPr>
          <w:rFonts w:ascii="Arabic Transparent" w:eastAsia="Calibri" w:hAnsi="Arabic Transparent" w:cs="Arabic Transparent"/>
          <w:b/>
          <w:bCs/>
          <w:sz w:val="26"/>
          <w:szCs w:val="26"/>
          <w:rtl/>
          <w:lang w:val="en-AE"/>
        </w:rPr>
        <w:t>التورق المنظم – دراسة فقهية تطبيقية</w:t>
      </w:r>
      <w:r w:rsidRPr="00706B94">
        <w:rPr>
          <w:rFonts w:ascii="Arabic Transparent" w:eastAsia="Calibri" w:hAnsi="Arabic Transparent" w:cs="Arabic Transparent"/>
          <w:sz w:val="26"/>
          <w:szCs w:val="26"/>
          <w:rtl/>
          <w:lang w:val="en-AE"/>
        </w:rPr>
        <w:t>، مج27، ع2، ص1715–1764، كلية الشريعة بالرياض، جامعة الإمام محمد بن سعود الإسلامية، الرياض، المملكة العربية السعودية.</w:t>
      </w:r>
    </w:p>
    <w:p w14:paraId="2D2C3CE8"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val="en-AE"/>
        </w:rPr>
      </w:pPr>
      <w:r w:rsidRPr="00706B94">
        <w:rPr>
          <w:rFonts w:ascii="Arabic Transparent" w:eastAsia="Calibri" w:hAnsi="Arabic Transparent" w:cs="Arabic Transparent"/>
          <w:sz w:val="26"/>
          <w:szCs w:val="26"/>
          <w:rtl/>
          <w:lang w:val="en-AE"/>
        </w:rPr>
        <w:lastRenderedPageBreak/>
        <w:t xml:space="preserve">حيدر، علي، (1991)، </w:t>
      </w:r>
      <w:r w:rsidRPr="00706B94">
        <w:rPr>
          <w:rFonts w:ascii="Arabic Transparent" w:eastAsia="Calibri" w:hAnsi="Arabic Transparent" w:cs="Arabic Transparent"/>
          <w:b/>
          <w:bCs/>
          <w:sz w:val="26"/>
          <w:szCs w:val="26"/>
          <w:rtl/>
          <w:lang w:val="en-AE"/>
        </w:rPr>
        <w:t>درر الحكام في شرح مجلة الأحكام</w:t>
      </w:r>
      <w:r w:rsidRPr="00706B94">
        <w:rPr>
          <w:rFonts w:ascii="Arabic Transparent" w:eastAsia="Calibri" w:hAnsi="Arabic Transparent" w:cs="Arabic Transparent"/>
          <w:sz w:val="26"/>
          <w:szCs w:val="26"/>
          <w:rtl/>
          <w:lang w:val="en-AE"/>
        </w:rPr>
        <w:t>، ط1، دار الجيل، بيروت.</w:t>
      </w:r>
    </w:p>
    <w:p w14:paraId="15295AB0"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tl/>
          <w:lang w:val="en-AE"/>
        </w:rPr>
      </w:pPr>
      <w:r w:rsidRPr="00706B94">
        <w:rPr>
          <w:rFonts w:ascii="Arabic Transparent" w:eastAsia="Calibri" w:hAnsi="Arabic Transparent" w:cs="Arabic Transparent"/>
          <w:sz w:val="26"/>
          <w:szCs w:val="26"/>
          <w:rtl/>
          <w:lang w:val="en-AE"/>
        </w:rPr>
        <w:t xml:space="preserve">حيدر، مراد محمود (2014). </w:t>
      </w:r>
      <w:r w:rsidRPr="00706B94">
        <w:rPr>
          <w:rFonts w:ascii="Arabic Transparent" w:eastAsia="Calibri" w:hAnsi="Arabic Transparent" w:cs="Arabic Transparent"/>
          <w:b/>
          <w:bCs/>
          <w:sz w:val="26"/>
          <w:szCs w:val="26"/>
          <w:rtl/>
          <w:lang w:val="en-AE"/>
        </w:rPr>
        <w:t>مناهج الفتوى وضوابطها في القضايا المعاصرة: الأقليات المسلمة نموذجاً</w:t>
      </w:r>
      <w:r w:rsidRPr="00706B94">
        <w:rPr>
          <w:rFonts w:ascii="Arabic Transparent" w:eastAsia="Calibri" w:hAnsi="Arabic Transparent" w:cs="Arabic Transparent"/>
          <w:sz w:val="26"/>
          <w:szCs w:val="26"/>
          <w:rtl/>
          <w:lang w:val="en-AE"/>
        </w:rPr>
        <w:t>، ع6، مجلة قطاع الشريعة والقانون، جامعة الأزهر.</w:t>
      </w:r>
    </w:p>
    <w:p w14:paraId="6E88D392"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الخرشي، محمد بن عبد الله، (1900)، </w:t>
      </w:r>
      <w:r w:rsidRPr="00706B94">
        <w:rPr>
          <w:rFonts w:ascii="Arabic Transparent" w:eastAsia="Calibri" w:hAnsi="Arabic Transparent" w:cs="Arabic Transparent"/>
          <w:b/>
          <w:bCs/>
          <w:sz w:val="26"/>
          <w:szCs w:val="26"/>
          <w:rtl/>
        </w:rPr>
        <w:t>شرح مختصر خليل</w:t>
      </w:r>
      <w:r w:rsidRPr="00706B94">
        <w:rPr>
          <w:rFonts w:ascii="Arabic Transparent" w:eastAsia="Calibri" w:hAnsi="Arabic Transparent" w:cs="Arabic Transparent"/>
          <w:sz w:val="26"/>
          <w:szCs w:val="26"/>
          <w:rtl/>
        </w:rPr>
        <w:t>، ط2، المطبعة الكبرى الأميرية - بولاق، مصر.</w:t>
      </w:r>
    </w:p>
    <w:p w14:paraId="12298CBD"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الخريصي، فرح بنت فهد بن حسني (2024)، </w:t>
      </w:r>
      <w:r w:rsidRPr="00706B94">
        <w:rPr>
          <w:rFonts w:ascii="Arabic Transparent" w:eastAsia="Calibri" w:hAnsi="Arabic Transparent" w:cs="Arabic Transparent"/>
          <w:b/>
          <w:bCs/>
          <w:sz w:val="26"/>
          <w:szCs w:val="26"/>
          <w:rtl/>
        </w:rPr>
        <w:t>تحقيق المناط بالحقائق العلمية: دراسة تأصيلية تطبيقية</w:t>
      </w:r>
      <w:r w:rsidRPr="00706B94">
        <w:rPr>
          <w:rFonts w:ascii="Arabic Transparent" w:eastAsia="Calibri" w:hAnsi="Arabic Transparent" w:cs="Arabic Transparent"/>
          <w:sz w:val="26"/>
          <w:szCs w:val="26"/>
          <w:rtl/>
        </w:rPr>
        <w:t>، مجلة كلية الشريعة والقانون بتفهنا الأشراف، العدد 28، ص 368–414، - دقهلية، مصر</w:t>
      </w:r>
    </w:p>
    <w:p w14:paraId="5F08FC82"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الخطيب الشربيني، محمد بن محمد، (1994)، </w:t>
      </w:r>
      <w:r w:rsidRPr="00706B94">
        <w:rPr>
          <w:rFonts w:ascii="Arabic Transparent" w:eastAsia="Calibri" w:hAnsi="Arabic Transparent" w:cs="Arabic Transparent"/>
          <w:b/>
          <w:bCs/>
          <w:sz w:val="26"/>
          <w:szCs w:val="26"/>
          <w:rtl/>
        </w:rPr>
        <w:t>مغني المحتاج إلى معرفة معاني ألفاظ المنهاج</w:t>
      </w:r>
      <w:r w:rsidRPr="00706B94">
        <w:rPr>
          <w:rFonts w:ascii="Arabic Transparent" w:eastAsia="Calibri" w:hAnsi="Arabic Transparent" w:cs="Arabic Transparent"/>
          <w:sz w:val="26"/>
          <w:szCs w:val="26"/>
          <w:rtl/>
        </w:rPr>
        <w:t xml:space="preserve"> (تحقيق علي محمد معوض وعادل أحمد عبد الموجود) ط1، دار الكتب العلمية - بيروت.</w:t>
      </w:r>
    </w:p>
    <w:p w14:paraId="76CBFCDC"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الخفيف، علي، (1974)، بحث بعنوان: </w:t>
      </w:r>
      <w:r w:rsidRPr="00706B94">
        <w:rPr>
          <w:rFonts w:ascii="Arabic Transparent" w:eastAsia="Calibri" w:hAnsi="Arabic Transparent" w:cs="Arabic Transparent"/>
          <w:b/>
          <w:bCs/>
          <w:sz w:val="26"/>
          <w:szCs w:val="26"/>
          <w:rtl/>
        </w:rPr>
        <w:t>شهادات الاستثمار في حكم الشريعة بأنواعها الثلاث تطبيقاً للقواعد الفقهية العامة والأصول الشرعية للمعاملات</w:t>
      </w:r>
      <w:r w:rsidRPr="00706B94">
        <w:rPr>
          <w:rFonts w:ascii="Arabic Transparent" w:eastAsia="Calibri" w:hAnsi="Arabic Transparent" w:cs="Arabic Transparent"/>
          <w:sz w:val="26"/>
          <w:szCs w:val="26"/>
          <w:rtl/>
        </w:rPr>
        <w:t>، مجمع البحوث الإسلامية في الأزهر، القاهرة.</w:t>
      </w:r>
    </w:p>
    <w:p w14:paraId="0AB08ADF"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خلاف، عبد الوهاب، (د.ت.)، </w:t>
      </w:r>
      <w:r w:rsidRPr="00706B94">
        <w:rPr>
          <w:rFonts w:ascii="Arabic Transparent" w:eastAsia="Calibri" w:hAnsi="Arabic Transparent" w:cs="Arabic Transparent"/>
          <w:b/>
          <w:bCs/>
          <w:sz w:val="26"/>
          <w:szCs w:val="26"/>
          <w:rtl/>
        </w:rPr>
        <w:t>علم أصول الفقه</w:t>
      </w:r>
      <w:r w:rsidRPr="00706B94">
        <w:rPr>
          <w:rFonts w:ascii="Arabic Transparent" w:eastAsia="Calibri" w:hAnsi="Arabic Transparent" w:cs="Arabic Transparent"/>
          <w:sz w:val="26"/>
          <w:szCs w:val="26"/>
          <w:rtl/>
        </w:rPr>
        <w:t>، ط8، مكتبة الدعوة - شباب الأزهر (عن الطبعة الثامنة لدار القلم) - مصر.</w:t>
      </w:r>
    </w:p>
    <w:p w14:paraId="31CC45BC"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tl/>
        </w:rPr>
      </w:pPr>
      <w:r w:rsidRPr="00706B94">
        <w:rPr>
          <w:rFonts w:ascii="Arabic Transparent" w:eastAsia="Calibri" w:hAnsi="Arabic Transparent" w:cs="Arabic Transparent"/>
          <w:sz w:val="26"/>
          <w:szCs w:val="26"/>
          <w:rtl/>
        </w:rPr>
        <w:t xml:space="preserve">ابن خلدون، عبد الرحمن بن محمد، (1981)، </w:t>
      </w:r>
      <w:r w:rsidRPr="00706B94">
        <w:rPr>
          <w:rFonts w:ascii="Arabic Transparent" w:eastAsia="Calibri" w:hAnsi="Arabic Transparent" w:cs="Arabic Transparent"/>
          <w:b/>
          <w:bCs/>
          <w:sz w:val="26"/>
          <w:szCs w:val="26"/>
          <w:rtl/>
        </w:rPr>
        <w:t>العِبَر وديوان المبتدأ والخبر في تاريخ العرب والبربر ومن عاصرهم من ذوي الشأن الأكبر</w:t>
      </w:r>
      <w:r w:rsidRPr="00706B94">
        <w:rPr>
          <w:rFonts w:ascii="Arabic Transparent" w:eastAsia="Calibri" w:hAnsi="Arabic Transparent" w:cs="Arabic Transparent"/>
          <w:sz w:val="26"/>
          <w:szCs w:val="26"/>
          <w:rtl/>
        </w:rPr>
        <w:t>، ط1، دار الفكر، بيروت.</w:t>
      </w:r>
    </w:p>
    <w:p w14:paraId="049C0408"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خليل، إسحاق بن موسى، ضياء الدين المالكي المصري الجندي، (2005)، </w:t>
      </w:r>
      <w:r w:rsidRPr="00706B94">
        <w:rPr>
          <w:rFonts w:ascii="Arabic Transparent" w:eastAsia="Calibri" w:hAnsi="Arabic Transparent" w:cs="Arabic Transparent"/>
          <w:b/>
          <w:bCs/>
          <w:sz w:val="26"/>
          <w:szCs w:val="26"/>
          <w:rtl/>
        </w:rPr>
        <w:t>مختصر العلامة خليل</w:t>
      </w:r>
      <w:r w:rsidRPr="00706B94">
        <w:rPr>
          <w:rFonts w:ascii="Arabic Transparent" w:eastAsia="Calibri" w:hAnsi="Arabic Transparent" w:cs="Arabic Transparent"/>
          <w:sz w:val="26"/>
          <w:szCs w:val="26"/>
          <w:rtl/>
        </w:rPr>
        <w:t xml:space="preserve"> (تحقيق أحمد جاد)، ط1، دار الحديث، القاهرة.</w:t>
      </w:r>
    </w:p>
    <w:p w14:paraId="70536C5D"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الخِن، مصطفى، وآخرون (1992م). </w:t>
      </w:r>
      <w:r w:rsidRPr="00706B94">
        <w:rPr>
          <w:rFonts w:ascii="Arabic Transparent" w:eastAsia="Calibri" w:hAnsi="Arabic Transparent" w:cs="Arabic Transparent"/>
          <w:b/>
          <w:bCs/>
          <w:sz w:val="26"/>
          <w:szCs w:val="26"/>
          <w:rtl/>
        </w:rPr>
        <w:t>الفقه المنهجي على مذهب الإمام الشافعي</w:t>
      </w:r>
      <w:r w:rsidRPr="00706B94">
        <w:rPr>
          <w:rFonts w:ascii="Arabic Transparent" w:eastAsia="Calibri" w:hAnsi="Arabic Transparent" w:cs="Arabic Transparent"/>
          <w:sz w:val="26"/>
          <w:szCs w:val="26"/>
          <w:rtl/>
        </w:rPr>
        <w:t>، ط4، دار القلم للطباعة والنشر والتوزيع، دمشق.</w:t>
      </w:r>
    </w:p>
    <w:p w14:paraId="4B71143C"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tl/>
        </w:rPr>
      </w:pPr>
      <w:r w:rsidRPr="00706B94">
        <w:rPr>
          <w:rFonts w:ascii="Arabic Transparent" w:eastAsia="Calibri" w:hAnsi="Arabic Transparent" w:cs="Arabic Transparent"/>
          <w:sz w:val="26"/>
          <w:szCs w:val="26"/>
          <w:rtl/>
        </w:rPr>
        <w:t xml:space="preserve">الخنين، عبدالله بن محمد، (2006م)، </w:t>
      </w:r>
      <w:r w:rsidRPr="00706B94">
        <w:rPr>
          <w:rFonts w:ascii="Arabic Transparent" w:eastAsia="Calibri" w:hAnsi="Arabic Transparent" w:cs="Arabic Transparent"/>
          <w:b/>
          <w:bCs/>
          <w:sz w:val="26"/>
          <w:szCs w:val="26"/>
          <w:rtl/>
        </w:rPr>
        <w:t>تنزيل الأحكام على الوقائع قضائية والفتوية</w:t>
      </w:r>
      <w:r w:rsidRPr="00706B94">
        <w:rPr>
          <w:rFonts w:ascii="Arabic Transparent" w:eastAsia="Calibri" w:hAnsi="Arabic Transparent" w:cs="Arabic Transparent"/>
          <w:sz w:val="26"/>
          <w:szCs w:val="26"/>
          <w:rtl/>
        </w:rPr>
        <w:t>، ط1، ع 78، مجلة البحوث الإسلامية - السعودية.</w:t>
      </w:r>
    </w:p>
    <w:p w14:paraId="4C2223BA"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الخنين، عبد الله بن محمد، (2003)، </w:t>
      </w:r>
      <w:r w:rsidRPr="00706B94">
        <w:rPr>
          <w:rFonts w:ascii="Arabic Transparent" w:eastAsia="Calibri" w:hAnsi="Arabic Transparent" w:cs="Arabic Transparent"/>
          <w:b/>
          <w:bCs/>
          <w:sz w:val="26"/>
          <w:szCs w:val="26"/>
          <w:rtl/>
        </w:rPr>
        <w:t>توصيف الأقضية في الشريعة الإسلامية</w:t>
      </w:r>
      <w:r w:rsidRPr="00706B94">
        <w:rPr>
          <w:rFonts w:ascii="Arabic Transparent" w:eastAsia="Calibri" w:hAnsi="Arabic Transparent" w:cs="Arabic Transparent"/>
          <w:sz w:val="26"/>
          <w:szCs w:val="26"/>
          <w:rtl/>
        </w:rPr>
        <w:t>، ط1، (دن) - السعودية.</w:t>
      </w:r>
    </w:p>
    <w:p w14:paraId="54C17FEB"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b/>
          <w:bCs/>
          <w:sz w:val="26"/>
          <w:szCs w:val="26"/>
          <w:rtl/>
        </w:rPr>
      </w:pPr>
      <w:r w:rsidRPr="00706B94">
        <w:rPr>
          <w:rFonts w:ascii="Arabic Transparent" w:eastAsia="Calibri" w:hAnsi="Arabic Transparent" w:cs="Arabic Transparent"/>
          <w:sz w:val="26"/>
          <w:szCs w:val="26"/>
          <w:rtl/>
        </w:rPr>
        <w:t>أبو الخيل، محمد بن أحمد (2013)،</w:t>
      </w:r>
      <w:r w:rsidRPr="00706B94">
        <w:rPr>
          <w:rFonts w:ascii="Arabic Transparent" w:eastAsia="Calibri" w:hAnsi="Arabic Transparent" w:cs="Arabic Transparent"/>
          <w:b/>
          <w:bCs/>
          <w:sz w:val="26"/>
          <w:szCs w:val="26"/>
          <w:rtl/>
        </w:rPr>
        <w:t xml:space="preserve"> الرخص في المعاملات وفقه الأسرة</w:t>
      </w:r>
      <w:r w:rsidRPr="00706B94">
        <w:rPr>
          <w:rFonts w:ascii="Arabic Transparent" w:eastAsia="Calibri" w:hAnsi="Arabic Transparent" w:cs="Arabic Transparent"/>
          <w:sz w:val="26"/>
          <w:szCs w:val="26"/>
          <w:rtl/>
        </w:rPr>
        <w:t>، الطبعة الأولى</w:t>
      </w:r>
      <w:r w:rsidRPr="00706B94">
        <w:rPr>
          <w:rFonts w:ascii="Arabic Transparent" w:eastAsia="Calibri" w:hAnsi="Arabic Transparent" w:cs="Arabic Transparent"/>
          <w:b/>
          <w:bCs/>
          <w:sz w:val="26"/>
          <w:szCs w:val="26"/>
          <w:rtl/>
        </w:rPr>
        <w:t>، ط1، دار كنوز إشبيليا، الرياض.</w:t>
      </w:r>
    </w:p>
    <w:p w14:paraId="1E55430C"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tl/>
        </w:rPr>
      </w:pPr>
      <w:r w:rsidRPr="00706B94">
        <w:rPr>
          <w:rFonts w:ascii="Arabic Transparent" w:eastAsia="Calibri" w:hAnsi="Arabic Transparent" w:cs="Arabic Transparent"/>
          <w:sz w:val="26"/>
          <w:szCs w:val="26"/>
          <w:rtl/>
        </w:rPr>
        <w:t xml:space="preserve">دائرة الإفتاء العام الأردنية - لجنة الإفتاء. (2023). </w:t>
      </w:r>
      <w:r w:rsidRPr="00706B94">
        <w:rPr>
          <w:rFonts w:ascii="Arabic Transparent" w:eastAsia="Calibri" w:hAnsi="Arabic Transparent" w:cs="Arabic Transparent"/>
          <w:b/>
          <w:bCs/>
          <w:sz w:val="26"/>
          <w:szCs w:val="26"/>
          <w:rtl/>
        </w:rPr>
        <w:t>حكم التجارة الإلكترونية بالدروب شيبينغ</w:t>
      </w:r>
      <w:r w:rsidRPr="00706B94">
        <w:rPr>
          <w:rFonts w:ascii="Arabic Transparent" w:eastAsia="Calibri" w:hAnsi="Arabic Transparent" w:cs="Arabic Transparent"/>
          <w:sz w:val="26"/>
          <w:szCs w:val="26"/>
          <w:rtl/>
        </w:rPr>
        <w:t xml:space="preserve">. فتوى بحثية. رقم الفتوى: 3754. متاح على: </w:t>
      </w:r>
      <w:r w:rsidRPr="00706B94">
        <w:rPr>
          <w:rFonts w:ascii="Arabic Transparent" w:eastAsia="Calibri" w:hAnsi="Arabic Transparent" w:cs="Arabic Transparent"/>
          <w:sz w:val="26"/>
          <w:szCs w:val="26"/>
        </w:rPr>
        <w:t>https://www.aliftaa.jo/research-fatwas/3754</w:t>
      </w:r>
      <w:r w:rsidRPr="00706B94">
        <w:rPr>
          <w:rFonts w:ascii="Arabic Transparent" w:eastAsia="Calibri" w:hAnsi="Arabic Transparent" w:cs="Arabic Transparent"/>
          <w:sz w:val="26"/>
          <w:szCs w:val="26"/>
          <w:rtl/>
        </w:rPr>
        <w:t>/</w:t>
      </w:r>
    </w:p>
    <w:p w14:paraId="47F9F3AF" w14:textId="1C20F28E"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دار الإفتاء الليبية - لجنة الفتوى. (2022). </w:t>
      </w:r>
      <w:r w:rsidRPr="00706B94">
        <w:rPr>
          <w:rFonts w:ascii="Arabic Transparent" w:eastAsia="Calibri" w:hAnsi="Arabic Transparent" w:cs="Arabic Transparent"/>
          <w:b/>
          <w:bCs/>
          <w:sz w:val="26"/>
          <w:szCs w:val="26"/>
          <w:rtl/>
        </w:rPr>
        <w:t>ما حكم التجارة عن طريق الدروب شيبينج (</w:t>
      </w:r>
      <w:r w:rsidRPr="00706B94">
        <w:rPr>
          <w:rFonts w:ascii="Arabic Transparent" w:eastAsia="Calibri" w:hAnsi="Arabic Transparent" w:cs="Arabic Transparent"/>
          <w:b/>
          <w:bCs/>
          <w:sz w:val="26"/>
          <w:szCs w:val="26"/>
        </w:rPr>
        <w:t xml:space="preserve">Drop shipping). </w:t>
      </w:r>
      <w:r w:rsidR="00E036A2">
        <w:rPr>
          <w:rFonts w:ascii="Arabic Transparent" w:eastAsia="Calibri" w:hAnsi="Arabic Transparent" w:cs="Arabic Transparent" w:hint="cs"/>
          <w:sz w:val="26"/>
          <w:szCs w:val="26"/>
          <w:rtl/>
        </w:rPr>
        <w:t xml:space="preserve"> </w:t>
      </w:r>
      <w:r w:rsidRPr="00706B94">
        <w:rPr>
          <w:rFonts w:ascii="Arabic Transparent" w:eastAsia="Calibri" w:hAnsi="Arabic Transparent" w:cs="Arabic Transparent"/>
          <w:sz w:val="26"/>
          <w:szCs w:val="26"/>
          <w:rtl/>
        </w:rPr>
        <w:t xml:space="preserve">فتوى رقم: 4822. بإفتاء: الشيخ الصادق بن عبد الرحمن الغرياني - مفتي عام ليبيا. متاح على: </w:t>
      </w:r>
      <w:r w:rsidRPr="00706B94">
        <w:rPr>
          <w:rFonts w:ascii="Arabic Transparent" w:eastAsia="Calibri" w:hAnsi="Arabic Transparent" w:cs="Arabic Transparent"/>
          <w:sz w:val="26"/>
          <w:szCs w:val="26"/>
        </w:rPr>
        <w:t>https://ifta.ly/24512</w:t>
      </w:r>
    </w:p>
    <w:p w14:paraId="5B064F9F"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tl/>
        </w:rPr>
      </w:pPr>
      <w:r w:rsidRPr="00706B94">
        <w:rPr>
          <w:rFonts w:ascii="Arabic Transparent" w:eastAsia="Calibri" w:hAnsi="Arabic Transparent" w:cs="Arabic Transparent"/>
          <w:sz w:val="26"/>
          <w:szCs w:val="26"/>
          <w:rtl/>
        </w:rPr>
        <w:t xml:space="preserve">دار الإفتاء المصرية (2015). </w:t>
      </w:r>
      <w:r w:rsidRPr="00706B94">
        <w:rPr>
          <w:rFonts w:ascii="Arabic Transparent" w:eastAsia="Calibri" w:hAnsi="Arabic Transparent" w:cs="Arabic Transparent"/>
          <w:b/>
          <w:bCs/>
          <w:sz w:val="26"/>
          <w:szCs w:val="26"/>
          <w:rtl/>
        </w:rPr>
        <w:t>الفتاوى التي تتعلق بالمعاملات المالية المعاصرة</w:t>
      </w:r>
      <w:r w:rsidRPr="00706B94">
        <w:rPr>
          <w:rFonts w:ascii="Arabic Transparent" w:eastAsia="Calibri" w:hAnsi="Arabic Transparent" w:cs="Arabic Transparent"/>
          <w:sz w:val="26"/>
          <w:szCs w:val="26"/>
          <w:rtl/>
        </w:rPr>
        <w:t xml:space="preserve">. متاح على: </w:t>
      </w:r>
      <w:r w:rsidRPr="00706B94">
        <w:rPr>
          <w:rFonts w:ascii="Arabic Transparent" w:eastAsia="Calibri" w:hAnsi="Arabic Transparent" w:cs="Arabic Transparent"/>
          <w:sz w:val="26"/>
          <w:szCs w:val="26"/>
        </w:rPr>
        <w:t>dar-alifta.org/ar/fatwaresearch/details/254</w:t>
      </w:r>
      <w:r w:rsidRPr="00706B94">
        <w:rPr>
          <w:rFonts w:ascii="Arabic Transparent" w:eastAsia="Calibri" w:hAnsi="Arabic Transparent" w:cs="Arabic Transparent"/>
          <w:sz w:val="26"/>
          <w:szCs w:val="26"/>
          <w:rtl/>
        </w:rPr>
        <w:t>، تاريخ الاطلاع: 7 أبريل 2026.</w:t>
      </w:r>
    </w:p>
    <w:p w14:paraId="1C2978CE"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tl/>
          <w:lang w:bidi="ar-JO"/>
        </w:rPr>
      </w:pPr>
      <w:r w:rsidRPr="00706B94">
        <w:rPr>
          <w:rFonts w:ascii="Arabic Transparent" w:eastAsia="Calibri" w:hAnsi="Arabic Transparent" w:cs="Arabic Transparent"/>
          <w:sz w:val="26"/>
          <w:szCs w:val="26"/>
          <w:rtl/>
          <w:lang w:bidi="ar-JO"/>
        </w:rPr>
        <w:lastRenderedPageBreak/>
        <w:t xml:space="preserve">الدارقطني، أبو الحسن علي بن عمر بن أحمد بن مهدي البغدادي، (2004)، </w:t>
      </w:r>
      <w:r w:rsidRPr="00706B94">
        <w:rPr>
          <w:rFonts w:ascii="Arabic Transparent" w:eastAsia="Calibri" w:hAnsi="Arabic Transparent" w:cs="Arabic Transparent"/>
          <w:b/>
          <w:bCs/>
          <w:sz w:val="26"/>
          <w:szCs w:val="26"/>
          <w:rtl/>
          <w:lang w:bidi="ar-JO"/>
        </w:rPr>
        <w:t>سنن الدارقطني</w:t>
      </w:r>
      <w:r w:rsidRPr="00706B94">
        <w:rPr>
          <w:rFonts w:ascii="Arabic Transparent" w:eastAsia="Calibri" w:hAnsi="Arabic Transparent" w:cs="Arabic Transparent"/>
          <w:sz w:val="26"/>
          <w:szCs w:val="26"/>
          <w:rtl/>
          <w:lang w:bidi="ar-JO"/>
        </w:rPr>
        <w:t xml:space="preserve"> (تحقيق شعيب الأرنؤوط، حسن عبد المنعم شلبي، عبد اللطيف حرز الله، أحمد برهوم)، ط1، مؤسسة الرسالة – بيروت، لبنان.</w:t>
      </w:r>
    </w:p>
    <w:p w14:paraId="7E0C3BD7"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tl/>
        </w:rPr>
      </w:pPr>
      <w:r w:rsidRPr="00706B94">
        <w:rPr>
          <w:rFonts w:ascii="Arabic Transparent" w:eastAsia="Calibri" w:hAnsi="Arabic Transparent" w:cs="Arabic Transparent"/>
          <w:sz w:val="26"/>
          <w:szCs w:val="26"/>
          <w:rtl/>
        </w:rPr>
        <w:t xml:space="preserve">أبو داود، سليمان بن الأشعث. (2009). </w:t>
      </w:r>
      <w:r w:rsidRPr="00706B94">
        <w:rPr>
          <w:rFonts w:ascii="Arabic Transparent" w:eastAsia="Calibri" w:hAnsi="Arabic Transparent" w:cs="Arabic Transparent"/>
          <w:b/>
          <w:bCs/>
          <w:sz w:val="26"/>
          <w:szCs w:val="26"/>
          <w:rtl/>
        </w:rPr>
        <w:t>سنن أبي داود</w:t>
      </w:r>
      <w:r w:rsidRPr="00706B94">
        <w:rPr>
          <w:rFonts w:ascii="Arabic Transparent" w:eastAsia="Calibri" w:hAnsi="Arabic Transparent" w:cs="Arabic Transparent"/>
          <w:sz w:val="26"/>
          <w:szCs w:val="26"/>
          <w:rtl/>
        </w:rPr>
        <w:t>. تحقيق: شعيب الأرنؤوط، محمد كامل قره بللي. ط1، دار الرسالة العالمية، بيروت.</w:t>
      </w:r>
    </w:p>
    <w:p w14:paraId="3660B279"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الدبيان، دبيان بن محمد (2022). </w:t>
      </w:r>
      <w:r w:rsidRPr="00706B94">
        <w:rPr>
          <w:rFonts w:ascii="Arabic Transparent" w:eastAsia="Calibri" w:hAnsi="Arabic Transparent" w:cs="Arabic Transparent"/>
          <w:b/>
          <w:bCs/>
          <w:sz w:val="26"/>
          <w:szCs w:val="26"/>
          <w:rtl/>
          <w:lang w:bidi="ar-JO"/>
        </w:rPr>
        <w:t>المعاملات المالية أصالة ومعاصرة</w:t>
      </w:r>
      <w:r w:rsidRPr="00706B94">
        <w:rPr>
          <w:rFonts w:ascii="Arabic Transparent" w:eastAsia="Calibri" w:hAnsi="Arabic Transparent" w:cs="Arabic Transparent"/>
          <w:sz w:val="26"/>
          <w:szCs w:val="26"/>
          <w:rtl/>
          <w:lang w:bidi="ar-JO"/>
        </w:rPr>
        <w:t xml:space="preserve"> (تقديم: عبد الله بن عبد المحسن التركي، وصالح بن عبد الله بن حميد، ومحمد بن ناصر العبودي، وصالح بن عبد العزيز آل الشيخ). ط2، (د.ن)، (د.م).</w:t>
      </w:r>
    </w:p>
    <w:p w14:paraId="36ABA01A"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الدردير، أحمد بن محمد،(دت)، </w:t>
      </w:r>
      <w:r w:rsidRPr="00706B94">
        <w:rPr>
          <w:rFonts w:ascii="Arabic Transparent" w:eastAsia="Calibri" w:hAnsi="Arabic Transparent" w:cs="Arabic Transparent"/>
          <w:b/>
          <w:bCs/>
          <w:sz w:val="26"/>
          <w:szCs w:val="26"/>
          <w:rtl/>
          <w:lang w:bidi="ar-JO"/>
        </w:rPr>
        <w:t>نهاية المحتاج إلى شرح على مختصر خليل (منح القدير)</w:t>
      </w:r>
      <w:r w:rsidRPr="00706B94">
        <w:rPr>
          <w:rFonts w:ascii="Arabic Transparent" w:eastAsia="Calibri" w:hAnsi="Arabic Transparent" w:cs="Arabic Transparent"/>
          <w:sz w:val="26"/>
          <w:szCs w:val="26"/>
          <w:rtl/>
          <w:lang w:bidi="ar-JO"/>
        </w:rPr>
        <w:t>، وبهامشه حاشية الدسوقي، د.ط، دار الفكر – بيروت.</w:t>
      </w:r>
    </w:p>
    <w:p w14:paraId="7129DE9B"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درويش، عبد الودود (2023م). </w:t>
      </w:r>
      <w:r w:rsidRPr="00706B94">
        <w:rPr>
          <w:rFonts w:ascii="Arabic Transparent" w:eastAsia="Calibri" w:hAnsi="Arabic Transparent" w:cs="Arabic Transparent"/>
          <w:b/>
          <w:bCs/>
          <w:sz w:val="26"/>
          <w:szCs w:val="26"/>
          <w:rtl/>
          <w:lang w:bidi="ar-JO"/>
        </w:rPr>
        <w:t>مُحقّقُ المناطِ في المعاملات المالية المعاصرة، مجلة معالم</w:t>
      </w:r>
      <w:r w:rsidRPr="00706B94">
        <w:rPr>
          <w:rFonts w:ascii="Arabic Transparent" w:eastAsia="Calibri" w:hAnsi="Arabic Transparent" w:cs="Arabic Transparent"/>
          <w:sz w:val="26"/>
          <w:szCs w:val="26"/>
          <w:rtl/>
          <w:lang w:bidi="ar-JO"/>
        </w:rPr>
        <w:t>، مج27، ع5، ص513–538، جامعة تلمسان، الجزائر.</w:t>
      </w:r>
    </w:p>
    <w:p w14:paraId="6E4DE65A"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الدريني، مصطفى، (2008)، </w:t>
      </w:r>
      <w:r w:rsidRPr="00706B94">
        <w:rPr>
          <w:rFonts w:ascii="Arabic Transparent" w:eastAsia="Calibri" w:hAnsi="Arabic Transparent" w:cs="Arabic Transparent"/>
          <w:b/>
          <w:bCs/>
          <w:sz w:val="26"/>
          <w:szCs w:val="26"/>
          <w:rtl/>
          <w:lang w:bidi="ar-JO"/>
        </w:rPr>
        <w:t>بحوث مقارنة في الفقه الإسلامي وأصوله</w:t>
      </w:r>
      <w:r w:rsidRPr="00706B94">
        <w:rPr>
          <w:rFonts w:ascii="Arabic Transparent" w:eastAsia="Calibri" w:hAnsi="Arabic Transparent" w:cs="Arabic Transparent"/>
          <w:sz w:val="26"/>
          <w:szCs w:val="26"/>
          <w:rtl/>
          <w:lang w:bidi="ar-JO"/>
        </w:rPr>
        <w:t xml:space="preserve"> ط2، مؤسسة الرسالة - دمشق، سوريا.</w:t>
      </w:r>
    </w:p>
    <w:p w14:paraId="3D8B0940"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الدريني، فتحي، (2013)، </w:t>
      </w:r>
      <w:r w:rsidRPr="00706B94">
        <w:rPr>
          <w:rFonts w:ascii="Arabic Transparent" w:eastAsia="Calibri" w:hAnsi="Arabic Transparent" w:cs="Arabic Transparent"/>
          <w:b/>
          <w:bCs/>
          <w:sz w:val="26"/>
          <w:szCs w:val="26"/>
          <w:rtl/>
          <w:lang w:bidi="ar-JO"/>
        </w:rPr>
        <w:t>خصائص التشريع الإسلامي في السياسة والحكم</w:t>
      </w:r>
      <w:r w:rsidRPr="00706B94">
        <w:rPr>
          <w:rFonts w:ascii="Arabic Transparent" w:eastAsia="Calibri" w:hAnsi="Arabic Transparent" w:cs="Arabic Transparent"/>
          <w:sz w:val="26"/>
          <w:szCs w:val="26"/>
          <w:rtl/>
          <w:lang w:bidi="ar-JO"/>
        </w:rPr>
        <w:t>، ط3، مؤسسة الرسالة، بيروت.</w:t>
      </w:r>
    </w:p>
    <w:p w14:paraId="19EEAE26"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الدريني، محمد فتحي، (1991م)، </w:t>
      </w:r>
      <w:r w:rsidRPr="00706B94">
        <w:rPr>
          <w:rFonts w:ascii="Arabic Transparent" w:eastAsia="Calibri" w:hAnsi="Arabic Transparent" w:cs="Arabic Transparent"/>
          <w:b/>
          <w:bCs/>
          <w:sz w:val="26"/>
          <w:szCs w:val="26"/>
          <w:rtl/>
          <w:lang w:bidi="ar-JO"/>
        </w:rPr>
        <w:t>الفقه الإسلامي المقارن مع المذاهب</w:t>
      </w:r>
      <w:r w:rsidRPr="00706B94">
        <w:rPr>
          <w:rFonts w:ascii="Arabic Transparent" w:eastAsia="Calibri" w:hAnsi="Arabic Transparent" w:cs="Arabic Transparent"/>
          <w:sz w:val="26"/>
          <w:szCs w:val="26"/>
          <w:rtl/>
          <w:lang w:bidi="ar-JO"/>
        </w:rPr>
        <w:t>، ط3، منشورات جامعة دمشق، سوريا.</w:t>
      </w:r>
    </w:p>
    <w:p w14:paraId="749BAFBC"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الدريني، فتحي، (2013)، </w:t>
      </w:r>
      <w:r w:rsidRPr="00706B94">
        <w:rPr>
          <w:rFonts w:ascii="Arabic Transparent" w:eastAsia="Calibri" w:hAnsi="Arabic Transparent" w:cs="Arabic Transparent"/>
          <w:b/>
          <w:bCs/>
          <w:sz w:val="26"/>
          <w:szCs w:val="26"/>
          <w:rtl/>
          <w:lang w:bidi="ar-JO"/>
        </w:rPr>
        <w:t>المناهج الأصولية في الاجتهاد بالرأي في التشريع الإسلامي</w:t>
      </w:r>
      <w:r w:rsidRPr="00706B94">
        <w:rPr>
          <w:rFonts w:ascii="Arabic Transparent" w:eastAsia="Calibri" w:hAnsi="Arabic Transparent" w:cs="Arabic Transparent"/>
          <w:sz w:val="26"/>
          <w:szCs w:val="26"/>
          <w:rtl/>
          <w:lang w:bidi="ar-JO"/>
        </w:rPr>
        <w:t>، ط3، مؤسسة الرسالة- بيروت.</w:t>
      </w:r>
    </w:p>
    <w:p w14:paraId="13B1A786"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الدريني، محمد فتحي (1986). </w:t>
      </w:r>
      <w:r w:rsidRPr="00706B94">
        <w:rPr>
          <w:rFonts w:ascii="Arabic Transparent" w:eastAsia="Calibri" w:hAnsi="Arabic Transparent" w:cs="Arabic Transparent"/>
          <w:b/>
          <w:bCs/>
          <w:sz w:val="26"/>
          <w:szCs w:val="26"/>
          <w:rtl/>
          <w:lang w:bidi="ar-JO"/>
        </w:rPr>
        <w:t>المنهج العلمي في الاجتهاد بالرأي في التشريع الإسلامي</w:t>
      </w:r>
      <w:r w:rsidRPr="00706B94">
        <w:rPr>
          <w:rFonts w:ascii="Arabic Transparent" w:eastAsia="Calibri" w:hAnsi="Arabic Transparent" w:cs="Arabic Transparent"/>
          <w:sz w:val="26"/>
          <w:szCs w:val="26"/>
          <w:rtl/>
          <w:lang w:bidi="ar-JO"/>
        </w:rPr>
        <w:t>، مجلة هدى الإسلام، مج30، ع4، وزارة الأوقاف والشؤون والمقدسات الإسلامية - الأردن.</w:t>
      </w:r>
    </w:p>
    <w:p w14:paraId="21748CA2"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الدريني، فتحي، </w:t>
      </w:r>
      <w:r w:rsidRPr="00706B94">
        <w:rPr>
          <w:rFonts w:ascii="Arabic Transparent" w:eastAsia="Calibri" w:hAnsi="Arabic Transparent" w:cs="Arabic Transparent"/>
          <w:b/>
          <w:bCs/>
          <w:sz w:val="26"/>
          <w:szCs w:val="26"/>
          <w:rtl/>
          <w:lang w:bidi="ar-JO"/>
        </w:rPr>
        <w:t>نظرية التعسف في استعمال الحق في الفقه الإسلامي</w:t>
      </w:r>
      <w:r w:rsidRPr="00706B94">
        <w:rPr>
          <w:rFonts w:ascii="Arabic Transparent" w:eastAsia="Calibri" w:hAnsi="Arabic Transparent" w:cs="Arabic Transparent"/>
          <w:sz w:val="26"/>
          <w:szCs w:val="26"/>
          <w:rtl/>
          <w:lang w:bidi="ar-JO"/>
        </w:rPr>
        <w:t>( 1994)، ط4، مؤسسة الرسالة، بيروت.</w:t>
      </w:r>
    </w:p>
    <w:p w14:paraId="0F43EB3C"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الدسوقي، محمد بن أحمد بن عرفة (د.ت). </w:t>
      </w:r>
      <w:r w:rsidRPr="00706B94">
        <w:rPr>
          <w:rFonts w:ascii="Arabic Transparent" w:eastAsia="Calibri" w:hAnsi="Arabic Transparent" w:cs="Arabic Transparent"/>
          <w:b/>
          <w:bCs/>
          <w:sz w:val="26"/>
          <w:szCs w:val="26"/>
          <w:rtl/>
          <w:lang w:bidi="ar-JO"/>
        </w:rPr>
        <w:t>حاشية الدسوقي على الشرح الكبير</w:t>
      </w:r>
      <w:r w:rsidRPr="00706B94">
        <w:rPr>
          <w:rFonts w:ascii="Arabic Transparent" w:eastAsia="Calibri" w:hAnsi="Arabic Transparent" w:cs="Arabic Transparent"/>
          <w:sz w:val="26"/>
          <w:szCs w:val="26"/>
          <w:rtl/>
          <w:lang w:bidi="ar-JO"/>
        </w:rPr>
        <w:t>. دار الفكر، بيروت.</w:t>
      </w:r>
    </w:p>
    <w:p w14:paraId="3BA4221B"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الدسوقي، محمد بن عرفة، (د.ت)، </w:t>
      </w:r>
      <w:r w:rsidRPr="00706B94">
        <w:rPr>
          <w:rFonts w:ascii="Arabic Transparent" w:eastAsia="Calibri" w:hAnsi="Arabic Transparent" w:cs="Arabic Transparent"/>
          <w:b/>
          <w:bCs/>
          <w:sz w:val="26"/>
          <w:szCs w:val="26"/>
          <w:rtl/>
          <w:lang w:bidi="ar-JO"/>
        </w:rPr>
        <w:t>حاشية الدسوقي على مختصر المعاني لسعد الدين التفتازاني</w:t>
      </w:r>
      <w:r w:rsidRPr="00706B94">
        <w:rPr>
          <w:rFonts w:ascii="Arabic Transparent" w:eastAsia="Calibri" w:hAnsi="Arabic Transparent" w:cs="Arabic Transparent"/>
          <w:sz w:val="26"/>
          <w:szCs w:val="26"/>
          <w:rtl/>
          <w:lang w:bidi="ar-JO"/>
        </w:rPr>
        <w:t xml:space="preserve"> (تحقيق عبد الحميد هنداوي)، ط1، المكتبة العصرية، بيروت.</w:t>
      </w:r>
    </w:p>
    <w:p w14:paraId="22BD4053"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tl/>
          <w:lang w:bidi="ar-JO"/>
        </w:rPr>
      </w:pPr>
      <w:r w:rsidRPr="00706B94">
        <w:rPr>
          <w:rFonts w:ascii="Arabic Transparent" w:eastAsia="Calibri" w:hAnsi="Arabic Transparent" w:cs="Arabic Transparent"/>
          <w:sz w:val="26"/>
          <w:szCs w:val="26"/>
          <w:rtl/>
        </w:rPr>
        <w:t xml:space="preserve">ابن دقيق، تقي الدين أبو الفتح محمد بن علي بن وهب بن مطيع القشيري(2009). </w:t>
      </w:r>
      <w:r w:rsidRPr="00706B94">
        <w:rPr>
          <w:rFonts w:ascii="Arabic Transparent" w:eastAsia="Calibri" w:hAnsi="Arabic Transparent" w:cs="Arabic Transparent"/>
          <w:b/>
          <w:bCs/>
          <w:sz w:val="26"/>
          <w:szCs w:val="26"/>
          <w:rtl/>
        </w:rPr>
        <w:t>شرح الإلمام بأحاديث الأحكام</w:t>
      </w:r>
      <w:r w:rsidRPr="00706B94">
        <w:rPr>
          <w:rFonts w:ascii="Arabic Transparent" w:eastAsia="Calibri" w:hAnsi="Arabic Transparent" w:cs="Arabic Transparent"/>
          <w:sz w:val="26"/>
          <w:szCs w:val="26"/>
          <w:rtl/>
        </w:rPr>
        <w:t>، تحقيق وتعليق وتخريج: محمد خلوف العبد الله، ط2، دمشق: دار النوادر، سوريا.</w:t>
      </w:r>
    </w:p>
    <w:p w14:paraId="515973D0"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الدميجي، عبد العزيز بن صالح (2019م). </w:t>
      </w:r>
      <w:r w:rsidRPr="00706B94">
        <w:rPr>
          <w:rFonts w:ascii="Arabic Transparent" w:eastAsia="Calibri" w:hAnsi="Arabic Transparent" w:cs="Arabic Transparent"/>
          <w:b/>
          <w:bCs/>
          <w:sz w:val="26"/>
          <w:szCs w:val="26"/>
          <w:rtl/>
          <w:lang w:bidi="ar-JO"/>
        </w:rPr>
        <w:t>تمويل الخدمات</w:t>
      </w:r>
      <w:r w:rsidRPr="00706B94">
        <w:rPr>
          <w:rFonts w:ascii="Arabic Transparent" w:eastAsia="Calibri" w:hAnsi="Arabic Transparent" w:cs="Arabic Transparent"/>
          <w:sz w:val="26"/>
          <w:szCs w:val="26"/>
          <w:rtl/>
          <w:lang w:bidi="ar-JO"/>
        </w:rPr>
        <w:t>، ط1، دار الميمان، السعودية.</w:t>
      </w:r>
    </w:p>
    <w:p w14:paraId="6FBCCD39"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الدميري، محمد بن موسى بن عيسى، كمال الدين (2004)، </w:t>
      </w:r>
      <w:r w:rsidRPr="00706B94">
        <w:rPr>
          <w:rFonts w:ascii="Arabic Transparent" w:eastAsia="Calibri" w:hAnsi="Arabic Transparent" w:cs="Arabic Transparent"/>
          <w:b/>
          <w:bCs/>
          <w:sz w:val="26"/>
          <w:szCs w:val="26"/>
          <w:rtl/>
          <w:lang w:bidi="ar-JO"/>
        </w:rPr>
        <w:t>النجم الوهاج في شرح المنهاج</w:t>
      </w:r>
      <w:r w:rsidRPr="00706B94">
        <w:rPr>
          <w:rFonts w:ascii="Arabic Transparent" w:eastAsia="Calibri" w:hAnsi="Arabic Transparent" w:cs="Arabic Transparent"/>
          <w:sz w:val="26"/>
          <w:szCs w:val="26"/>
          <w:rtl/>
          <w:lang w:bidi="ar-JO"/>
        </w:rPr>
        <w:t>، تحقيق: لجنة علمية، ط1، دار المنهاج، جدة.</w:t>
      </w:r>
    </w:p>
    <w:p w14:paraId="3919FBAB"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الدهلوي، أحمد بن عبد الرحيم بن الشهيد وجيه الدين بن معظم بن منصور، </w:t>
      </w:r>
      <w:r w:rsidRPr="00706B94">
        <w:rPr>
          <w:rFonts w:ascii="Arabic Transparent" w:eastAsia="Calibri" w:hAnsi="Arabic Transparent" w:cs="Arabic Transparent"/>
          <w:b/>
          <w:bCs/>
          <w:sz w:val="26"/>
          <w:szCs w:val="26"/>
          <w:rtl/>
          <w:lang w:bidi="ar-JO"/>
        </w:rPr>
        <w:t>حجة الله البالغة</w:t>
      </w:r>
      <w:r w:rsidRPr="00706B94">
        <w:rPr>
          <w:rFonts w:ascii="Arabic Transparent" w:eastAsia="Calibri" w:hAnsi="Arabic Transparent" w:cs="Arabic Transparent"/>
          <w:sz w:val="26"/>
          <w:szCs w:val="26"/>
          <w:rtl/>
          <w:lang w:bidi="ar-JO"/>
        </w:rPr>
        <w:t>،(2005م)،  ط1، دار الجيل- بيروت.</w:t>
      </w:r>
    </w:p>
    <w:p w14:paraId="34D8A19E"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tl/>
          <w:lang w:bidi="ar-JO"/>
        </w:rPr>
      </w:pPr>
      <w:r w:rsidRPr="00706B94">
        <w:rPr>
          <w:rFonts w:ascii="Arabic Transparent" w:eastAsia="Calibri" w:hAnsi="Arabic Transparent" w:cs="Arabic Transparent"/>
          <w:sz w:val="26"/>
          <w:szCs w:val="26"/>
          <w:rtl/>
          <w:lang w:bidi="ar-JO"/>
        </w:rPr>
        <w:lastRenderedPageBreak/>
        <w:t xml:space="preserve">الديري، عدنان مروان عدنان، والكيلاني، عبد الرحمن إبراهيم زيد، (2023)، </w:t>
      </w:r>
      <w:r w:rsidRPr="00706B94">
        <w:rPr>
          <w:rFonts w:ascii="Arabic Transparent" w:eastAsia="Calibri" w:hAnsi="Arabic Transparent" w:cs="Arabic Transparent"/>
          <w:b/>
          <w:bCs/>
          <w:sz w:val="26"/>
          <w:szCs w:val="26"/>
          <w:rtl/>
          <w:lang w:bidi="ar-JO"/>
        </w:rPr>
        <w:t>منهج التحقيق الأصولي: مفهومه، وأهميته، وضوابطه</w:t>
      </w:r>
      <w:r w:rsidRPr="00706B94">
        <w:rPr>
          <w:rFonts w:ascii="Arabic Transparent" w:eastAsia="Calibri" w:hAnsi="Arabic Transparent" w:cs="Arabic Transparent"/>
          <w:sz w:val="26"/>
          <w:szCs w:val="26"/>
          <w:rtl/>
          <w:lang w:bidi="ar-JO"/>
        </w:rPr>
        <w:t>، مجلة الجامعة الإسلامية للدراسات الشرعية والقانونية، مج31، ع3، الجامعة الإسلامية – غزة.</w:t>
      </w:r>
    </w:p>
    <w:p w14:paraId="75BD03B6"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tl/>
        </w:rPr>
      </w:pPr>
      <w:r w:rsidRPr="00706B94">
        <w:rPr>
          <w:rFonts w:ascii="Arabic Transparent" w:eastAsia="Calibri" w:hAnsi="Arabic Transparent" w:cs="Arabic Transparent"/>
          <w:sz w:val="26"/>
          <w:szCs w:val="26"/>
          <w:rtl/>
        </w:rPr>
        <w:t xml:space="preserve">الذهبي، شمس الدين أبو عبد الله محمد، (دت)، </w:t>
      </w:r>
      <w:r w:rsidRPr="00706B94">
        <w:rPr>
          <w:rFonts w:ascii="Arabic Transparent" w:eastAsia="Calibri" w:hAnsi="Arabic Transparent" w:cs="Arabic Transparent"/>
          <w:b/>
          <w:bCs/>
          <w:sz w:val="26"/>
          <w:szCs w:val="26"/>
          <w:rtl/>
        </w:rPr>
        <w:t>المنتقى من منهاج الاعتدال في نقض كلام أهل الرفض والاعتزال</w:t>
      </w:r>
      <w:r w:rsidRPr="00706B94">
        <w:rPr>
          <w:rFonts w:ascii="Arabic Transparent" w:eastAsia="Calibri" w:hAnsi="Arabic Transparent" w:cs="Arabic Transparent"/>
          <w:sz w:val="26"/>
          <w:szCs w:val="26"/>
          <w:rtl/>
        </w:rPr>
        <w:t xml:space="preserve"> (تحقيق محب الدين الخطيب)، دط، دن.</w:t>
      </w:r>
    </w:p>
    <w:p w14:paraId="6F444ABC"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الرازي، زين الدين أبو عبد الله محمد بن أبي بكر بن عبد القادر الحنفي، (1999)، </w:t>
      </w:r>
      <w:r w:rsidRPr="00706B94">
        <w:rPr>
          <w:rFonts w:ascii="Arabic Transparent" w:eastAsia="Calibri" w:hAnsi="Arabic Transparent" w:cs="Arabic Transparent"/>
          <w:b/>
          <w:bCs/>
          <w:sz w:val="26"/>
          <w:szCs w:val="26"/>
          <w:rtl/>
        </w:rPr>
        <w:t>مختار الصحاح</w:t>
      </w:r>
      <w:r w:rsidRPr="00706B94">
        <w:rPr>
          <w:rFonts w:ascii="Arabic Transparent" w:eastAsia="Calibri" w:hAnsi="Arabic Transparent" w:cs="Arabic Transparent"/>
          <w:sz w:val="26"/>
          <w:szCs w:val="26"/>
          <w:rtl/>
        </w:rPr>
        <w:t>، تحقيق: يوسف الشيخ محمد، ط5، المكتبة العصرية - الدار النموذجية، بيروت - صيدا.</w:t>
      </w:r>
    </w:p>
    <w:p w14:paraId="29F4049C"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الرازي، محمد بن عمر، (1997)، </w:t>
      </w:r>
      <w:r w:rsidRPr="00706B94">
        <w:rPr>
          <w:rFonts w:ascii="Arabic Transparent" w:eastAsia="Calibri" w:hAnsi="Arabic Transparent" w:cs="Arabic Transparent"/>
          <w:b/>
          <w:bCs/>
          <w:sz w:val="26"/>
          <w:szCs w:val="26"/>
          <w:rtl/>
        </w:rPr>
        <w:t>المحصول</w:t>
      </w:r>
      <w:r w:rsidRPr="00706B94">
        <w:rPr>
          <w:rFonts w:ascii="Arabic Transparent" w:eastAsia="Calibri" w:hAnsi="Arabic Transparent" w:cs="Arabic Transparent"/>
          <w:sz w:val="26"/>
          <w:szCs w:val="26"/>
          <w:rtl/>
        </w:rPr>
        <w:t xml:space="preserve"> (تحقيق طه جابر فياض العلواني)، ط3، مؤسسة الرسالة، بيروت – لبنان.</w:t>
      </w:r>
    </w:p>
    <w:p w14:paraId="1161A752"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الرافعي، عبد الكريم بن محمد (د.ت). </w:t>
      </w:r>
      <w:r w:rsidRPr="00706B94">
        <w:rPr>
          <w:rFonts w:ascii="Arabic Transparent" w:eastAsia="Calibri" w:hAnsi="Arabic Transparent" w:cs="Arabic Transparent"/>
          <w:b/>
          <w:bCs/>
          <w:sz w:val="26"/>
          <w:szCs w:val="26"/>
          <w:rtl/>
        </w:rPr>
        <w:t>فتح العزيز بشرح الوجيز</w:t>
      </w:r>
      <w:r w:rsidRPr="00706B94">
        <w:rPr>
          <w:rFonts w:ascii="Arabic Transparent" w:eastAsia="Calibri" w:hAnsi="Arabic Transparent" w:cs="Arabic Transparent"/>
          <w:sz w:val="26"/>
          <w:szCs w:val="26"/>
          <w:rtl/>
        </w:rPr>
        <w:t>، ط1 دار الفكر، بيروت.</w:t>
      </w:r>
    </w:p>
    <w:p w14:paraId="6A5CB5AD"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الرحيباني، مصطفى بن سعد بن عبده (1994م). </w:t>
      </w:r>
      <w:r w:rsidRPr="00706B94">
        <w:rPr>
          <w:rFonts w:ascii="Arabic Transparent" w:eastAsia="Calibri" w:hAnsi="Arabic Transparent" w:cs="Arabic Transparent"/>
          <w:b/>
          <w:bCs/>
          <w:sz w:val="26"/>
          <w:szCs w:val="26"/>
          <w:rtl/>
        </w:rPr>
        <w:t>مطالب أولي النهى في شرح غاية المنتهى</w:t>
      </w:r>
      <w:r w:rsidRPr="00706B94">
        <w:rPr>
          <w:rFonts w:ascii="Arabic Transparent" w:eastAsia="Calibri" w:hAnsi="Arabic Transparent" w:cs="Arabic Transparent"/>
          <w:sz w:val="26"/>
          <w:szCs w:val="26"/>
          <w:rtl/>
        </w:rPr>
        <w:t>. ط2، المكتب الإسلامي، بيروت.</w:t>
      </w:r>
    </w:p>
    <w:p w14:paraId="01B2933B"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ابن رشد الجد، أبو الوليد محمد بن أحمد القرطبي (1988). </w:t>
      </w:r>
      <w:r w:rsidRPr="00706B94">
        <w:rPr>
          <w:rFonts w:ascii="Arabic Transparent" w:eastAsia="Calibri" w:hAnsi="Arabic Transparent" w:cs="Arabic Transparent"/>
          <w:b/>
          <w:bCs/>
          <w:sz w:val="26"/>
          <w:szCs w:val="26"/>
          <w:rtl/>
        </w:rPr>
        <w:t>المقدمات الممهدات</w:t>
      </w:r>
      <w:r w:rsidRPr="00706B94">
        <w:rPr>
          <w:rFonts w:ascii="Arabic Transparent" w:eastAsia="Calibri" w:hAnsi="Arabic Transparent" w:cs="Arabic Transparent"/>
          <w:sz w:val="26"/>
          <w:szCs w:val="26"/>
          <w:rtl/>
        </w:rPr>
        <w:t>، تحقيق: محمد حجي، ط1، دار الغرب الإسلامي، بيروت.</w:t>
      </w:r>
    </w:p>
    <w:p w14:paraId="3AC6E8B2"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ابن رشد الجد، محمد بن أحمد القرطبي، أبو الوليد (1993)، </w:t>
      </w:r>
      <w:r w:rsidRPr="00706B94">
        <w:rPr>
          <w:rFonts w:ascii="Arabic Transparent" w:eastAsia="Calibri" w:hAnsi="Arabic Transparent" w:cs="Arabic Transparent"/>
          <w:b/>
          <w:bCs/>
          <w:sz w:val="26"/>
          <w:szCs w:val="26"/>
          <w:rtl/>
        </w:rPr>
        <w:t>مسائل أبي الوليد ابن رشد</w:t>
      </w:r>
      <w:r w:rsidRPr="00706B94">
        <w:rPr>
          <w:rFonts w:ascii="Arabic Transparent" w:eastAsia="Calibri" w:hAnsi="Arabic Transparent" w:cs="Arabic Transparent"/>
          <w:sz w:val="26"/>
          <w:szCs w:val="26"/>
          <w:rtl/>
        </w:rPr>
        <w:t>، تحقيق: محمد الحبيب التجكاني، ط2، دار الجيل، بيروت.</w:t>
      </w:r>
    </w:p>
    <w:p w14:paraId="7BD9B939"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ابن رشد الجد، محمد بن أحمد بن رشد القرطبي، أبو الوليد (1988)، </w:t>
      </w:r>
      <w:r w:rsidRPr="00706B94">
        <w:rPr>
          <w:rFonts w:ascii="Arabic Transparent" w:eastAsia="Calibri" w:hAnsi="Arabic Transparent" w:cs="Arabic Transparent"/>
          <w:b/>
          <w:bCs/>
          <w:sz w:val="26"/>
          <w:szCs w:val="26"/>
          <w:rtl/>
        </w:rPr>
        <w:t>البيان والتحصيل والشرح والتوجيه والتعليل لمسائل المستخرجة</w:t>
      </w:r>
      <w:r w:rsidRPr="00706B94">
        <w:rPr>
          <w:rFonts w:ascii="Arabic Transparent" w:eastAsia="Calibri" w:hAnsi="Arabic Transparent" w:cs="Arabic Transparent"/>
          <w:sz w:val="26"/>
          <w:szCs w:val="26"/>
          <w:rtl/>
        </w:rPr>
        <w:t>، تحقيق: محمد حجي وآخرون، ط2، دار الغرب الإسلامي، بيروت – لبنان.</w:t>
      </w:r>
    </w:p>
    <w:p w14:paraId="6AA3B844"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tl/>
        </w:rPr>
      </w:pPr>
      <w:r w:rsidRPr="00706B94">
        <w:rPr>
          <w:rFonts w:ascii="Arabic Transparent" w:eastAsia="Calibri" w:hAnsi="Arabic Transparent" w:cs="Arabic Transparent"/>
          <w:sz w:val="26"/>
          <w:szCs w:val="26"/>
          <w:rtl/>
        </w:rPr>
        <w:t xml:space="preserve">ابن رشد الحفيد، محمد بن أحمد بن محمد بن أحمد القرطبي الأندلسي (2004). </w:t>
      </w:r>
      <w:r w:rsidRPr="00706B94">
        <w:rPr>
          <w:rFonts w:ascii="Arabic Transparent" w:eastAsia="Calibri" w:hAnsi="Arabic Transparent" w:cs="Arabic Transparent"/>
          <w:b/>
          <w:bCs/>
          <w:sz w:val="26"/>
          <w:szCs w:val="26"/>
          <w:rtl/>
        </w:rPr>
        <w:t>بداية المجتهد ونهاية المقتصد</w:t>
      </w:r>
      <w:r w:rsidRPr="00706B94">
        <w:rPr>
          <w:rFonts w:ascii="Arabic Transparent" w:eastAsia="Calibri" w:hAnsi="Arabic Transparent" w:cs="Arabic Transparent"/>
          <w:sz w:val="26"/>
          <w:szCs w:val="26"/>
          <w:rtl/>
        </w:rPr>
        <w:t>. تحقيق أحاديثه وتخريجها: فريد عبدالعزيز الجندي، ط1، دار الحديث، القاهرة.</w:t>
      </w:r>
    </w:p>
    <w:p w14:paraId="25E0EC96"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tl/>
        </w:rPr>
      </w:pPr>
      <w:r w:rsidRPr="00706B94">
        <w:rPr>
          <w:rFonts w:ascii="Arabic Transparent" w:eastAsia="Calibri" w:hAnsi="Arabic Transparent" w:cs="Arabic Transparent"/>
          <w:sz w:val="26"/>
          <w:szCs w:val="26"/>
          <w:rtl/>
        </w:rPr>
        <w:t xml:space="preserve">آل رشود، رياض بن راشد عبد الله. (2013). </w:t>
      </w:r>
      <w:r w:rsidRPr="00706B94">
        <w:rPr>
          <w:rFonts w:ascii="Arabic Transparent" w:eastAsia="Calibri" w:hAnsi="Arabic Transparent" w:cs="Arabic Transparent"/>
          <w:b/>
          <w:bCs/>
          <w:sz w:val="26"/>
          <w:szCs w:val="26"/>
          <w:rtl/>
        </w:rPr>
        <w:t>التورق المصرفي</w:t>
      </w:r>
      <w:r w:rsidRPr="00706B94">
        <w:rPr>
          <w:rFonts w:ascii="Arabic Transparent" w:eastAsia="Calibri" w:hAnsi="Arabic Transparent" w:cs="Arabic Transparent"/>
          <w:sz w:val="26"/>
          <w:szCs w:val="26"/>
          <w:rtl/>
        </w:rPr>
        <w:t>. ط1. الدوحة: وزارة الأوقاف والشؤون الإسلامية، قطر.</w:t>
      </w:r>
    </w:p>
    <w:p w14:paraId="40E0EED7"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الرشيدي، عدنان بن عوض (د.ت). </w:t>
      </w:r>
      <w:r w:rsidRPr="00706B94">
        <w:rPr>
          <w:rFonts w:ascii="Arabic Transparent" w:eastAsia="Calibri" w:hAnsi="Arabic Transparent" w:cs="Arabic Transparent"/>
          <w:b/>
          <w:bCs/>
          <w:sz w:val="26"/>
          <w:szCs w:val="26"/>
          <w:rtl/>
        </w:rPr>
        <w:t>معالم التجديد في فقه المعاملات المالية ومتطلباته</w:t>
      </w:r>
      <w:r w:rsidRPr="00706B94">
        <w:rPr>
          <w:rFonts w:ascii="Arabic Transparent" w:eastAsia="Calibri" w:hAnsi="Arabic Transparent" w:cs="Arabic Transparent"/>
          <w:sz w:val="26"/>
          <w:szCs w:val="26"/>
          <w:rtl/>
        </w:rPr>
        <w:t xml:space="preserve">، بحث منشور، أستاذ الفقه وأصوله في دار القرآن الكريم، الكويت. متاح على: </w:t>
      </w:r>
      <w:r w:rsidRPr="00706B94">
        <w:rPr>
          <w:rFonts w:ascii="Arabic Transparent" w:eastAsia="Calibri" w:hAnsi="Arabic Transparent" w:cs="Arabic Transparent"/>
          <w:sz w:val="26"/>
          <w:szCs w:val="26"/>
        </w:rPr>
        <w:t>https://www.academia.edu/143862947</w:t>
      </w:r>
      <w:r w:rsidRPr="00706B94">
        <w:rPr>
          <w:rFonts w:ascii="Arabic Transparent" w:eastAsia="Calibri" w:hAnsi="Arabic Transparent" w:cs="Arabic Transparent"/>
          <w:sz w:val="26"/>
          <w:szCs w:val="26"/>
          <w:rtl/>
        </w:rPr>
        <w:t>، تاريخ الاطلاع: 11 آذار 2026م.</w:t>
      </w:r>
    </w:p>
    <w:p w14:paraId="1037785D"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رضا، أحمد، (1958–1960)، </w:t>
      </w:r>
      <w:r w:rsidRPr="00706B94">
        <w:rPr>
          <w:rFonts w:ascii="Arabic Transparent" w:eastAsia="Calibri" w:hAnsi="Arabic Transparent" w:cs="Arabic Transparent"/>
          <w:b/>
          <w:bCs/>
          <w:sz w:val="26"/>
          <w:szCs w:val="26"/>
          <w:rtl/>
        </w:rPr>
        <w:t>معجم متن اللغة (موسوعة لغوية حديثة)</w:t>
      </w:r>
      <w:r w:rsidRPr="00706B94">
        <w:rPr>
          <w:rFonts w:ascii="Arabic Transparent" w:eastAsia="Calibri" w:hAnsi="Arabic Transparent" w:cs="Arabic Transparent"/>
          <w:sz w:val="26"/>
          <w:szCs w:val="26"/>
          <w:rtl/>
        </w:rPr>
        <w:t>، ط1، دار مكتبة الحياة – بيروت.</w:t>
      </w:r>
    </w:p>
    <w:p w14:paraId="3B113B7C"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رضا، محمد رشيد بن علي (1990م). </w:t>
      </w:r>
      <w:r w:rsidRPr="00706B94">
        <w:rPr>
          <w:rFonts w:ascii="Arabic Transparent" w:eastAsia="Calibri" w:hAnsi="Arabic Transparent" w:cs="Arabic Transparent"/>
          <w:b/>
          <w:bCs/>
          <w:sz w:val="26"/>
          <w:szCs w:val="26"/>
          <w:rtl/>
        </w:rPr>
        <w:t>تفسير القرآن الحكيم (تفسير المنار)</w:t>
      </w:r>
      <w:r w:rsidRPr="00706B94">
        <w:rPr>
          <w:rFonts w:ascii="Arabic Transparent" w:eastAsia="Calibri" w:hAnsi="Arabic Transparent" w:cs="Arabic Transparent"/>
          <w:sz w:val="26"/>
          <w:szCs w:val="26"/>
          <w:rtl/>
        </w:rPr>
        <w:t>. الهيئة المصرية العامة للكتاب، مصر.</w:t>
      </w:r>
    </w:p>
    <w:p w14:paraId="1F23EAA0"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الرملي، شمس الدين محمد بن أبي العباس أحمد بن حمزة (1984). </w:t>
      </w:r>
      <w:r w:rsidRPr="00706B94">
        <w:rPr>
          <w:rFonts w:ascii="Arabic Transparent" w:eastAsia="Calibri" w:hAnsi="Arabic Transparent" w:cs="Arabic Transparent"/>
          <w:b/>
          <w:bCs/>
          <w:sz w:val="26"/>
          <w:szCs w:val="26"/>
          <w:rtl/>
        </w:rPr>
        <w:t>نهاية المحتاج إلى شرح المنهاج</w:t>
      </w:r>
      <w:r w:rsidRPr="00706B94">
        <w:rPr>
          <w:rFonts w:ascii="Arabic Transparent" w:eastAsia="Calibri" w:hAnsi="Arabic Transparent" w:cs="Arabic Transparent"/>
          <w:sz w:val="26"/>
          <w:szCs w:val="26"/>
          <w:rtl/>
        </w:rPr>
        <w:t>، ط1، دار الفكر، بيروت.</w:t>
      </w:r>
    </w:p>
    <w:p w14:paraId="3FECC927"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الرميلي، عبدالحكيم، (دت) </w:t>
      </w:r>
      <w:r w:rsidRPr="00706B94">
        <w:rPr>
          <w:rFonts w:ascii="Arabic Transparent" w:eastAsia="Calibri" w:hAnsi="Arabic Transparent" w:cs="Arabic Transparent"/>
          <w:b/>
          <w:bCs/>
          <w:sz w:val="26"/>
          <w:szCs w:val="26"/>
          <w:rtl/>
        </w:rPr>
        <w:t>تغيّر الفتوى في الفقه الإسلامي</w:t>
      </w:r>
      <w:r w:rsidRPr="00706B94">
        <w:rPr>
          <w:rFonts w:ascii="Arabic Transparent" w:eastAsia="Calibri" w:hAnsi="Arabic Transparent" w:cs="Arabic Transparent"/>
          <w:sz w:val="26"/>
          <w:szCs w:val="26"/>
          <w:rtl/>
        </w:rPr>
        <w:t>، ط1، دار الكتب العلمية -بيروت.</w:t>
      </w:r>
    </w:p>
    <w:p w14:paraId="79EDAC84"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الرهوني، يحيى بن موسى، أبو زكريا (2002)، </w:t>
      </w:r>
      <w:r w:rsidRPr="00706B94">
        <w:rPr>
          <w:rFonts w:ascii="Arabic Transparent" w:eastAsia="Calibri" w:hAnsi="Arabic Transparent" w:cs="Arabic Transparent"/>
          <w:b/>
          <w:bCs/>
          <w:sz w:val="26"/>
          <w:szCs w:val="26"/>
          <w:rtl/>
        </w:rPr>
        <w:t>تحفة المسؤول في شرح مختصر منتهى السول</w:t>
      </w:r>
      <w:r w:rsidRPr="00706B94">
        <w:rPr>
          <w:rFonts w:ascii="Arabic Transparent" w:eastAsia="Calibri" w:hAnsi="Arabic Transparent" w:cs="Arabic Transparent"/>
          <w:sz w:val="26"/>
          <w:szCs w:val="26"/>
          <w:rtl/>
        </w:rPr>
        <w:t>، ط1، دار البحوث للدراسات الإسلامية وإحياء التراث، دبي – الإمارات.</w:t>
      </w:r>
    </w:p>
    <w:p w14:paraId="2E002B81"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الروبي، ناصر (2002). </w:t>
      </w:r>
      <w:r w:rsidRPr="00706B94">
        <w:rPr>
          <w:rFonts w:ascii="Arabic Transparent" w:eastAsia="Calibri" w:hAnsi="Arabic Transparent" w:cs="Arabic Transparent"/>
          <w:b/>
          <w:bCs/>
          <w:sz w:val="26"/>
          <w:szCs w:val="26"/>
          <w:rtl/>
        </w:rPr>
        <w:t>نظرية التضخم</w:t>
      </w:r>
      <w:r w:rsidRPr="00706B94">
        <w:rPr>
          <w:rFonts w:ascii="Arabic Transparent" w:eastAsia="Calibri" w:hAnsi="Arabic Transparent" w:cs="Arabic Transparent"/>
          <w:sz w:val="26"/>
          <w:szCs w:val="26"/>
          <w:rtl/>
        </w:rPr>
        <w:t>، ط1،  مؤسسة الثقافة الجامعية، الإسكندرية.</w:t>
      </w:r>
    </w:p>
    <w:p w14:paraId="5791CEE6"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lastRenderedPageBreak/>
        <w:t xml:space="preserve">الروياني، عبد الواحد بن إسماعيل، أبو المحاسن، (2009)، </w:t>
      </w:r>
      <w:r w:rsidRPr="00706B94">
        <w:rPr>
          <w:rFonts w:ascii="Arabic Transparent" w:eastAsia="Calibri" w:hAnsi="Arabic Transparent" w:cs="Arabic Transparent"/>
          <w:b/>
          <w:bCs/>
          <w:sz w:val="26"/>
          <w:szCs w:val="26"/>
          <w:rtl/>
        </w:rPr>
        <w:t>بحر المذهب في فروع المذهب الشافعي</w:t>
      </w:r>
      <w:r w:rsidRPr="00706B94">
        <w:rPr>
          <w:rFonts w:ascii="Arabic Transparent" w:eastAsia="Calibri" w:hAnsi="Arabic Transparent" w:cs="Arabic Transparent"/>
          <w:sz w:val="26"/>
          <w:szCs w:val="26"/>
          <w:rtl/>
        </w:rPr>
        <w:t xml:space="preserve"> (تحقيق طارق فتحي السيد)، ط1، دار الكتب العلمية، بيروت.</w:t>
      </w:r>
    </w:p>
    <w:p w14:paraId="0FBB41FF"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الريسوني، أحمد (2000م).</w:t>
      </w:r>
      <w:r w:rsidRPr="00706B94">
        <w:rPr>
          <w:rFonts w:ascii="Arabic Transparent" w:eastAsia="Calibri" w:hAnsi="Arabic Transparent" w:cs="Arabic Transparent"/>
          <w:b/>
          <w:bCs/>
          <w:sz w:val="26"/>
          <w:szCs w:val="26"/>
          <w:rtl/>
        </w:rPr>
        <w:t xml:space="preserve"> الاجتهاد: النص، الواقع، المصلحة، حوار مع محمد جمال باروت</w:t>
      </w:r>
      <w:r w:rsidRPr="00706B94">
        <w:rPr>
          <w:rFonts w:ascii="Arabic Transparent" w:eastAsia="Calibri" w:hAnsi="Arabic Transparent" w:cs="Arabic Transparent"/>
          <w:sz w:val="26"/>
          <w:szCs w:val="26"/>
          <w:rtl/>
        </w:rPr>
        <w:t>، ط1، دار الفكر، دمشق؛ دار الفكر المعاصر، بيروت.</w:t>
      </w:r>
    </w:p>
    <w:p w14:paraId="1DDF9174"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الريسوني، أحمد (2010). </w:t>
      </w:r>
      <w:r w:rsidRPr="00706B94">
        <w:rPr>
          <w:rFonts w:ascii="Arabic Transparent" w:eastAsia="Calibri" w:hAnsi="Arabic Transparent" w:cs="Arabic Transparent"/>
          <w:b/>
          <w:bCs/>
          <w:sz w:val="26"/>
          <w:szCs w:val="26"/>
          <w:rtl/>
        </w:rPr>
        <w:t>مدخل إلى مقاصد الشريعة</w:t>
      </w:r>
      <w:r w:rsidRPr="00706B94">
        <w:rPr>
          <w:rFonts w:ascii="Arabic Transparent" w:eastAsia="Calibri" w:hAnsi="Arabic Transparent" w:cs="Arabic Transparent"/>
          <w:sz w:val="26"/>
          <w:szCs w:val="26"/>
          <w:rtl/>
        </w:rPr>
        <w:t>، ط1، دار الكلمة للنشر والتوزيع، القاهرة.</w:t>
      </w:r>
    </w:p>
    <w:p w14:paraId="24DBE35D"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الريسوني، أحمد، (1992)، </w:t>
      </w:r>
      <w:r w:rsidRPr="00706B94">
        <w:rPr>
          <w:rFonts w:ascii="Arabic Transparent" w:eastAsia="Calibri" w:hAnsi="Arabic Transparent" w:cs="Arabic Transparent"/>
          <w:b/>
          <w:bCs/>
          <w:sz w:val="26"/>
          <w:szCs w:val="26"/>
          <w:rtl/>
        </w:rPr>
        <w:t>نظرية المقاصد عند الإمام الشاطبي</w:t>
      </w:r>
      <w:r w:rsidRPr="00706B94">
        <w:rPr>
          <w:rFonts w:ascii="Arabic Transparent" w:eastAsia="Calibri" w:hAnsi="Arabic Transparent" w:cs="Arabic Transparent"/>
          <w:sz w:val="26"/>
          <w:szCs w:val="26"/>
          <w:rtl/>
        </w:rPr>
        <w:t xml:space="preserve"> (ط2)، الدار العالمية للكتاب الإسلامي - الرياض، السعودية.</w:t>
      </w:r>
    </w:p>
    <w:p w14:paraId="22AE208F"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tl/>
        </w:rPr>
      </w:pPr>
      <w:r w:rsidRPr="00706B94">
        <w:rPr>
          <w:rFonts w:ascii="Arabic Transparent" w:eastAsia="Calibri" w:hAnsi="Arabic Transparent" w:cs="Arabic Transparent"/>
          <w:sz w:val="26"/>
          <w:szCs w:val="26"/>
          <w:rtl/>
        </w:rPr>
        <w:t xml:space="preserve">الريسوني، قطب، (1986–2007)، </w:t>
      </w:r>
      <w:r w:rsidRPr="00706B94">
        <w:rPr>
          <w:rFonts w:ascii="Arabic Transparent" w:eastAsia="Calibri" w:hAnsi="Arabic Transparent" w:cs="Arabic Transparent"/>
          <w:b/>
          <w:bCs/>
          <w:sz w:val="26"/>
          <w:szCs w:val="26"/>
          <w:rtl/>
        </w:rPr>
        <w:t>مجلة البيان مقال بعنوان : ضوابط في مجال الفتوى</w:t>
      </w:r>
      <w:r w:rsidRPr="00706B94">
        <w:rPr>
          <w:rFonts w:ascii="Arabic Transparent" w:eastAsia="Calibri" w:hAnsi="Arabic Transparent" w:cs="Arabic Transparent"/>
          <w:sz w:val="26"/>
          <w:szCs w:val="26"/>
          <w:rtl/>
        </w:rPr>
        <w:t>، ع 223، المنتدى الإسلامي – المملكة العربية السعودية.</w:t>
      </w:r>
    </w:p>
    <w:p w14:paraId="0D23C327"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زاهد، ذبيح الله، ونوري، سمي الله، وعثماني، رحمة الله (2023). </w:t>
      </w:r>
      <w:r w:rsidRPr="00706B94">
        <w:rPr>
          <w:rFonts w:ascii="Arabic Transparent" w:eastAsia="Calibri" w:hAnsi="Arabic Transparent" w:cs="Arabic Transparent"/>
          <w:b/>
          <w:bCs/>
          <w:sz w:val="26"/>
          <w:szCs w:val="26"/>
          <w:rtl/>
        </w:rPr>
        <w:t>آراء المذاهب الفقهية وأدلتهم في حكم التورق</w:t>
      </w:r>
      <w:r w:rsidRPr="00706B94">
        <w:rPr>
          <w:rFonts w:ascii="Arabic Transparent" w:eastAsia="Calibri" w:hAnsi="Arabic Transparent" w:cs="Arabic Transparent"/>
          <w:sz w:val="26"/>
          <w:szCs w:val="26"/>
          <w:rtl/>
        </w:rPr>
        <w:t>، مجلة جامعة الزيتونة الدولية للنشر العلمي الدولي، العدد 17، ص150–188، سوريا، حلب</w:t>
      </w:r>
    </w:p>
    <w:p w14:paraId="3002614C"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الزبيدي، بلقاسم بن ذاكر، (2014)، ا</w:t>
      </w:r>
      <w:r w:rsidRPr="00706B94">
        <w:rPr>
          <w:rFonts w:ascii="Arabic Transparent" w:eastAsia="Calibri" w:hAnsi="Arabic Transparent" w:cs="Arabic Transparent"/>
          <w:b/>
          <w:bCs/>
          <w:sz w:val="26"/>
          <w:szCs w:val="26"/>
          <w:rtl/>
        </w:rPr>
        <w:t>لاجتهاد في مناط الحكم الشرعي دراسة تأصيلية تطبيقية</w:t>
      </w:r>
      <w:r w:rsidRPr="00706B94">
        <w:rPr>
          <w:rFonts w:ascii="Arabic Transparent" w:eastAsia="Calibri" w:hAnsi="Arabic Transparent" w:cs="Arabic Transparent"/>
          <w:sz w:val="26"/>
          <w:szCs w:val="26"/>
          <w:rtl/>
        </w:rPr>
        <w:t xml:space="preserve"> ط1، مركز تكوين للدراسات والأبحاث - السعودية.</w:t>
      </w:r>
    </w:p>
    <w:p w14:paraId="665B67F0"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الزبيدي، محمد مرتضى الحسيني، (1965-2001)، </w:t>
      </w:r>
      <w:r w:rsidRPr="00706B94">
        <w:rPr>
          <w:rFonts w:ascii="Arabic Transparent" w:eastAsia="Calibri" w:hAnsi="Arabic Transparent" w:cs="Arabic Transparent"/>
          <w:b/>
          <w:bCs/>
          <w:sz w:val="26"/>
          <w:szCs w:val="26"/>
          <w:rtl/>
        </w:rPr>
        <w:t>تاج العروس من جواهر القاموس</w:t>
      </w:r>
      <w:r w:rsidRPr="00706B94">
        <w:rPr>
          <w:rFonts w:ascii="Arabic Transparent" w:eastAsia="Calibri" w:hAnsi="Arabic Transparent" w:cs="Arabic Transparent"/>
          <w:sz w:val="26"/>
          <w:szCs w:val="26"/>
          <w:rtl/>
        </w:rPr>
        <w:t xml:space="preserve">(تحقيق جماعة من المختصين)، مج 40، وزارة الإرشاد والأنباء - الكويت </w:t>
      </w:r>
    </w:p>
    <w:p w14:paraId="5BAF5F64"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الزحيلي، محمد مصطفى، (2006)، </w:t>
      </w:r>
      <w:r w:rsidRPr="00706B94">
        <w:rPr>
          <w:rFonts w:ascii="Arabic Transparent" w:eastAsia="Calibri" w:hAnsi="Arabic Transparent" w:cs="Arabic Transparent"/>
          <w:b/>
          <w:bCs/>
          <w:sz w:val="26"/>
          <w:szCs w:val="26"/>
          <w:rtl/>
        </w:rPr>
        <w:t>الوجيز في أصول الفقه الإسلامي</w:t>
      </w:r>
      <w:r w:rsidRPr="00706B94">
        <w:rPr>
          <w:rFonts w:ascii="Arabic Transparent" w:eastAsia="Calibri" w:hAnsi="Arabic Transparent" w:cs="Arabic Transparent"/>
          <w:sz w:val="26"/>
          <w:szCs w:val="26"/>
          <w:rtl/>
        </w:rPr>
        <w:t xml:space="preserve"> (المدخل - المصادر - الحكم الشرعي)، ط2، دار الخير للطباعة والنشر والتوزيع، دمشق.</w:t>
      </w:r>
    </w:p>
    <w:p w14:paraId="71EB6D2C"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الزحيلي، وهبة (1986). </w:t>
      </w:r>
      <w:r w:rsidRPr="00706B94">
        <w:rPr>
          <w:rFonts w:ascii="Arabic Transparent" w:eastAsia="Calibri" w:hAnsi="Arabic Transparent" w:cs="Arabic Transparent"/>
          <w:b/>
          <w:bCs/>
          <w:sz w:val="26"/>
          <w:szCs w:val="26"/>
          <w:rtl/>
        </w:rPr>
        <w:t>أصول الفقه الإسلامي</w:t>
      </w:r>
      <w:r w:rsidRPr="00706B94">
        <w:rPr>
          <w:rFonts w:ascii="Arabic Transparent" w:eastAsia="Calibri" w:hAnsi="Arabic Transparent" w:cs="Arabic Transparent"/>
          <w:sz w:val="26"/>
          <w:szCs w:val="26"/>
          <w:rtl/>
        </w:rPr>
        <w:t>، ط1، دار الفكر، دمشق.</w:t>
      </w:r>
    </w:p>
    <w:p w14:paraId="6FC815C3"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الزحيلي، وهبة (1991). </w:t>
      </w:r>
      <w:r w:rsidRPr="00706B94">
        <w:rPr>
          <w:rFonts w:ascii="Arabic Transparent" w:eastAsia="Calibri" w:hAnsi="Arabic Transparent" w:cs="Arabic Transparent"/>
          <w:b/>
          <w:bCs/>
          <w:sz w:val="26"/>
          <w:szCs w:val="26"/>
          <w:rtl/>
        </w:rPr>
        <w:t>التفسير المنير في العقيدة والشريعة والمنهج</w:t>
      </w:r>
      <w:r w:rsidRPr="00706B94">
        <w:rPr>
          <w:rFonts w:ascii="Arabic Transparent" w:eastAsia="Calibri" w:hAnsi="Arabic Transparent" w:cs="Arabic Transparent"/>
          <w:sz w:val="26"/>
          <w:szCs w:val="26"/>
          <w:rtl/>
        </w:rPr>
        <w:t>. ط1. دار الفكر، دمشق؛ دار الفكر المعاصر، بيروت.</w:t>
      </w:r>
    </w:p>
    <w:p w14:paraId="69F7BF84"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الزحيلي، وهبة (2006)، </w:t>
      </w:r>
      <w:r w:rsidRPr="00706B94">
        <w:rPr>
          <w:rFonts w:ascii="Arabic Transparent" w:eastAsia="Calibri" w:hAnsi="Arabic Transparent" w:cs="Arabic Transparent"/>
          <w:b/>
          <w:bCs/>
          <w:sz w:val="26"/>
          <w:szCs w:val="26"/>
          <w:rtl/>
        </w:rPr>
        <w:t>الفقه الإسلامي وأدلته</w:t>
      </w:r>
      <w:r w:rsidRPr="00706B94">
        <w:rPr>
          <w:rFonts w:ascii="Arabic Transparent" w:eastAsia="Calibri" w:hAnsi="Arabic Transparent" w:cs="Arabic Transparent"/>
          <w:sz w:val="26"/>
          <w:szCs w:val="26"/>
          <w:rtl/>
        </w:rPr>
        <w:t>، ط4، دار الفكر، دمشق – سوريا.</w:t>
      </w:r>
    </w:p>
    <w:p w14:paraId="607B1786"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الزحيلي، وهبة (2002م). </w:t>
      </w:r>
      <w:r w:rsidRPr="00706B94">
        <w:rPr>
          <w:rFonts w:ascii="Arabic Transparent" w:eastAsia="Calibri" w:hAnsi="Arabic Transparent" w:cs="Arabic Transparent"/>
          <w:b/>
          <w:bCs/>
          <w:sz w:val="26"/>
          <w:szCs w:val="26"/>
          <w:rtl/>
        </w:rPr>
        <w:t>المعاملات المالية المعاصرة: بحوث وفتاوى وحلول</w:t>
      </w:r>
      <w:r w:rsidRPr="00706B94">
        <w:rPr>
          <w:rFonts w:ascii="Arabic Transparent" w:eastAsia="Calibri" w:hAnsi="Arabic Transparent" w:cs="Arabic Transparent"/>
          <w:sz w:val="26"/>
          <w:szCs w:val="26"/>
          <w:rtl/>
        </w:rPr>
        <w:t>، ط1، دار الفكر المعاصر، بيروت.</w:t>
      </w:r>
    </w:p>
    <w:p w14:paraId="6D425116"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الزحيلي، وهبة مصطفى (1985)، </w:t>
      </w:r>
      <w:r w:rsidRPr="00706B94">
        <w:rPr>
          <w:rFonts w:ascii="Arabic Transparent" w:eastAsia="Calibri" w:hAnsi="Arabic Transparent" w:cs="Arabic Transparent"/>
          <w:b/>
          <w:bCs/>
          <w:sz w:val="26"/>
          <w:szCs w:val="26"/>
          <w:rtl/>
        </w:rPr>
        <w:t>النية والباعث في فقه العبادات والعقود والفسوخ والتروك</w:t>
      </w:r>
      <w:r w:rsidRPr="00706B94">
        <w:rPr>
          <w:rFonts w:ascii="Arabic Transparent" w:eastAsia="Calibri" w:hAnsi="Arabic Transparent" w:cs="Arabic Transparent"/>
          <w:sz w:val="26"/>
          <w:szCs w:val="26"/>
          <w:rtl/>
        </w:rPr>
        <w:t>، مجلة الشريعة والدراسات الإسلامية، جامعة الكويت – مجلس النشر العلمي، م2، ع3، ص69–109</w:t>
      </w:r>
    </w:p>
    <w:p w14:paraId="242D97EE"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الزرقا، محمد أنس، والقري، محمد علي (1991م). </w:t>
      </w:r>
      <w:r w:rsidRPr="00706B94">
        <w:rPr>
          <w:rFonts w:ascii="Arabic Transparent" w:eastAsia="Calibri" w:hAnsi="Arabic Transparent" w:cs="Arabic Transparent"/>
          <w:b/>
          <w:bCs/>
          <w:sz w:val="26"/>
          <w:szCs w:val="26"/>
          <w:rtl/>
        </w:rPr>
        <w:t>التعويض عن ضرر المماطلة في الدين بين الفقه والاقتصاد</w:t>
      </w:r>
      <w:r w:rsidRPr="00706B94">
        <w:rPr>
          <w:rFonts w:ascii="Arabic Transparent" w:eastAsia="Calibri" w:hAnsi="Arabic Transparent" w:cs="Arabic Transparent"/>
          <w:sz w:val="26"/>
          <w:szCs w:val="26"/>
          <w:rtl/>
        </w:rPr>
        <w:t>، م3، مجلة جامعة الملك عبدالعزيز: الاقتصاد الإسلامي، السعودية.</w:t>
      </w:r>
    </w:p>
    <w:p w14:paraId="042A3E56"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الزرقا، مصطفى وآخرون (1985). </w:t>
      </w:r>
      <w:r w:rsidRPr="00706B94">
        <w:rPr>
          <w:rFonts w:ascii="Arabic Transparent" w:eastAsia="Calibri" w:hAnsi="Arabic Transparent" w:cs="Arabic Transparent"/>
          <w:b/>
          <w:bCs/>
          <w:sz w:val="26"/>
          <w:szCs w:val="26"/>
          <w:rtl/>
        </w:rPr>
        <w:t>الفتوى حول المدين المماطل</w:t>
      </w:r>
      <w:r w:rsidRPr="00706B94">
        <w:rPr>
          <w:rFonts w:ascii="Arabic Transparent" w:eastAsia="Calibri" w:hAnsi="Arabic Transparent" w:cs="Arabic Transparent"/>
          <w:sz w:val="26"/>
          <w:szCs w:val="26"/>
          <w:rtl/>
        </w:rPr>
        <w:t>، ندوة البركة الثالثة للاقتصاد الإسلامي، فتوى رقم (2/3)، مجموعة البركة المصرفية، استانبول.</w:t>
      </w:r>
    </w:p>
    <w:p w14:paraId="63A6178C"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الزرقاني، محمد بن عبد الباقي بن يوسف (2003م). </w:t>
      </w:r>
      <w:r w:rsidRPr="00706B94">
        <w:rPr>
          <w:rFonts w:ascii="Arabic Transparent" w:eastAsia="Calibri" w:hAnsi="Arabic Transparent" w:cs="Arabic Transparent"/>
          <w:b/>
          <w:bCs/>
          <w:sz w:val="26"/>
          <w:szCs w:val="26"/>
          <w:rtl/>
        </w:rPr>
        <w:t>شرح الزرقاني على موطأ الإمام مالك</w:t>
      </w:r>
      <w:r w:rsidRPr="00706B94">
        <w:rPr>
          <w:rFonts w:ascii="Arabic Transparent" w:eastAsia="Calibri" w:hAnsi="Arabic Transparent" w:cs="Arabic Transparent"/>
          <w:sz w:val="26"/>
          <w:szCs w:val="26"/>
          <w:rtl/>
        </w:rPr>
        <w:t xml:space="preserve"> (تحقيق: طه عبد الرءوف سعد). ط1، مكتبة الثقافة الدينية، القاهرة.</w:t>
      </w:r>
    </w:p>
    <w:p w14:paraId="75E23970"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lastRenderedPageBreak/>
        <w:t xml:space="preserve">الزركشي، بدر الدين محمد بن عبد الله بن بهادر (1985). </w:t>
      </w:r>
      <w:r w:rsidRPr="00706B94">
        <w:rPr>
          <w:rFonts w:ascii="Arabic Transparent" w:eastAsia="Calibri" w:hAnsi="Arabic Transparent" w:cs="Arabic Transparent"/>
          <w:b/>
          <w:bCs/>
          <w:sz w:val="26"/>
          <w:szCs w:val="26"/>
          <w:rtl/>
        </w:rPr>
        <w:t xml:space="preserve">المنثور في القواعد الفقهية </w:t>
      </w:r>
      <w:r w:rsidRPr="00706B94">
        <w:rPr>
          <w:rFonts w:ascii="Arabic Transparent" w:eastAsia="Calibri" w:hAnsi="Arabic Transparent" w:cs="Arabic Transparent"/>
          <w:sz w:val="26"/>
          <w:szCs w:val="26"/>
          <w:rtl/>
        </w:rPr>
        <w:t>(تحقيق: تيسير فائق أحمد محمود، مراجعة: عبد الستار أبو غدة)، ط2، وزارة الأوقاف والشؤون الإسلامية، الكويت.</w:t>
      </w:r>
    </w:p>
    <w:p w14:paraId="02C266E4"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الزركشي، بدر الدين محمد بن عبد الله، (1994)، </w:t>
      </w:r>
      <w:r w:rsidRPr="00706B94">
        <w:rPr>
          <w:rFonts w:ascii="Arabic Transparent" w:eastAsia="Calibri" w:hAnsi="Arabic Transparent" w:cs="Arabic Transparent"/>
          <w:b/>
          <w:bCs/>
          <w:sz w:val="26"/>
          <w:szCs w:val="26"/>
          <w:rtl/>
        </w:rPr>
        <w:t>البحر المحيط في أصول الفقه</w:t>
      </w:r>
      <w:r w:rsidRPr="00706B94">
        <w:rPr>
          <w:rFonts w:ascii="Arabic Transparent" w:eastAsia="Calibri" w:hAnsi="Arabic Transparent" w:cs="Arabic Transparent"/>
          <w:sz w:val="26"/>
          <w:szCs w:val="26"/>
          <w:rtl/>
        </w:rPr>
        <w:t>، ط1، دار الكتبي، القاهرة.</w:t>
      </w:r>
    </w:p>
    <w:p w14:paraId="76F1ED33"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الزركشي، محمد بن عبد الله، (1998)، </w:t>
      </w:r>
      <w:r w:rsidRPr="00706B94">
        <w:rPr>
          <w:rFonts w:ascii="Arabic Transparent" w:eastAsia="Calibri" w:hAnsi="Arabic Transparent" w:cs="Arabic Transparent"/>
          <w:b/>
          <w:bCs/>
          <w:sz w:val="26"/>
          <w:szCs w:val="26"/>
          <w:rtl/>
        </w:rPr>
        <w:t>تشنيف المسامع بجمع الجوامع</w:t>
      </w:r>
      <w:r w:rsidRPr="00706B94">
        <w:rPr>
          <w:rFonts w:ascii="Arabic Transparent" w:eastAsia="Calibri" w:hAnsi="Arabic Transparent" w:cs="Arabic Transparent"/>
          <w:sz w:val="26"/>
          <w:szCs w:val="26"/>
          <w:rtl/>
        </w:rPr>
        <w:t xml:space="preserve"> (تحقيق سيد عبد العزيز وعبد الله ربيع) ط1، مكتبة قرطبة للبحث العلمي وإحياء التراث - توزيع المكتبة المكية.</w:t>
      </w:r>
    </w:p>
    <w:p w14:paraId="3A25BC75"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الزركلي، خير الدين بن محمود، (2002)، </w:t>
      </w:r>
      <w:r w:rsidRPr="00706B94">
        <w:rPr>
          <w:rFonts w:ascii="Arabic Transparent" w:eastAsia="Calibri" w:hAnsi="Arabic Transparent" w:cs="Arabic Transparent"/>
          <w:b/>
          <w:bCs/>
          <w:sz w:val="26"/>
          <w:szCs w:val="26"/>
          <w:rtl/>
        </w:rPr>
        <w:t>الأعلام</w:t>
      </w:r>
      <w:r w:rsidRPr="00706B94">
        <w:rPr>
          <w:rFonts w:ascii="Arabic Transparent" w:eastAsia="Calibri" w:hAnsi="Arabic Transparent" w:cs="Arabic Transparent"/>
          <w:sz w:val="26"/>
          <w:szCs w:val="26"/>
          <w:rtl/>
        </w:rPr>
        <w:t>، ط15، ج6، ص96، دار العلم للملايين – بيروت، لبنان.</w:t>
      </w:r>
    </w:p>
    <w:p w14:paraId="54BBB9E2"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أبو زهرة، محمد (1997). </w:t>
      </w:r>
      <w:r w:rsidRPr="00706B94">
        <w:rPr>
          <w:rFonts w:ascii="Arabic Transparent" w:eastAsia="Calibri" w:hAnsi="Arabic Transparent" w:cs="Arabic Transparent"/>
          <w:b/>
          <w:bCs/>
          <w:sz w:val="26"/>
          <w:szCs w:val="26"/>
          <w:rtl/>
        </w:rPr>
        <w:t>أصول الفقه</w:t>
      </w:r>
      <w:r w:rsidRPr="00706B94">
        <w:rPr>
          <w:rFonts w:ascii="Arabic Transparent" w:eastAsia="Calibri" w:hAnsi="Arabic Transparent" w:cs="Arabic Transparent"/>
          <w:sz w:val="26"/>
          <w:szCs w:val="26"/>
          <w:rtl/>
        </w:rPr>
        <w:t>، ط1، دار الفكر العربي، القاهرة.</w:t>
      </w:r>
    </w:p>
    <w:p w14:paraId="40D6E3BA"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tl/>
        </w:rPr>
      </w:pPr>
      <w:r w:rsidRPr="00706B94">
        <w:rPr>
          <w:rFonts w:ascii="Arabic Transparent" w:eastAsia="Calibri" w:hAnsi="Arabic Transparent" w:cs="Arabic Transparent"/>
          <w:sz w:val="26"/>
          <w:szCs w:val="26"/>
          <w:rtl/>
        </w:rPr>
        <w:t xml:space="preserve">أبو زهرة، محمد (1999). </w:t>
      </w:r>
      <w:r w:rsidRPr="00706B94">
        <w:rPr>
          <w:rFonts w:ascii="Arabic Transparent" w:eastAsia="Calibri" w:hAnsi="Arabic Transparent" w:cs="Arabic Transparent"/>
          <w:b/>
          <w:bCs/>
          <w:sz w:val="26"/>
          <w:szCs w:val="26"/>
          <w:rtl/>
        </w:rPr>
        <w:t>بحوث في الربا</w:t>
      </w:r>
      <w:r w:rsidRPr="00706B94">
        <w:rPr>
          <w:rFonts w:ascii="Arabic Transparent" w:eastAsia="Calibri" w:hAnsi="Arabic Transparent" w:cs="Arabic Transparent"/>
          <w:sz w:val="26"/>
          <w:szCs w:val="26"/>
          <w:rtl/>
        </w:rPr>
        <w:t>، دار الفكر العربي، مصر.</w:t>
      </w:r>
    </w:p>
    <w:p w14:paraId="0EEB1B22"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الزمخشري، محمود بن عمر، (1998)، </w:t>
      </w:r>
      <w:r w:rsidRPr="00706B94">
        <w:rPr>
          <w:rFonts w:ascii="Arabic Transparent" w:eastAsia="Calibri" w:hAnsi="Arabic Transparent" w:cs="Arabic Transparent"/>
          <w:b/>
          <w:bCs/>
          <w:sz w:val="26"/>
          <w:szCs w:val="26"/>
          <w:rtl/>
        </w:rPr>
        <w:t>أساس البلاغة</w:t>
      </w:r>
      <w:r w:rsidRPr="00706B94">
        <w:rPr>
          <w:rFonts w:ascii="Arabic Transparent" w:eastAsia="Calibri" w:hAnsi="Arabic Transparent" w:cs="Arabic Transparent"/>
          <w:sz w:val="26"/>
          <w:szCs w:val="26"/>
          <w:rtl/>
        </w:rPr>
        <w:t>، (تحقيق: محمد باسل عيون السود)، ط1، دار الكتب العلمية - بيروت، لبنان.</w:t>
      </w:r>
    </w:p>
    <w:p w14:paraId="04749B5F" w14:textId="6A94FD61" w:rsidR="00706B94" w:rsidRPr="00E036A2" w:rsidRDefault="00706B94" w:rsidP="001F4DBC">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E036A2">
        <w:rPr>
          <w:rFonts w:ascii="Arabic Transparent" w:eastAsia="Calibri" w:hAnsi="Arabic Transparent" w:cs="Arabic Transparent"/>
          <w:sz w:val="26"/>
          <w:szCs w:val="26"/>
          <w:rtl/>
        </w:rPr>
        <w:t xml:space="preserve">الزيادات، عماد عبد الحفيظ؛ السكر، محمد عواد عايد (2018). </w:t>
      </w:r>
      <w:r w:rsidRPr="00E036A2">
        <w:rPr>
          <w:rFonts w:ascii="Arabic Transparent" w:eastAsia="Calibri" w:hAnsi="Arabic Transparent" w:cs="Arabic Transparent"/>
          <w:b/>
          <w:bCs/>
          <w:sz w:val="26"/>
          <w:szCs w:val="26"/>
          <w:rtl/>
        </w:rPr>
        <w:t>جهالة المبيع في الفقه الإسلامي والقانون المدني الأردني والتطبيقات المعاصرة والقانونية لرفعها</w:t>
      </w:r>
      <w:r w:rsidRPr="00E036A2">
        <w:rPr>
          <w:rFonts w:ascii="Arabic Transparent" w:eastAsia="Calibri" w:hAnsi="Arabic Transparent" w:cs="Arabic Transparent"/>
          <w:sz w:val="26"/>
          <w:szCs w:val="26"/>
          <w:rtl/>
        </w:rPr>
        <w:t xml:space="preserve">، دائرة الإفتاء العام (الأردن)، (أضيف بتاريخ: 05-07-2018)، </w:t>
      </w:r>
      <w:r w:rsidRPr="00E036A2">
        <w:rPr>
          <w:rFonts w:ascii="Arabic Transparent" w:eastAsia="Calibri" w:hAnsi="Arabic Transparent" w:cs="Arabic Transparent"/>
          <w:sz w:val="26"/>
          <w:szCs w:val="26"/>
        </w:rPr>
        <w:t>https://www.aliftaa.jo/Research/211</w:t>
      </w:r>
    </w:p>
    <w:p w14:paraId="08793C25"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زيدان، عبد الكريم بن علي، (1999)، </w:t>
      </w:r>
      <w:r w:rsidRPr="00706B94">
        <w:rPr>
          <w:rFonts w:ascii="Arabic Transparent" w:eastAsia="Calibri" w:hAnsi="Arabic Transparent" w:cs="Arabic Transparent"/>
          <w:b/>
          <w:bCs/>
          <w:sz w:val="26"/>
          <w:szCs w:val="26"/>
          <w:rtl/>
        </w:rPr>
        <w:t>الوجيز في أصول الفقه</w:t>
      </w:r>
      <w:r w:rsidRPr="00706B94">
        <w:rPr>
          <w:rFonts w:ascii="Arabic Transparent" w:eastAsia="Calibri" w:hAnsi="Arabic Transparent" w:cs="Arabic Transparent"/>
          <w:sz w:val="26"/>
          <w:szCs w:val="26"/>
          <w:rtl/>
        </w:rPr>
        <w:t>، ط1، مؤسسة الرسالة، بيروت</w:t>
      </w:r>
    </w:p>
    <w:p w14:paraId="2E05067F"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زيدان، عبد الكريم (2006). </w:t>
      </w:r>
      <w:r w:rsidRPr="00706B94">
        <w:rPr>
          <w:rFonts w:ascii="Arabic Transparent" w:eastAsia="Calibri" w:hAnsi="Arabic Transparent" w:cs="Arabic Transparent"/>
          <w:b/>
          <w:bCs/>
          <w:sz w:val="26"/>
          <w:szCs w:val="26"/>
          <w:rtl/>
        </w:rPr>
        <w:t>الوجيز في شرح القواعد الفقهية</w:t>
      </w:r>
      <w:r w:rsidRPr="00706B94">
        <w:rPr>
          <w:rFonts w:ascii="Arabic Transparent" w:eastAsia="Calibri" w:hAnsi="Arabic Transparent" w:cs="Arabic Transparent"/>
          <w:sz w:val="26"/>
          <w:szCs w:val="26"/>
          <w:rtl/>
        </w:rPr>
        <w:t>، ط1، مؤسسة الرسالة ناشرون، دمشق.</w:t>
      </w:r>
    </w:p>
    <w:p w14:paraId="11D712AD"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زيدان، عبدالكريم،(د.ت) </w:t>
      </w:r>
      <w:r w:rsidRPr="00706B94">
        <w:rPr>
          <w:rFonts w:ascii="Arabic Transparent" w:eastAsia="Calibri" w:hAnsi="Arabic Transparent" w:cs="Arabic Transparent"/>
          <w:b/>
          <w:bCs/>
          <w:sz w:val="26"/>
          <w:szCs w:val="26"/>
          <w:rtl/>
        </w:rPr>
        <w:t>نظام القضاء في الشريعة الإسلامية</w:t>
      </w:r>
      <w:r w:rsidRPr="00706B94">
        <w:rPr>
          <w:rFonts w:ascii="Arabic Transparent" w:eastAsia="Calibri" w:hAnsi="Arabic Transparent" w:cs="Arabic Transparent"/>
          <w:sz w:val="26"/>
          <w:szCs w:val="26"/>
          <w:rtl/>
        </w:rPr>
        <w:t>، ط3، مؤسسة الرسالة ناشرون- دمشق.</w:t>
      </w:r>
    </w:p>
    <w:p w14:paraId="02F436D7"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الزيلعي، عبد الله بن يوسف بن محمد، جمال الدين، (1997)، </w:t>
      </w:r>
      <w:r w:rsidRPr="00706B94">
        <w:rPr>
          <w:rFonts w:ascii="Arabic Transparent" w:eastAsia="Calibri" w:hAnsi="Arabic Transparent" w:cs="Arabic Transparent"/>
          <w:b/>
          <w:bCs/>
          <w:sz w:val="26"/>
          <w:szCs w:val="26"/>
          <w:rtl/>
        </w:rPr>
        <w:t>نصب الراية لأحاديث الهداية مع حاشيته بغية الألمعي في تخريج الزيلعي</w:t>
      </w:r>
      <w:r w:rsidRPr="00706B94">
        <w:rPr>
          <w:rFonts w:ascii="Arabic Transparent" w:eastAsia="Calibri" w:hAnsi="Arabic Transparent" w:cs="Arabic Transparent"/>
          <w:sz w:val="26"/>
          <w:szCs w:val="26"/>
          <w:rtl/>
        </w:rPr>
        <w:t>، ط1، مؤسسة الريان للطباعة والنشر – بيروت، دار القبلة للثقافة الإسلامية – جدة.</w:t>
      </w:r>
    </w:p>
    <w:p w14:paraId="6DE88E39"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tl/>
        </w:rPr>
      </w:pPr>
      <w:r w:rsidRPr="00706B94">
        <w:rPr>
          <w:rFonts w:ascii="Arabic Transparent" w:eastAsia="Calibri" w:hAnsi="Arabic Transparent" w:cs="Arabic Transparent"/>
          <w:sz w:val="26"/>
          <w:szCs w:val="26"/>
          <w:rtl/>
        </w:rPr>
        <w:t xml:space="preserve">الزيلعي، عثمان بن علي (1895). </w:t>
      </w:r>
      <w:r w:rsidRPr="00706B94">
        <w:rPr>
          <w:rFonts w:ascii="Arabic Transparent" w:eastAsia="Calibri" w:hAnsi="Arabic Transparent" w:cs="Arabic Transparent"/>
          <w:b/>
          <w:bCs/>
          <w:sz w:val="26"/>
          <w:szCs w:val="26"/>
          <w:rtl/>
        </w:rPr>
        <w:t>تبيين الحقائق شرح كنز الدقائق وحاشية الشِّلْبِيِّ</w:t>
      </w:r>
      <w:r w:rsidRPr="00706B94">
        <w:rPr>
          <w:rFonts w:ascii="Arabic Transparent" w:eastAsia="Calibri" w:hAnsi="Arabic Transparent" w:cs="Arabic Transparent"/>
          <w:sz w:val="26"/>
          <w:szCs w:val="26"/>
          <w:rtl/>
        </w:rPr>
        <w:t>. ط1، المطبعة الكبرى الأميرية (بولاق)، القاهرة.</w:t>
      </w:r>
    </w:p>
    <w:p w14:paraId="0DA522CA"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سالم، عطية بن محمد (1980م). </w:t>
      </w:r>
      <w:r w:rsidRPr="00706B94">
        <w:rPr>
          <w:rFonts w:ascii="Arabic Transparent" w:eastAsia="Calibri" w:hAnsi="Arabic Transparent" w:cs="Arabic Transparent"/>
          <w:b/>
          <w:bCs/>
          <w:sz w:val="26"/>
          <w:szCs w:val="26"/>
          <w:rtl/>
          <w:lang w:bidi="ar-JO"/>
        </w:rPr>
        <w:t>الرشوة</w:t>
      </w:r>
      <w:r w:rsidRPr="00706B94">
        <w:rPr>
          <w:rFonts w:ascii="Arabic Transparent" w:eastAsia="Calibri" w:hAnsi="Arabic Transparent" w:cs="Arabic Transparent"/>
          <w:sz w:val="26"/>
          <w:szCs w:val="26"/>
          <w:rtl/>
          <w:lang w:bidi="ar-JO"/>
        </w:rPr>
        <w:t>، الجامعة الإسلامية بالمدينة المنورة، السنة الثانية عشرة، العددان 47، 48.</w:t>
      </w:r>
    </w:p>
    <w:p w14:paraId="1334502A"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السبكي، علي بن عبد الكافي، وابنه تاج الدين عبد الوهاب، (1984)، </w:t>
      </w:r>
      <w:r w:rsidRPr="00706B94">
        <w:rPr>
          <w:rFonts w:ascii="Arabic Transparent" w:eastAsia="Calibri" w:hAnsi="Arabic Transparent" w:cs="Arabic Transparent"/>
          <w:b/>
          <w:bCs/>
          <w:sz w:val="26"/>
          <w:szCs w:val="26"/>
          <w:rtl/>
          <w:lang w:bidi="ar-JO"/>
        </w:rPr>
        <w:t>الإبهاج في شرح المنهاج (على منهاج الوصول إلى علم الأصول للبيضاوي)</w:t>
      </w:r>
      <w:r w:rsidRPr="00706B94">
        <w:rPr>
          <w:rFonts w:ascii="Arabic Transparent" w:eastAsia="Calibri" w:hAnsi="Arabic Transparent" w:cs="Arabic Transparent"/>
          <w:sz w:val="26"/>
          <w:szCs w:val="26"/>
          <w:rtl/>
          <w:lang w:bidi="ar-JO"/>
        </w:rPr>
        <w:t>، ط1، دار الكتب العلمية، بيروت – لبنان.</w:t>
      </w:r>
    </w:p>
    <w:p w14:paraId="58F41840"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السبكي، عبد الوهاب بن علي بن عبد الكافي، تاج الدين أبو نصر، (1999)، </w:t>
      </w:r>
      <w:r w:rsidRPr="00706B94">
        <w:rPr>
          <w:rFonts w:ascii="Arabic Transparent" w:eastAsia="Calibri" w:hAnsi="Arabic Transparent" w:cs="Arabic Transparent"/>
          <w:b/>
          <w:bCs/>
          <w:sz w:val="26"/>
          <w:szCs w:val="26"/>
          <w:rtl/>
          <w:lang w:bidi="ar-JO"/>
        </w:rPr>
        <w:t>رفع الحاجب عن مختصر ابن الحاجب</w:t>
      </w:r>
      <w:r w:rsidRPr="00706B94">
        <w:rPr>
          <w:rFonts w:ascii="Arabic Transparent" w:eastAsia="Calibri" w:hAnsi="Arabic Transparent" w:cs="Arabic Transparent"/>
          <w:sz w:val="26"/>
          <w:szCs w:val="26"/>
          <w:rtl/>
          <w:lang w:bidi="ar-JO"/>
        </w:rPr>
        <w:t xml:space="preserve"> (تحقيق علي محمد معوض، وعادل أحمد عبد الموجود)، ط1، عالم الكتب، بيروت – لبنان.</w:t>
      </w:r>
    </w:p>
    <w:p w14:paraId="2753238C"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السرخسي، محمد بن أحمد بن أبي سهل، شمس الأئمة (1906)، </w:t>
      </w:r>
      <w:r w:rsidRPr="00706B94">
        <w:rPr>
          <w:rFonts w:ascii="Arabic Transparent" w:eastAsia="Calibri" w:hAnsi="Arabic Transparent" w:cs="Arabic Transparent"/>
          <w:b/>
          <w:bCs/>
          <w:sz w:val="26"/>
          <w:szCs w:val="26"/>
          <w:rtl/>
          <w:lang w:bidi="ar-JO"/>
        </w:rPr>
        <w:t>المبسوط</w:t>
      </w:r>
      <w:r w:rsidRPr="00706B94">
        <w:rPr>
          <w:rFonts w:ascii="Arabic Transparent" w:eastAsia="Calibri" w:hAnsi="Arabic Transparent" w:cs="Arabic Transparent"/>
          <w:sz w:val="26"/>
          <w:szCs w:val="26"/>
          <w:rtl/>
          <w:lang w:bidi="ar-JO"/>
        </w:rPr>
        <w:t>، ط1،  مطبعة السعادة، القاهرة</w:t>
      </w:r>
    </w:p>
    <w:p w14:paraId="3B877299"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lastRenderedPageBreak/>
        <w:t xml:space="preserve">السرخسي، محمد بن أحمد بن أبي سهل، شمس الأئمة (1973)، </w:t>
      </w:r>
      <w:r w:rsidRPr="00706B94">
        <w:rPr>
          <w:rFonts w:ascii="Arabic Transparent" w:eastAsia="Calibri" w:hAnsi="Arabic Transparent" w:cs="Arabic Transparent"/>
          <w:b/>
          <w:bCs/>
          <w:sz w:val="26"/>
          <w:szCs w:val="26"/>
          <w:rtl/>
          <w:lang w:bidi="ar-JO"/>
        </w:rPr>
        <w:t>أصول السرخسي (تمهيد الفصول في الأصول)</w:t>
      </w:r>
      <w:r w:rsidRPr="00706B94">
        <w:rPr>
          <w:rFonts w:ascii="Arabic Transparent" w:eastAsia="Calibri" w:hAnsi="Arabic Transparent" w:cs="Arabic Transparent"/>
          <w:sz w:val="26"/>
          <w:szCs w:val="26"/>
          <w:rtl/>
          <w:lang w:bidi="ar-JO"/>
        </w:rPr>
        <w:t>، تحقيق: أبو الوفا الأفغاني، لجنة إحياء المعارف النعمانية، (غ.ط) حيدر آباد – الهند.</w:t>
      </w:r>
    </w:p>
    <w:p w14:paraId="56442F06"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السرطاوي، محمود علي. (2015). </w:t>
      </w:r>
      <w:r w:rsidRPr="00706B94">
        <w:rPr>
          <w:rFonts w:ascii="Arabic Transparent" w:eastAsia="Calibri" w:hAnsi="Arabic Transparent" w:cs="Arabic Transparent"/>
          <w:b/>
          <w:bCs/>
          <w:sz w:val="26"/>
          <w:szCs w:val="26"/>
          <w:rtl/>
          <w:lang w:bidi="ar-JO"/>
        </w:rPr>
        <w:t>الضوابط المعيارية لصيغ الاستثمار في المؤسسات المالية الإسلامية</w:t>
      </w:r>
      <w:r w:rsidRPr="00706B94">
        <w:rPr>
          <w:rFonts w:ascii="Arabic Transparent" w:eastAsia="Calibri" w:hAnsi="Arabic Transparent" w:cs="Arabic Transparent"/>
          <w:sz w:val="26"/>
          <w:szCs w:val="26"/>
          <w:rtl/>
          <w:lang w:bidi="ar-JO"/>
        </w:rPr>
        <w:t>، دار الفكر، عمان.</w:t>
      </w:r>
    </w:p>
    <w:p w14:paraId="10CCD20C"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السعدي، عبدالرحمن بن ناصر (2003)، </w:t>
      </w:r>
      <w:r w:rsidRPr="00706B94">
        <w:rPr>
          <w:rFonts w:ascii="Arabic Transparent" w:eastAsia="Calibri" w:hAnsi="Arabic Transparent" w:cs="Arabic Transparent"/>
          <w:b/>
          <w:bCs/>
          <w:sz w:val="26"/>
          <w:szCs w:val="26"/>
          <w:rtl/>
          <w:lang w:bidi="ar-JO"/>
        </w:rPr>
        <w:t>مجموع الفوائد واقتناص الأوابد</w:t>
      </w:r>
      <w:r w:rsidRPr="00706B94">
        <w:rPr>
          <w:rFonts w:ascii="Arabic Transparent" w:eastAsia="Calibri" w:hAnsi="Arabic Transparent" w:cs="Arabic Transparent"/>
          <w:sz w:val="26"/>
          <w:szCs w:val="26"/>
          <w:rtl/>
          <w:lang w:bidi="ar-JO"/>
        </w:rPr>
        <w:t>، ط1، دار ابن الجوزي – السعودية.</w:t>
      </w:r>
    </w:p>
    <w:p w14:paraId="1CA2DA2C"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السِّغْنَاقي، حسين بن علي، (2001)، </w:t>
      </w:r>
      <w:r w:rsidRPr="00706B94">
        <w:rPr>
          <w:rFonts w:ascii="Arabic Transparent" w:eastAsia="Calibri" w:hAnsi="Arabic Transparent" w:cs="Arabic Transparent"/>
          <w:b/>
          <w:bCs/>
          <w:sz w:val="26"/>
          <w:szCs w:val="26"/>
          <w:rtl/>
          <w:lang w:bidi="ar-JO"/>
        </w:rPr>
        <w:t>الكافي شرح أصول البزدوي</w:t>
      </w:r>
      <w:r w:rsidRPr="00706B94">
        <w:rPr>
          <w:rFonts w:ascii="Arabic Transparent" w:eastAsia="Calibri" w:hAnsi="Arabic Transparent" w:cs="Arabic Transparent"/>
          <w:sz w:val="26"/>
          <w:szCs w:val="26"/>
          <w:rtl/>
          <w:lang w:bidi="ar-JO"/>
        </w:rPr>
        <w:t>، (دراسة وتحقيق: فخر الدين سيد محمد قانت)، ط1، مكتبة الرشد للنشر والتوزيع - السعودية.</w:t>
      </w:r>
    </w:p>
    <w:p w14:paraId="2E988C39"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السفياني، إبراهيم بن علي (2025). </w:t>
      </w:r>
      <w:r w:rsidRPr="00706B94">
        <w:rPr>
          <w:rFonts w:ascii="Arabic Transparent" w:eastAsia="Calibri" w:hAnsi="Arabic Transparent" w:cs="Arabic Transparent"/>
          <w:b/>
          <w:bCs/>
          <w:sz w:val="26"/>
          <w:szCs w:val="26"/>
          <w:rtl/>
          <w:lang w:bidi="ar-JO"/>
        </w:rPr>
        <w:t>أكل أموال الناس بالباطل - دراسة فقهية تطبيقية معاصرة</w:t>
      </w:r>
      <w:r w:rsidRPr="00706B94">
        <w:rPr>
          <w:rFonts w:ascii="Arabic Transparent" w:eastAsia="Calibri" w:hAnsi="Arabic Transparent" w:cs="Arabic Transparent"/>
          <w:sz w:val="26"/>
          <w:szCs w:val="26"/>
          <w:rtl/>
          <w:lang w:bidi="ar-JO"/>
        </w:rPr>
        <w:t>، مجلة العلوم الإسلامية، كلية العلوم الإسلامية، جامعة الوادي، الجزائر،</w:t>
      </w:r>
    </w:p>
    <w:p w14:paraId="2D483010"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السفياني، عابد بن محمد، (1988)، </w:t>
      </w:r>
      <w:r w:rsidRPr="00706B94">
        <w:rPr>
          <w:rFonts w:ascii="Arabic Transparent" w:eastAsia="Calibri" w:hAnsi="Arabic Transparent" w:cs="Arabic Transparent"/>
          <w:b/>
          <w:bCs/>
          <w:sz w:val="26"/>
          <w:szCs w:val="26"/>
          <w:rtl/>
          <w:lang w:bidi="ar-JO"/>
        </w:rPr>
        <w:t>الثبات والشمول في الشريعة الإسلامية</w:t>
      </w:r>
      <w:r w:rsidRPr="00706B94">
        <w:rPr>
          <w:rFonts w:ascii="Arabic Transparent" w:eastAsia="Calibri" w:hAnsi="Arabic Transparent" w:cs="Arabic Transparent"/>
          <w:sz w:val="26"/>
          <w:szCs w:val="26"/>
          <w:rtl/>
          <w:lang w:bidi="ar-JO"/>
        </w:rPr>
        <w:t>، ط1، مكتبة المنارة - مكة المكرمة، السعودية.</w:t>
      </w:r>
    </w:p>
    <w:p w14:paraId="4568A8FC"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السلمي، عياض بن نامي (2005)، </w:t>
      </w:r>
      <w:r w:rsidRPr="00706B94">
        <w:rPr>
          <w:rFonts w:ascii="Arabic Transparent" w:eastAsia="Calibri" w:hAnsi="Arabic Transparent" w:cs="Arabic Transparent"/>
          <w:b/>
          <w:bCs/>
          <w:sz w:val="26"/>
          <w:szCs w:val="26"/>
          <w:rtl/>
          <w:lang w:bidi="ar-JO"/>
        </w:rPr>
        <w:t>أصول الفقه الذي لا يسع الفقيه جهله</w:t>
      </w:r>
      <w:r w:rsidRPr="00706B94">
        <w:rPr>
          <w:rFonts w:ascii="Arabic Transparent" w:eastAsia="Calibri" w:hAnsi="Arabic Transparent" w:cs="Arabic Transparent"/>
          <w:sz w:val="26"/>
          <w:szCs w:val="26"/>
          <w:rtl/>
          <w:lang w:bidi="ar-JO"/>
        </w:rPr>
        <w:t>، ،ط1، دار التدمرية، الرياض – المملكة العربية السعودية.</w:t>
      </w:r>
    </w:p>
    <w:p w14:paraId="5B2796D9"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السمرقندي، علاء الدين (1994). </w:t>
      </w:r>
      <w:r w:rsidRPr="00706B94">
        <w:rPr>
          <w:rFonts w:ascii="Arabic Transparent" w:eastAsia="Calibri" w:hAnsi="Arabic Transparent" w:cs="Arabic Transparent"/>
          <w:b/>
          <w:bCs/>
          <w:sz w:val="26"/>
          <w:szCs w:val="26"/>
          <w:rtl/>
          <w:lang w:bidi="ar-JO"/>
        </w:rPr>
        <w:t>تحفة الفقهاء</w:t>
      </w:r>
      <w:r w:rsidRPr="00706B94">
        <w:rPr>
          <w:rFonts w:ascii="Arabic Transparent" w:eastAsia="Calibri" w:hAnsi="Arabic Transparent" w:cs="Arabic Transparent"/>
          <w:sz w:val="26"/>
          <w:szCs w:val="26"/>
          <w:rtl/>
          <w:lang w:bidi="ar-JO"/>
        </w:rPr>
        <w:t>، ط2، دار الكتب العلمية، بيروت - لبنان.</w:t>
      </w:r>
    </w:p>
    <w:p w14:paraId="18D2F1BB"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السمرقندي، نصر بن محمد بن أحمد بن إبراهيم، أبو الليث، (1993)، </w:t>
      </w:r>
      <w:r w:rsidRPr="00706B94">
        <w:rPr>
          <w:rFonts w:ascii="Arabic Transparent" w:eastAsia="Calibri" w:hAnsi="Arabic Transparent" w:cs="Arabic Transparent"/>
          <w:b/>
          <w:bCs/>
          <w:sz w:val="26"/>
          <w:szCs w:val="26"/>
          <w:rtl/>
          <w:lang w:bidi="ar-JO"/>
        </w:rPr>
        <w:t>تفسير السمرقندي بحر العلوم</w:t>
      </w:r>
      <w:r w:rsidRPr="00706B94">
        <w:rPr>
          <w:rFonts w:ascii="Arabic Transparent" w:eastAsia="Calibri" w:hAnsi="Arabic Transparent" w:cs="Arabic Transparent"/>
          <w:sz w:val="26"/>
          <w:szCs w:val="26"/>
          <w:rtl/>
          <w:lang w:bidi="ar-JO"/>
        </w:rPr>
        <w:t>، دار الكتب العلمية، بيروت – لبنان.</w:t>
      </w:r>
    </w:p>
    <w:p w14:paraId="6F903FD0"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السمعاني، منصور بن محمد بن عبد الجبار، أبو المظفر (1999)، </w:t>
      </w:r>
      <w:r w:rsidRPr="00706B94">
        <w:rPr>
          <w:rFonts w:ascii="Arabic Transparent" w:eastAsia="Calibri" w:hAnsi="Arabic Transparent" w:cs="Arabic Transparent"/>
          <w:b/>
          <w:bCs/>
          <w:sz w:val="26"/>
          <w:szCs w:val="26"/>
          <w:rtl/>
          <w:lang w:bidi="ar-JO"/>
        </w:rPr>
        <w:t>قواطع الأدلة في الأصول</w:t>
      </w:r>
      <w:r w:rsidRPr="00706B94">
        <w:rPr>
          <w:rFonts w:ascii="Arabic Transparent" w:eastAsia="Calibri" w:hAnsi="Arabic Transparent" w:cs="Arabic Transparent"/>
          <w:sz w:val="26"/>
          <w:szCs w:val="26"/>
          <w:rtl/>
          <w:lang w:bidi="ar-JO"/>
        </w:rPr>
        <w:t>، تحقيق: محمد حسن محمد حسن إسماعيل الشافعي، ط1، ج2، ص185، دار الكتب العلمية، بيروت.</w:t>
      </w:r>
    </w:p>
    <w:p w14:paraId="0BED0733"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السويلم، سامي (د.ت)، </w:t>
      </w:r>
      <w:r w:rsidRPr="00706B94">
        <w:rPr>
          <w:rFonts w:ascii="Arabic Transparent" w:eastAsia="Calibri" w:hAnsi="Arabic Transparent" w:cs="Arabic Transparent"/>
          <w:b/>
          <w:bCs/>
          <w:sz w:val="26"/>
          <w:szCs w:val="26"/>
          <w:rtl/>
          <w:lang w:bidi="ar-JO"/>
        </w:rPr>
        <w:t>ترويض التَّضَخُّم من منظور التمويل الإسلامي</w:t>
      </w:r>
      <w:r w:rsidRPr="00706B94">
        <w:rPr>
          <w:rFonts w:ascii="Arabic Transparent" w:eastAsia="Calibri" w:hAnsi="Arabic Transparent" w:cs="Arabic Transparent"/>
          <w:sz w:val="26"/>
          <w:szCs w:val="26"/>
          <w:rtl/>
          <w:lang w:bidi="ar-JO"/>
        </w:rPr>
        <w:t xml:space="preserve">، مدونة المعهد الإسلامي للتنمية </w:t>
      </w:r>
      <w:r w:rsidRPr="00706B94">
        <w:rPr>
          <w:rFonts w:ascii="Arabic Transparent" w:eastAsia="Calibri" w:hAnsi="Arabic Transparent" w:cs="Arabic Transparent"/>
          <w:sz w:val="26"/>
          <w:szCs w:val="26"/>
          <w:lang w:bidi="ar-JO"/>
        </w:rPr>
        <w:t>(IsDBI Blogs)</w:t>
      </w:r>
      <w:r w:rsidRPr="00706B94">
        <w:rPr>
          <w:rFonts w:ascii="Arabic Transparent" w:eastAsia="Calibri" w:hAnsi="Arabic Transparent" w:cs="Arabic Transparent"/>
          <w:sz w:val="26"/>
          <w:szCs w:val="26"/>
          <w:rtl/>
          <w:lang w:bidi="ar-JO"/>
        </w:rPr>
        <w:t xml:space="preserve">، 2022م، على الرابط: </w:t>
      </w:r>
      <w:r w:rsidRPr="00706B94">
        <w:rPr>
          <w:rFonts w:ascii="Arabic Transparent" w:eastAsia="Calibri" w:hAnsi="Arabic Transparent" w:cs="Arabic Transparent"/>
          <w:sz w:val="26"/>
          <w:szCs w:val="26"/>
          <w:lang w:bidi="ar-JO"/>
        </w:rPr>
        <w:t>https://blogs.isdbinstitute.org/ar-taming-inflation-an-islamic-finance-perspective</w:t>
      </w:r>
      <w:r w:rsidRPr="00706B94">
        <w:rPr>
          <w:rFonts w:ascii="Arabic Transparent" w:eastAsia="Calibri" w:hAnsi="Arabic Transparent" w:cs="Arabic Transparent"/>
          <w:sz w:val="26"/>
          <w:szCs w:val="26"/>
          <w:rtl/>
          <w:lang w:bidi="ar-JO"/>
        </w:rPr>
        <w:t xml:space="preserve"> تاريخ الاطلاع: ‏11‏/04‏/2026.</w:t>
      </w:r>
    </w:p>
    <w:p w14:paraId="1F39F417"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السياري، خالد بن محمد بن عبد الله. (2022). </w:t>
      </w:r>
      <w:r w:rsidRPr="00706B94">
        <w:rPr>
          <w:rFonts w:ascii="Arabic Transparent" w:eastAsia="Calibri" w:hAnsi="Arabic Transparent" w:cs="Arabic Transparent"/>
          <w:b/>
          <w:bCs/>
          <w:sz w:val="26"/>
          <w:szCs w:val="26"/>
          <w:rtl/>
          <w:lang w:bidi="ar-JO"/>
        </w:rPr>
        <w:t>البيع المقترن بشحن البضاعة عبر المورد '</w:t>
      </w:r>
      <w:r w:rsidRPr="00706B94">
        <w:rPr>
          <w:rFonts w:ascii="Arabic Transparent" w:eastAsia="Calibri" w:hAnsi="Arabic Transparent" w:cs="Arabic Transparent"/>
          <w:b/>
          <w:bCs/>
          <w:sz w:val="26"/>
          <w:szCs w:val="26"/>
          <w:lang w:bidi="ar-JO"/>
        </w:rPr>
        <w:t>Shipping Drop'</w:t>
      </w:r>
      <w:r w:rsidRPr="00706B94">
        <w:rPr>
          <w:rFonts w:ascii="Arabic Transparent" w:eastAsia="Calibri" w:hAnsi="Arabic Transparent" w:cs="Arabic Transparent"/>
          <w:sz w:val="26"/>
          <w:szCs w:val="26"/>
          <w:rtl/>
          <w:lang w:bidi="ar-JO"/>
        </w:rPr>
        <w:t>، العدد 90. ص114-128. مجلة جامعة أم القرى لعلوم الشريعة والدراسات الإسلامية. السعودية.</w:t>
      </w:r>
    </w:p>
    <w:p w14:paraId="0D55D18D"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سيلغروفا، برلنت (2021). </w:t>
      </w:r>
      <w:r w:rsidRPr="00706B94">
        <w:rPr>
          <w:rFonts w:ascii="Arabic Transparent" w:eastAsia="Calibri" w:hAnsi="Arabic Transparent" w:cs="Arabic Transparent"/>
          <w:b/>
          <w:bCs/>
          <w:sz w:val="26"/>
          <w:szCs w:val="26"/>
          <w:rtl/>
          <w:lang w:bidi="ar-JO"/>
        </w:rPr>
        <w:t>مشكلة الديون المتعثرة في المصارف الإسلامية</w:t>
      </w:r>
      <w:r w:rsidRPr="00706B94">
        <w:rPr>
          <w:rFonts w:ascii="Arabic Transparent" w:eastAsia="Calibri" w:hAnsi="Arabic Transparent" w:cs="Arabic Transparent"/>
          <w:sz w:val="26"/>
          <w:szCs w:val="26"/>
          <w:rtl/>
          <w:lang w:bidi="ar-JO"/>
        </w:rPr>
        <w:t>، مج23، ع4، مجلة كلية الشريعة والقانون بتفهنا الأشراف – دقهلية.</w:t>
      </w:r>
    </w:p>
    <w:p w14:paraId="3054D4BB"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tl/>
          <w:lang w:bidi="ar-JO"/>
        </w:rPr>
      </w:pPr>
      <w:r w:rsidRPr="00706B94">
        <w:rPr>
          <w:rFonts w:ascii="Arabic Transparent" w:eastAsia="Calibri" w:hAnsi="Arabic Transparent" w:cs="Arabic Transparent"/>
          <w:sz w:val="26"/>
          <w:szCs w:val="26"/>
          <w:rtl/>
          <w:lang w:bidi="ar-JO"/>
        </w:rPr>
        <w:t xml:space="preserve">السيوطي، عبد الرحمن بن أبي بكر جلال الدين، (2004)، </w:t>
      </w:r>
      <w:r w:rsidRPr="00706B94">
        <w:rPr>
          <w:rFonts w:ascii="Arabic Transparent" w:eastAsia="Calibri" w:hAnsi="Arabic Transparent" w:cs="Arabic Transparent"/>
          <w:b/>
          <w:bCs/>
          <w:sz w:val="26"/>
          <w:szCs w:val="26"/>
          <w:rtl/>
          <w:lang w:bidi="ar-JO"/>
        </w:rPr>
        <w:t xml:space="preserve">معجم مقاليد العلوم في </w:t>
      </w:r>
      <w:r w:rsidRPr="00706B94">
        <w:rPr>
          <w:rFonts w:ascii="Arabic Transparent" w:eastAsia="Calibri" w:hAnsi="Arabic Transparent" w:cs="Arabic Transparent"/>
          <w:sz w:val="26"/>
          <w:szCs w:val="26"/>
          <w:rtl/>
          <w:lang w:bidi="ar-JO"/>
        </w:rPr>
        <w:t xml:space="preserve">السيوطي، عبد الرحمن بن أبي بكر، جلال الدين، (1983)، </w:t>
      </w:r>
      <w:r w:rsidRPr="00706B94">
        <w:rPr>
          <w:rFonts w:ascii="Arabic Transparent" w:eastAsia="Calibri" w:hAnsi="Arabic Transparent" w:cs="Arabic Transparent"/>
          <w:b/>
          <w:bCs/>
          <w:sz w:val="26"/>
          <w:szCs w:val="26"/>
          <w:rtl/>
          <w:lang w:bidi="ar-JO"/>
        </w:rPr>
        <w:t>الأشباه والنظائر في قواعد وفروع فقه الشافعية</w:t>
      </w:r>
      <w:r w:rsidRPr="00706B94">
        <w:rPr>
          <w:rFonts w:ascii="Arabic Transparent" w:eastAsia="Calibri" w:hAnsi="Arabic Transparent" w:cs="Arabic Transparent"/>
          <w:sz w:val="26"/>
          <w:szCs w:val="26"/>
          <w:rtl/>
          <w:lang w:bidi="ar-JO"/>
        </w:rPr>
        <w:t>، ط1، دار الكتب العلمية، بيروت.</w:t>
      </w:r>
    </w:p>
    <w:p w14:paraId="48CBD9A5"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الشاطبي، إبراهيم بن موسى بن محمد اللخمي الغرناطي (1992). </w:t>
      </w:r>
      <w:r w:rsidRPr="00706B94">
        <w:rPr>
          <w:rFonts w:ascii="Arabic Transparent" w:eastAsia="Calibri" w:hAnsi="Arabic Transparent" w:cs="Arabic Transparent"/>
          <w:b/>
          <w:bCs/>
          <w:sz w:val="26"/>
          <w:szCs w:val="26"/>
          <w:rtl/>
        </w:rPr>
        <w:t>الاعتصام</w:t>
      </w:r>
      <w:r w:rsidRPr="00706B94">
        <w:rPr>
          <w:rFonts w:ascii="Arabic Transparent" w:eastAsia="Calibri" w:hAnsi="Arabic Transparent" w:cs="Arabic Transparent"/>
          <w:sz w:val="26"/>
          <w:szCs w:val="26"/>
          <w:rtl/>
        </w:rPr>
        <w:t>. تحقيق سليم بن عيد الهلالي. ط1. دار ابن عفان، السعودية.</w:t>
      </w:r>
    </w:p>
    <w:p w14:paraId="4F696F99"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lastRenderedPageBreak/>
        <w:t xml:space="preserve">الشاطبي، إبراهيم بن موسى، (1997)، </w:t>
      </w:r>
      <w:r w:rsidRPr="00706B94">
        <w:rPr>
          <w:rFonts w:ascii="Arabic Transparent" w:eastAsia="Calibri" w:hAnsi="Arabic Transparent" w:cs="Arabic Transparent"/>
          <w:b/>
          <w:bCs/>
          <w:sz w:val="26"/>
          <w:szCs w:val="26"/>
          <w:rtl/>
        </w:rPr>
        <w:t>الموافقات</w:t>
      </w:r>
      <w:r w:rsidRPr="00706B94">
        <w:rPr>
          <w:rFonts w:ascii="Arabic Transparent" w:eastAsia="Calibri" w:hAnsi="Arabic Transparent" w:cs="Arabic Transparent"/>
          <w:sz w:val="26"/>
          <w:szCs w:val="26"/>
          <w:rtl/>
        </w:rPr>
        <w:t xml:space="preserve"> (تحقيق: مشهور بن حسن آل سلمان، تقديم: بكر بن عبد الله أبو زيد)، ط1، دار ابن عفان.</w:t>
      </w:r>
    </w:p>
    <w:p w14:paraId="1AEB2690"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الشافعي، محمد بن إدريس (1983)، </w:t>
      </w:r>
      <w:r w:rsidRPr="00706B94">
        <w:rPr>
          <w:rFonts w:ascii="Arabic Transparent" w:eastAsia="Calibri" w:hAnsi="Arabic Transparent" w:cs="Arabic Transparent"/>
          <w:b/>
          <w:bCs/>
          <w:sz w:val="26"/>
          <w:szCs w:val="26"/>
          <w:rtl/>
        </w:rPr>
        <w:t>الأم</w:t>
      </w:r>
      <w:r w:rsidRPr="00706B94">
        <w:rPr>
          <w:rFonts w:ascii="Arabic Transparent" w:eastAsia="Calibri" w:hAnsi="Arabic Transparent" w:cs="Arabic Transparent"/>
          <w:sz w:val="26"/>
          <w:szCs w:val="26"/>
          <w:rtl/>
        </w:rPr>
        <w:t>، ط2، دار الفكر، بيروت.</w:t>
      </w:r>
    </w:p>
    <w:p w14:paraId="4A331DF5"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الشافعي، محمد بن إدريس (2006م). </w:t>
      </w:r>
      <w:r w:rsidRPr="00706B94">
        <w:rPr>
          <w:rFonts w:ascii="Arabic Transparent" w:eastAsia="Calibri" w:hAnsi="Arabic Transparent" w:cs="Arabic Transparent"/>
          <w:b/>
          <w:bCs/>
          <w:sz w:val="26"/>
          <w:szCs w:val="26"/>
          <w:rtl/>
        </w:rPr>
        <w:t>تفسير الإمام الشافعي</w:t>
      </w:r>
      <w:r w:rsidRPr="00706B94">
        <w:rPr>
          <w:rFonts w:ascii="Arabic Transparent" w:eastAsia="Calibri" w:hAnsi="Arabic Transparent" w:cs="Arabic Transparent"/>
          <w:sz w:val="26"/>
          <w:szCs w:val="26"/>
          <w:rtl/>
        </w:rPr>
        <w:t xml:space="preserve"> (جمع وتحقيق ودراسة: أحمد بن مصطفى الفرّان). ط1، دار التدمرية، المملكة العربية السعودية.</w:t>
      </w:r>
    </w:p>
    <w:p w14:paraId="261109F6"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الشافعي، محمد بن إدريس، (1938)، </w:t>
      </w:r>
      <w:r w:rsidRPr="00706B94">
        <w:rPr>
          <w:rFonts w:ascii="Arabic Transparent" w:eastAsia="Calibri" w:hAnsi="Arabic Transparent" w:cs="Arabic Transparent"/>
          <w:b/>
          <w:bCs/>
          <w:sz w:val="26"/>
          <w:szCs w:val="26"/>
          <w:rtl/>
        </w:rPr>
        <w:t>الرسالة</w:t>
      </w:r>
      <w:r w:rsidRPr="00706B94">
        <w:rPr>
          <w:rFonts w:ascii="Arabic Transparent" w:eastAsia="Calibri" w:hAnsi="Arabic Transparent" w:cs="Arabic Transparent"/>
          <w:sz w:val="26"/>
          <w:szCs w:val="26"/>
          <w:rtl/>
        </w:rPr>
        <w:t xml:space="preserve"> (تحقيق أحمد محمد شاكر) ط1، مصطفى البابي الحلبي وأولاده - مصر.</w:t>
      </w:r>
    </w:p>
    <w:p w14:paraId="76B7E08E"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tl/>
        </w:rPr>
      </w:pPr>
      <w:r w:rsidRPr="00706B94">
        <w:rPr>
          <w:rFonts w:ascii="Arabic Transparent" w:eastAsia="Calibri" w:hAnsi="Arabic Transparent" w:cs="Arabic Transparent"/>
          <w:sz w:val="26"/>
          <w:szCs w:val="26"/>
          <w:rtl/>
        </w:rPr>
        <w:t xml:space="preserve">أبو شاويش، ماهر ذيب (2013)، </w:t>
      </w:r>
      <w:r w:rsidRPr="00706B94">
        <w:rPr>
          <w:rFonts w:ascii="Arabic Transparent" w:eastAsia="Calibri" w:hAnsi="Arabic Transparent" w:cs="Arabic Transparent"/>
          <w:b/>
          <w:bCs/>
          <w:sz w:val="26"/>
          <w:szCs w:val="26"/>
          <w:rtl/>
        </w:rPr>
        <w:t>ضوابط النظر في النوازل ومدارك الحكم عليها</w:t>
      </w:r>
      <w:r w:rsidRPr="00706B94">
        <w:rPr>
          <w:rFonts w:ascii="Arabic Transparent" w:eastAsia="Calibri" w:hAnsi="Arabic Transparent" w:cs="Arabic Transparent"/>
          <w:sz w:val="26"/>
          <w:szCs w:val="26"/>
          <w:rtl/>
        </w:rPr>
        <w:t>، مجلة الشريعة والقانون، جامعة الإمارات العربية المتحدة.</w:t>
      </w:r>
    </w:p>
    <w:p w14:paraId="072E9EA7"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شاويش، وليد مصطفى أحمد (2014م). </w:t>
      </w:r>
      <w:r w:rsidRPr="00706B94">
        <w:rPr>
          <w:rFonts w:ascii="Arabic Transparent" w:eastAsia="Calibri" w:hAnsi="Arabic Transparent" w:cs="Arabic Transparent"/>
          <w:b/>
          <w:bCs/>
          <w:sz w:val="26"/>
          <w:szCs w:val="26"/>
          <w:rtl/>
        </w:rPr>
        <w:t>أثر الإجارة في تمويل منافع التعليم في الفقه الإسلامي: التعليم الجامعي نموذجاً</w:t>
      </w:r>
      <w:r w:rsidRPr="00706B94">
        <w:rPr>
          <w:rFonts w:ascii="Arabic Transparent" w:eastAsia="Calibri" w:hAnsi="Arabic Transparent" w:cs="Arabic Transparent"/>
          <w:sz w:val="26"/>
          <w:szCs w:val="26"/>
          <w:rtl/>
        </w:rPr>
        <w:t>، مجلة الشريعة والقانون، ع58، السنة الثامنة والعشرون، كلية القانون، جامعة الإمارات العربية المتحدة.</w:t>
      </w:r>
    </w:p>
    <w:p w14:paraId="228911E9"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شبير، محمد عثمان (2014م). </w:t>
      </w:r>
      <w:r w:rsidRPr="00706B94">
        <w:rPr>
          <w:rFonts w:ascii="Arabic Transparent" w:eastAsia="Calibri" w:hAnsi="Arabic Transparent" w:cs="Arabic Transparent"/>
          <w:b/>
          <w:bCs/>
          <w:sz w:val="26"/>
          <w:szCs w:val="26"/>
          <w:rtl/>
        </w:rPr>
        <w:t>التكييف الفقهي للوقائع المستجدة وتطبيقاته الفقهية</w:t>
      </w:r>
      <w:r w:rsidRPr="00706B94">
        <w:rPr>
          <w:rFonts w:ascii="Arabic Transparent" w:eastAsia="Calibri" w:hAnsi="Arabic Transparent" w:cs="Arabic Transparent"/>
          <w:sz w:val="26"/>
          <w:szCs w:val="26"/>
          <w:rtl/>
        </w:rPr>
        <w:t>، ط2، دار القلم، دمشق.</w:t>
      </w:r>
    </w:p>
    <w:p w14:paraId="7F80D5AE"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شبير، محمد عثمان (1996م). </w:t>
      </w:r>
      <w:r w:rsidRPr="00706B94">
        <w:rPr>
          <w:rFonts w:ascii="Arabic Transparent" w:eastAsia="Calibri" w:hAnsi="Arabic Transparent" w:cs="Arabic Transparent"/>
          <w:b/>
          <w:bCs/>
          <w:sz w:val="26"/>
          <w:szCs w:val="26"/>
          <w:rtl/>
        </w:rPr>
        <w:t>صيانة المديونيات ومعالجتها من التعثر في الفقه الإسلامي</w:t>
      </w:r>
      <w:r w:rsidRPr="00706B94">
        <w:rPr>
          <w:rFonts w:ascii="Arabic Transparent" w:eastAsia="Calibri" w:hAnsi="Arabic Transparent" w:cs="Arabic Transparent"/>
          <w:sz w:val="26"/>
          <w:szCs w:val="26"/>
          <w:rtl/>
        </w:rPr>
        <w:t>، ع10، مجلة الشريعة والقانون، جامعة الإمارات العربية المتحدة.</w:t>
      </w:r>
    </w:p>
    <w:p w14:paraId="0C9283B4"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شبير، محمد عثمان (2017). </w:t>
      </w:r>
      <w:r w:rsidRPr="00706B94">
        <w:rPr>
          <w:rFonts w:ascii="Arabic Transparent" w:eastAsia="Calibri" w:hAnsi="Arabic Transparent" w:cs="Arabic Transparent"/>
          <w:b/>
          <w:bCs/>
          <w:sz w:val="26"/>
          <w:szCs w:val="26"/>
          <w:rtl/>
        </w:rPr>
        <w:t>مناهج الفقهاء في استنباط الأحكام</w:t>
      </w:r>
      <w:r w:rsidRPr="00706B94">
        <w:rPr>
          <w:rFonts w:ascii="Arabic Transparent" w:eastAsia="Calibri" w:hAnsi="Arabic Transparent" w:cs="Arabic Transparent"/>
          <w:sz w:val="26"/>
          <w:szCs w:val="26"/>
          <w:rtl/>
        </w:rPr>
        <w:t>، ط1، دار النفائس للنشر والتوزيع، عمان.</w:t>
      </w:r>
    </w:p>
    <w:p w14:paraId="6BD33DDF"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شبير، محمد عثمان (2010). </w:t>
      </w:r>
      <w:r w:rsidRPr="00706B94">
        <w:rPr>
          <w:rFonts w:ascii="Arabic Transparent" w:eastAsia="Calibri" w:hAnsi="Arabic Transparent" w:cs="Arabic Transparent"/>
          <w:b/>
          <w:bCs/>
          <w:sz w:val="26"/>
          <w:szCs w:val="26"/>
          <w:rtl/>
        </w:rPr>
        <w:t>منهج الجمع بين النصوص الشرعية ومقاصدها في معالجة القضايا المستجدة</w:t>
      </w:r>
      <w:r w:rsidRPr="00706B94">
        <w:rPr>
          <w:rFonts w:ascii="Arabic Transparent" w:eastAsia="Calibri" w:hAnsi="Arabic Transparent" w:cs="Arabic Transparent"/>
          <w:sz w:val="26"/>
          <w:szCs w:val="26"/>
          <w:rtl/>
        </w:rPr>
        <w:t>، بحث مقدم لمركز التميز البحثي في فقه القضايا المعاصرة، جامعة الإمام محمد بن سعود الإسلامية، الرياض.</w:t>
      </w:r>
    </w:p>
    <w:p w14:paraId="21F977AB"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شرير، عصام صبحي، (2009)، رسالة ماجستير بعنوان: </w:t>
      </w:r>
      <w:r w:rsidRPr="00706B94">
        <w:rPr>
          <w:rFonts w:ascii="Arabic Transparent" w:eastAsia="Calibri" w:hAnsi="Arabic Transparent" w:cs="Arabic Transparent"/>
          <w:b/>
          <w:bCs/>
          <w:sz w:val="26"/>
          <w:szCs w:val="26"/>
          <w:rtl/>
        </w:rPr>
        <w:t>تحقيق المناط وأثره في اختلاف الفقهاء</w:t>
      </w:r>
      <w:r w:rsidRPr="00706B94">
        <w:rPr>
          <w:rFonts w:ascii="Arabic Transparent" w:eastAsia="Calibri" w:hAnsi="Arabic Transparent" w:cs="Arabic Transparent"/>
          <w:sz w:val="26"/>
          <w:szCs w:val="26"/>
          <w:rtl/>
        </w:rPr>
        <w:t>، قسم أصول الفقه، الجامعة الإسلامية بغزة - فلسطين</w:t>
      </w:r>
    </w:p>
    <w:p w14:paraId="7A70A512"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الشعار، عماد الدين مصطفى(2022)، </w:t>
      </w:r>
      <w:r w:rsidRPr="00706B94">
        <w:rPr>
          <w:rFonts w:ascii="Arabic Transparent" w:eastAsia="Calibri" w:hAnsi="Arabic Transparent" w:cs="Arabic Transparent"/>
          <w:b/>
          <w:bCs/>
          <w:sz w:val="26"/>
          <w:szCs w:val="26"/>
          <w:rtl/>
        </w:rPr>
        <w:t>قاعدة اليسير مغتفر ونماذج من تطبيقاتها المعاصرة</w:t>
      </w:r>
      <w:r w:rsidRPr="00706B94">
        <w:rPr>
          <w:rFonts w:ascii="Arabic Transparent" w:eastAsia="Calibri" w:hAnsi="Arabic Transparent" w:cs="Arabic Transparent"/>
          <w:sz w:val="26"/>
          <w:szCs w:val="26"/>
          <w:rtl/>
        </w:rPr>
        <w:t>، مج8، عع2، بحث منشور في مجلة الراسخون، جامعة المدينة العالمية.</w:t>
      </w:r>
    </w:p>
    <w:p w14:paraId="4E79AE75"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الشنقيطي، عبد الله بن إبراهيم العلوي، (د.ت)، </w:t>
      </w:r>
      <w:r w:rsidRPr="00706B94">
        <w:rPr>
          <w:rFonts w:ascii="Arabic Transparent" w:eastAsia="Calibri" w:hAnsi="Arabic Transparent" w:cs="Arabic Transparent"/>
          <w:b/>
          <w:bCs/>
          <w:sz w:val="26"/>
          <w:szCs w:val="26"/>
          <w:rtl/>
        </w:rPr>
        <w:t>نشر البنود على مراقي السعود</w:t>
      </w:r>
      <w:r w:rsidRPr="00706B94">
        <w:rPr>
          <w:rFonts w:ascii="Arabic Transparent" w:eastAsia="Calibri" w:hAnsi="Arabic Transparent" w:cs="Arabic Transparent"/>
          <w:sz w:val="26"/>
          <w:szCs w:val="26"/>
          <w:rtl/>
        </w:rPr>
        <w:t>، (د.ط)، مطبعة فضالة، المغرب.</w:t>
      </w:r>
    </w:p>
    <w:p w14:paraId="2D268F5A"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الشنقيطي، محمد الأمين، (2019)، </w:t>
      </w:r>
      <w:r w:rsidRPr="00706B94">
        <w:rPr>
          <w:rFonts w:ascii="Arabic Transparent" w:eastAsia="Calibri" w:hAnsi="Arabic Transparent" w:cs="Arabic Transparent"/>
          <w:b/>
          <w:bCs/>
          <w:sz w:val="26"/>
          <w:szCs w:val="26"/>
          <w:rtl/>
        </w:rPr>
        <w:t>مذكرة أصول الفقه على روضة الناظر</w:t>
      </w:r>
      <w:r w:rsidRPr="00706B94">
        <w:rPr>
          <w:rFonts w:ascii="Arabic Transparent" w:eastAsia="Calibri" w:hAnsi="Arabic Transparent" w:cs="Arabic Transparent"/>
          <w:sz w:val="26"/>
          <w:szCs w:val="26"/>
          <w:rtl/>
        </w:rPr>
        <w:t xml:space="preserve"> ط5، دار عطاءات العلم - الرياض، دار ابن حزم - بيروت.</w:t>
      </w:r>
    </w:p>
    <w:p w14:paraId="3B564929"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الشهرستاني، محمد بن عبد الكريم بن أبي بكر أحمد، (د.ت)، </w:t>
      </w:r>
      <w:r w:rsidRPr="00706B94">
        <w:rPr>
          <w:rFonts w:ascii="Arabic Transparent" w:eastAsia="Calibri" w:hAnsi="Arabic Transparent" w:cs="Arabic Transparent"/>
          <w:b/>
          <w:bCs/>
          <w:sz w:val="26"/>
          <w:szCs w:val="26"/>
          <w:rtl/>
        </w:rPr>
        <w:t>الملل والنحل</w:t>
      </w:r>
      <w:r w:rsidRPr="00706B94">
        <w:rPr>
          <w:rFonts w:ascii="Arabic Transparent" w:eastAsia="Calibri" w:hAnsi="Arabic Transparent" w:cs="Arabic Transparent"/>
          <w:sz w:val="26"/>
          <w:szCs w:val="26"/>
          <w:rtl/>
        </w:rPr>
        <w:t>، ط3، مؤسسة الحلبي - مصر.</w:t>
      </w:r>
    </w:p>
    <w:p w14:paraId="78417F16"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الشوشاوي، أبو عبد الله الحسين بن علي بن طلحة الرجراجي (2004). </w:t>
      </w:r>
      <w:r w:rsidRPr="00706B94">
        <w:rPr>
          <w:rFonts w:ascii="Arabic Transparent" w:eastAsia="Calibri" w:hAnsi="Arabic Transparent" w:cs="Arabic Transparent"/>
          <w:b/>
          <w:bCs/>
          <w:sz w:val="26"/>
          <w:szCs w:val="26"/>
          <w:rtl/>
        </w:rPr>
        <w:t>رفع النقاب عن تنقيح الشهاب</w:t>
      </w:r>
      <w:r w:rsidRPr="00706B94">
        <w:rPr>
          <w:rFonts w:ascii="Arabic Transparent" w:eastAsia="Calibri" w:hAnsi="Arabic Transparent" w:cs="Arabic Transparent"/>
          <w:sz w:val="26"/>
          <w:szCs w:val="26"/>
          <w:rtl/>
        </w:rPr>
        <w:t xml:space="preserve"> (تحقيق: أحمد بن محمد السراح، وعبد الرحمن بن عبد الله الجبرين)، ط1، مكتبة الرشد للنشر والتوزيع، الرياض - السعودية</w:t>
      </w:r>
    </w:p>
    <w:p w14:paraId="03B55CFE"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الشوكاني، محمد بن علي، (1999)، </w:t>
      </w:r>
      <w:r w:rsidRPr="00706B94">
        <w:rPr>
          <w:rFonts w:ascii="Arabic Transparent" w:eastAsia="Calibri" w:hAnsi="Arabic Transparent" w:cs="Arabic Transparent"/>
          <w:b/>
          <w:bCs/>
          <w:sz w:val="26"/>
          <w:szCs w:val="26"/>
          <w:rtl/>
        </w:rPr>
        <w:t>إرشاد الفحول إلى تحقيق الحق من علم الأصول</w:t>
      </w:r>
      <w:r w:rsidRPr="00706B94">
        <w:rPr>
          <w:rFonts w:ascii="Arabic Transparent" w:eastAsia="Calibri" w:hAnsi="Arabic Transparent" w:cs="Arabic Transparent"/>
          <w:sz w:val="26"/>
          <w:szCs w:val="26"/>
          <w:rtl/>
        </w:rPr>
        <w:t>، تحقيق أحمد عزو عناية، تقديم خليل الميس ووليدين فرفور، ط1، دار الكتاب العربي – بيروت.</w:t>
      </w:r>
    </w:p>
    <w:p w14:paraId="5FBD2243"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lastRenderedPageBreak/>
        <w:t xml:space="preserve">الشوكاني، محمد بن علي بن محمد بن عبد الله، اليمني، (1994)، </w:t>
      </w:r>
      <w:r w:rsidRPr="00706B94">
        <w:rPr>
          <w:rFonts w:ascii="Arabic Transparent" w:eastAsia="Calibri" w:hAnsi="Arabic Transparent" w:cs="Arabic Transparent"/>
          <w:b/>
          <w:bCs/>
          <w:sz w:val="26"/>
          <w:szCs w:val="26"/>
          <w:rtl/>
        </w:rPr>
        <w:t>فتح القدير</w:t>
      </w:r>
      <w:r w:rsidRPr="00706B94">
        <w:rPr>
          <w:rFonts w:ascii="Arabic Transparent" w:eastAsia="Calibri" w:hAnsi="Arabic Transparent" w:cs="Arabic Transparent"/>
          <w:sz w:val="26"/>
          <w:szCs w:val="26"/>
          <w:rtl/>
        </w:rPr>
        <w:t>، ط1، دار ابن كثير، دار الكلم الطيب، دمشق – بيروت.</w:t>
      </w:r>
    </w:p>
    <w:p w14:paraId="75D841B3"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الشيباني، أبو عمرو إسحاق بن مرّار، (1974)، </w:t>
      </w:r>
      <w:r w:rsidRPr="00706B94">
        <w:rPr>
          <w:rFonts w:ascii="Arabic Transparent" w:eastAsia="Calibri" w:hAnsi="Arabic Transparent" w:cs="Arabic Transparent"/>
          <w:b/>
          <w:bCs/>
          <w:sz w:val="26"/>
          <w:szCs w:val="26"/>
          <w:rtl/>
        </w:rPr>
        <w:t>الجيم</w:t>
      </w:r>
      <w:r w:rsidRPr="00706B94">
        <w:rPr>
          <w:rFonts w:ascii="Arabic Transparent" w:eastAsia="Calibri" w:hAnsi="Arabic Transparent" w:cs="Arabic Transparent"/>
          <w:sz w:val="26"/>
          <w:szCs w:val="26"/>
          <w:rtl/>
        </w:rPr>
        <w:t xml:space="preserve"> (تحقيق إبراهيم الأبياري، مراجعة محمد خلف الله أحمد)، ط1، الهيئة العامة لشئون المطابع الأميرية - القاهرة.</w:t>
      </w:r>
    </w:p>
    <w:p w14:paraId="045D564F"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الشيباني، محمد (2012)، </w:t>
      </w:r>
      <w:r w:rsidRPr="00706B94">
        <w:rPr>
          <w:rFonts w:ascii="Arabic Transparent" w:eastAsia="Calibri" w:hAnsi="Arabic Transparent" w:cs="Arabic Transparent"/>
          <w:b/>
          <w:bCs/>
          <w:sz w:val="26"/>
          <w:szCs w:val="26"/>
          <w:rtl/>
        </w:rPr>
        <w:t>الأصل</w:t>
      </w:r>
      <w:r w:rsidRPr="00706B94">
        <w:rPr>
          <w:rFonts w:ascii="Arabic Transparent" w:eastAsia="Calibri" w:hAnsi="Arabic Transparent" w:cs="Arabic Transparent"/>
          <w:sz w:val="26"/>
          <w:szCs w:val="26"/>
          <w:rtl/>
        </w:rPr>
        <w:t>، ط1، دار ابن حزم بيروت،</w:t>
      </w:r>
    </w:p>
    <w:p w14:paraId="0BC4C5EE"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tl/>
        </w:rPr>
      </w:pPr>
      <w:r w:rsidRPr="00706B94">
        <w:rPr>
          <w:rFonts w:ascii="Arabic Transparent" w:eastAsia="Calibri" w:hAnsi="Arabic Transparent" w:cs="Arabic Transparent"/>
          <w:sz w:val="26"/>
          <w:szCs w:val="26"/>
          <w:rtl/>
        </w:rPr>
        <w:t xml:space="preserve">ابن أبي شيبة، عبد الله بن محمد بن أبي شيبة الكوفي العبسي، أبو بكر (1989)، </w:t>
      </w:r>
      <w:r w:rsidRPr="00706B94">
        <w:rPr>
          <w:rFonts w:ascii="Arabic Transparent" w:eastAsia="Calibri" w:hAnsi="Arabic Transparent" w:cs="Arabic Transparent"/>
          <w:b/>
          <w:bCs/>
          <w:sz w:val="26"/>
          <w:szCs w:val="26"/>
          <w:rtl/>
        </w:rPr>
        <w:t>المصنف في الأحاديث والآثار</w:t>
      </w:r>
      <w:r w:rsidRPr="00706B94">
        <w:rPr>
          <w:rFonts w:ascii="Arabic Transparent" w:eastAsia="Calibri" w:hAnsi="Arabic Transparent" w:cs="Arabic Transparent"/>
          <w:sz w:val="26"/>
          <w:szCs w:val="26"/>
          <w:rtl/>
        </w:rPr>
        <w:t>، تقديم وضبط: كمال يوسف الحوت، ط1، دار التاج، لبنان؛ مكتبة الرشد، الرياض؛ مكتبة العلوم والحكم، المدينة المنورة.</w:t>
      </w:r>
    </w:p>
    <w:p w14:paraId="16E9FBE7"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tl/>
        </w:rPr>
      </w:pPr>
      <w:r w:rsidRPr="00706B94">
        <w:rPr>
          <w:rFonts w:ascii="Arabic Transparent" w:eastAsia="Calibri" w:hAnsi="Arabic Transparent" w:cs="Arabic Transparent"/>
          <w:sz w:val="26"/>
          <w:szCs w:val="26"/>
          <w:rtl/>
        </w:rPr>
        <w:t xml:space="preserve">الشيرازي، إبراهيم بن علي بن يوسف، أبو إسحاق (2003)، </w:t>
      </w:r>
      <w:r w:rsidRPr="00706B94">
        <w:rPr>
          <w:rFonts w:ascii="Arabic Transparent" w:eastAsia="Calibri" w:hAnsi="Arabic Transparent" w:cs="Arabic Transparent"/>
          <w:b/>
          <w:bCs/>
          <w:sz w:val="26"/>
          <w:szCs w:val="26"/>
          <w:rtl/>
        </w:rPr>
        <w:t>اللمع في أصول الفقه</w:t>
      </w:r>
      <w:r w:rsidRPr="00706B94">
        <w:rPr>
          <w:rFonts w:ascii="Arabic Transparent" w:eastAsia="Calibri" w:hAnsi="Arabic Transparent" w:cs="Arabic Transparent"/>
          <w:sz w:val="26"/>
          <w:szCs w:val="26"/>
          <w:rtl/>
        </w:rPr>
        <w:t>، ط2، دار الكتب العلمية، بيروت.</w:t>
      </w:r>
    </w:p>
    <w:p w14:paraId="2971887D"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tl/>
        </w:rPr>
      </w:pPr>
      <w:r w:rsidRPr="00706B94">
        <w:rPr>
          <w:rFonts w:ascii="Arabic Transparent" w:eastAsia="Calibri" w:hAnsi="Arabic Transparent" w:cs="Arabic Transparent"/>
          <w:sz w:val="26"/>
          <w:szCs w:val="26"/>
          <w:rtl/>
        </w:rPr>
        <w:t xml:space="preserve">الشيرازي، إبراهيم بن علي بن يوسف (د.ت). </w:t>
      </w:r>
      <w:r w:rsidRPr="00706B94">
        <w:rPr>
          <w:rFonts w:ascii="Arabic Transparent" w:eastAsia="Calibri" w:hAnsi="Arabic Transparent" w:cs="Arabic Transparent"/>
          <w:b/>
          <w:bCs/>
          <w:sz w:val="26"/>
          <w:szCs w:val="26"/>
          <w:rtl/>
        </w:rPr>
        <w:t>المهذب في فقه الإمام الشافعي</w:t>
      </w:r>
      <w:r w:rsidRPr="00706B94">
        <w:rPr>
          <w:rFonts w:ascii="Arabic Transparent" w:eastAsia="Calibri" w:hAnsi="Arabic Transparent" w:cs="Arabic Transparent"/>
          <w:sz w:val="26"/>
          <w:szCs w:val="26"/>
          <w:rtl/>
        </w:rPr>
        <w:t>. دار الكتب العلمية- بيروت.</w:t>
      </w:r>
    </w:p>
    <w:p w14:paraId="038DE666"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صالح، أيمن. (2021). </w:t>
      </w:r>
      <w:r w:rsidRPr="00706B94">
        <w:rPr>
          <w:rFonts w:ascii="Arabic Transparent" w:eastAsia="Calibri" w:hAnsi="Arabic Transparent" w:cs="Arabic Transparent"/>
          <w:b/>
          <w:bCs/>
          <w:sz w:val="26"/>
          <w:szCs w:val="26"/>
          <w:rtl/>
          <w:lang w:bidi="ar-JO"/>
        </w:rPr>
        <w:t>واقع العملات الرقمية</w:t>
      </w:r>
      <w:r w:rsidRPr="00706B94">
        <w:rPr>
          <w:rFonts w:ascii="Arabic Transparent" w:eastAsia="Calibri" w:hAnsi="Arabic Transparent" w:cs="Arabic Transparent"/>
          <w:sz w:val="26"/>
          <w:szCs w:val="26"/>
          <w:rtl/>
          <w:lang w:bidi="ar-JO"/>
        </w:rPr>
        <w:t>، ط1. سلسلة صندوق النقد العربي، العدد 10. أبوظبي: صندوق النقد العربي، الإمارات العربية المتحدة.</w:t>
      </w:r>
    </w:p>
    <w:p w14:paraId="75CC995D"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الصالح، علي سليمان (2023م). </w:t>
      </w:r>
      <w:r w:rsidRPr="00706B94">
        <w:rPr>
          <w:rFonts w:ascii="Arabic Transparent" w:eastAsia="Calibri" w:hAnsi="Arabic Transparent" w:cs="Arabic Transparent"/>
          <w:b/>
          <w:bCs/>
          <w:sz w:val="26"/>
          <w:szCs w:val="26"/>
          <w:rtl/>
          <w:lang w:bidi="ar-JO"/>
        </w:rPr>
        <w:t>التكييف الفقهي لتمويل المنافع في المصارف الإسلامية: دراسة نقدية</w:t>
      </w:r>
      <w:r w:rsidRPr="00706B94">
        <w:rPr>
          <w:rFonts w:ascii="Arabic Transparent" w:eastAsia="Calibri" w:hAnsi="Arabic Transparent" w:cs="Arabic Transparent"/>
          <w:sz w:val="26"/>
          <w:szCs w:val="26"/>
          <w:rtl/>
          <w:lang w:bidi="ar-JO"/>
        </w:rPr>
        <w:t xml:space="preserve">، مجلة الدراسات الإسلامية، مج20، ع3، ص89-116، جامعة الكويت، كلية الشريعة والدراسات الإسلامية، الكويت. </w:t>
      </w:r>
    </w:p>
    <w:p w14:paraId="45247B79"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الصالح، محمد أديب، (2008)، </w:t>
      </w:r>
      <w:r w:rsidRPr="00706B94">
        <w:rPr>
          <w:rFonts w:ascii="Arabic Transparent" w:eastAsia="Calibri" w:hAnsi="Arabic Transparent" w:cs="Arabic Transparent"/>
          <w:b/>
          <w:bCs/>
          <w:sz w:val="26"/>
          <w:szCs w:val="26"/>
          <w:rtl/>
          <w:lang w:bidi="ar-JO"/>
        </w:rPr>
        <w:t>تفسير النصوص في الفقه الإسلامي</w:t>
      </w:r>
      <w:r w:rsidRPr="00706B94">
        <w:rPr>
          <w:rFonts w:ascii="Arabic Transparent" w:eastAsia="Calibri" w:hAnsi="Arabic Transparent" w:cs="Arabic Transparent"/>
          <w:sz w:val="26"/>
          <w:szCs w:val="26"/>
          <w:rtl/>
          <w:lang w:bidi="ar-JO"/>
        </w:rPr>
        <w:t>، ط5، المكتب الإسلامي - بيروت، لبنان.</w:t>
      </w:r>
    </w:p>
    <w:p w14:paraId="23A1A002"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الصاوي، رمضان (2022). </w:t>
      </w:r>
      <w:r w:rsidRPr="00706B94">
        <w:rPr>
          <w:rFonts w:ascii="Arabic Transparent" w:eastAsia="Calibri" w:hAnsi="Arabic Transparent" w:cs="Arabic Transparent"/>
          <w:b/>
          <w:bCs/>
          <w:sz w:val="26"/>
          <w:szCs w:val="26"/>
          <w:rtl/>
          <w:lang w:bidi="ar-JO"/>
        </w:rPr>
        <w:t>التضخم النقدي في ميزان الفقه الإسلامي: المفهوم، الأسباب، الآثار والعلاج</w:t>
      </w:r>
      <w:r w:rsidRPr="00706B94">
        <w:rPr>
          <w:rFonts w:ascii="Arabic Transparent" w:eastAsia="Calibri" w:hAnsi="Arabic Transparent" w:cs="Arabic Transparent"/>
          <w:sz w:val="26"/>
          <w:szCs w:val="26"/>
          <w:rtl/>
          <w:lang w:bidi="ar-JO"/>
        </w:rPr>
        <w:t>، ع50، ص15، مجلة الإفتاء المصرية.</w:t>
      </w:r>
    </w:p>
    <w:p w14:paraId="0A843868"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الصفي الهندي، محمد بن عبد الرحيم الأرموي (1996)، </w:t>
      </w:r>
      <w:r w:rsidRPr="00706B94">
        <w:rPr>
          <w:rFonts w:ascii="Arabic Transparent" w:eastAsia="Calibri" w:hAnsi="Arabic Transparent" w:cs="Arabic Transparent"/>
          <w:b/>
          <w:bCs/>
          <w:sz w:val="26"/>
          <w:szCs w:val="26"/>
          <w:rtl/>
          <w:lang w:bidi="ar-JO"/>
        </w:rPr>
        <w:t>نهاية الوصول في دراية الأصول</w:t>
      </w:r>
      <w:r w:rsidRPr="00706B94">
        <w:rPr>
          <w:rFonts w:ascii="Arabic Transparent" w:eastAsia="Calibri" w:hAnsi="Arabic Transparent" w:cs="Arabic Transparent"/>
          <w:sz w:val="26"/>
          <w:szCs w:val="26"/>
          <w:rtl/>
          <w:lang w:bidi="ar-JO"/>
        </w:rPr>
        <w:t>، تحقيق: صالح بن سليمان اليوسف وسعد بن سالم السويح، ط1، المكتبة التجارية، مكة المكرمة.</w:t>
      </w:r>
    </w:p>
    <w:p w14:paraId="0D74B2CB"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الصقلي، أبو بكر محمد بن عبد الله بن يونس التميمي (2013). </w:t>
      </w:r>
      <w:r w:rsidRPr="00706B94">
        <w:rPr>
          <w:rFonts w:ascii="Arabic Transparent" w:eastAsia="Calibri" w:hAnsi="Arabic Transparent" w:cs="Arabic Transparent"/>
          <w:b/>
          <w:bCs/>
          <w:sz w:val="26"/>
          <w:szCs w:val="26"/>
          <w:rtl/>
          <w:lang w:bidi="ar-JO"/>
        </w:rPr>
        <w:t>الجامع لمسائل المدونة</w:t>
      </w:r>
      <w:r w:rsidRPr="00706B94">
        <w:rPr>
          <w:rFonts w:ascii="Arabic Transparent" w:eastAsia="Calibri" w:hAnsi="Arabic Transparent" w:cs="Arabic Transparent"/>
          <w:sz w:val="26"/>
          <w:szCs w:val="26"/>
          <w:rtl/>
          <w:lang w:bidi="ar-JO"/>
        </w:rPr>
        <w:t>، تحقيق: مجموعة باحثين في رسائل دكتوراه. ط1. معهد البحوث العلمية وإحياء التراث الإسلامي – جامعة أم القرى.</w:t>
      </w:r>
    </w:p>
    <w:p w14:paraId="50FBD463"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الصلاحات، سامي محمد حسن (2004)، </w:t>
      </w:r>
      <w:r w:rsidRPr="00706B94">
        <w:rPr>
          <w:rFonts w:ascii="Arabic Transparent" w:eastAsia="Calibri" w:hAnsi="Arabic Transparent" w:cs="Arabic Transparent"/>
          <w:b/>
          <w:bCs/>
          <w:sz w:val="26"/>
          <w:szCs w:val="26"/>
          <w:rtl/>
          <w:lang w:bidi="ar-JO"/>
        </w:rPr>
        <w:t>فقه الواقع من منظور القطع والظن: دراسة أصولية</w:t>
      </w:r>
      <w:r w:rsidRPr="00706B94">
        <w:rPr>
          <w:rFonts w:ascii="Arabic Transparent" w:eastAsia="Calibri" w:hAnsi="Arabic Transparent" w:cs="Arabic Transparent"/>
          <w:sz w:val="26"/>
          <w:szCs w:val="26"/>
          <w:rtl/>
          <w:lang w:bidi="ar-JO"/>
        </w:rPr>
        <w:t>، مجلة الشريعة والقانون، جامعة الإمارات العربية المتحدة، م2004، ع21.</w:t>
      </w:r>
    </w:p>
    <w:p w14:paraId="680FAE1B"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الصلاحين، عبد المجيد محمود (2013</w:t>
      </w:r>
      <w:r w:rsidRPr="00706B94">
        <w:rPr>
          <w:rFonts w:ascii="Arabic Transparent" w:eastAsia="Calibri" w:hAnsi="Arabic Transparent" w:cs="Arabic Transparent"/>
          <w:b/>
          <w:bCs/>
          <w:sz w:val="26"/>
          <w:szCs w:val="26"/>
          <w:rtl/>
          <w:lang w:bidi="ar-JO"/>
        </w:rPr>
        <w:t>). الفروق الفقهية: مفهومها، وتأصيلها، وشروطه</w:t>
      </w:r>
      <w:r w:rsidRPr="00706B94">
        <w:rPr>
          <w:rFonts w:ascii="Arabic Transparent" w:eastAsia="Calibri" w:hAnsi="Arabic Transparent" w:cs="Arabic Transparent"/>
          <w:sz w:val="26"/>
          <w:szCs w:val="26"/>
          <w:rtl/>
          <w:lang w:bidi="ar-JO"/>
        </w:rPr>
        <w:t>ا، م 17, عدد 34، التجديد - مجلة فكرية محكمة.</w:t>
      </w:r>
    </w:p>
    <w:p w14:paraId="3C974156"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الصنعاني، محمد بن إسماعيل بن صلاح الأمير الكحلاني (1997م). </w:t>
      </w:r>
      <w:r w:rsidRPr="00706B94">
        <w:rPr>
          <w:rFonts w:ascii="Arabic Transparent" w:eastAsia="Calibri" w:hAnsi="Arabic Transparent" w:cs="Arabic Transparent"/>
          <w:b/>
          <w:bCs/>
          <w:sz w:val="26"/>
          <w:szCs w:val="26"/>
          <w:rtl/>
          <w:lang w:bidi="ar-JO"/>
        </w:rPr>
        <w:t>سبل السلام شرح بلوغ المرام</w:t>
      </w:r>
      <w:r w:rsidRPr="00706B94">
        <w:rPr>
          <w:rFonts w:ascii="Arabic Transparent" w:eastAsia="Calibri" w:hAnsi="Arabic Transparent" w:cs="Arabic Transparent"/>
          <w:sz w:val="26"/>
          <w:szCs w:val="26"/>
          <w:rtl/>
          <w:lang w:bidi="ar-JO"/>
        </w:rPr>
        <w:t xml:space="preserve"> (تحقيق: عصام الصبابطي، وعماد السيد). ط5، دار الحديث، القاهرة.</w:t>
      </w:r>
    </w:p>
    <w:p w14:paraId="11B25FEE"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tl/>
          <w:lang w:bidi="ar-JO"/>
        </w:rPr>
      </w:pPr>
      <w:r w:rsidRPr="00706B94">
        <w:rPr>
          <w:rFonts w:ascii="Arabic Transparent" w:eastAsia="Calibri" w:hAnsi="Arabic Transparent" w:cs="Arabic Transparent"/>
          <w:sz w:val="26"/>
          <w:szCs w:val="26"/>
          <w:rtl/>
          <w:lang w:bidi="ar-JO"/>
        </w:rPr>
        <w:t xml:space="preserve">الصوا، علي (2004م) </w:t>
      </w:r>
      <w:r w:rsidRPr="00706B94">
        <w:rPr>
          <w:rFonts w:ascii="Arabic Transparent" w:eastAsia="Calibri" w:hAnsi="Arabic Transparent" w:cs="Arabic Transparent"/>
          <w:b/>
          <w:bCs/>
          <w:sz w:val="26"/>
          <w:szCs w:val="26"/>
          <w:rtl/>
          <w:lang w:bidi="ar-JO"/>
        </w:rPr>
        <w:t>الشرط الجزائي في الديون دراسة فقهية مقارنة</w:t>
      </w:r>
      <w:r w:rsidRPr="00706B94">
        <w:rPr>
          <w:rFonts w:ascii="Arabic Transparent" w:eastAsia="Calibri" w:hAnsi="Arabic Transparent" w:cs="Arabic Transparent"/>
          <w:sz w:val="26"/>
          <w:szCs w:val="26"/>
          <w:rtl/>
          <w:lang w:bidi="ar-JO"/>
        </w:rPr>
        <w:t>، م19، ع58، مجلة الشريعة والدراسات الإسلامية، الكويت.</w:t>
      </w:r>
    </w:p>
    <w:p w14:paraId="0316DF38"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lastRenderedPageBreak/>
        <w:t xml:space="preserve">الضرير، الصديق محمد الأمين (1985م). </w:t>
      </w:r>
      <w:r w:rsidRPr="00706B94">
        <w:rPr>
          <w:rFonts w:ascii="Arabic Transparent" w:eastAsia="Calibri" w:hAnsi="Arabic Transparent" w:cs="Arabic Transparent"/>
          <w:b/>
          <w:bCs/>
          <w:sz w:val="26"/>
          <w:szCs w:val="26"/>
          <w:rtl/>
          <w:lang w:bidi="ar-JO"/>
        </w:rPr>
        <w:t>الاتفاق على إلزام المدين الموسر بتعويض ضرر المماطلة</w:t>
      </w:r>
      <w:r w:rsidRPr="00706B94">
        <w:rPr>
          <w:rFonts w:ascii="Arabic Transparent" w:eastAsia="Calibri" w:hAnsi="Arabic Transparent" w:cs="Arabic Transparent"/>
          <w:sz w:val="26"/>
          <w:szCs w:val="26"/>
          <w:rtl/>
          <w:lang w:bidi="ar-JO"/>
        </w:rPr>
        <w:t>، مجلة أبحاث الاقتصاد الإسلامي، مركز النشر العلمي، جامعة الملك عبد العزيز، م3، ع1، ص112.</w:t>
      </w:r>
    </w:p>
    <w:p w14:paraId="1F7E0BD6"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tl/>
        </w:rPr>
      </w:pPr>
      <w:r w:rsidRPr="00706B94">
        <w:rPr>
          <w:rFonts w:ascii="Arabic Transparent" w:eastAsia="Calibri" w:hAnsi="Arabic Transparent" w:cs="Arabic Transparent"/>
          <w:sz w:val="26"/>
          <w:szCs w:val="26"/>
          <w:rtl/>
        </w:rPr>
        <w:t xml:space="preserve">أبوطالب، عمر بن علي بن محمد، (2022) </w:t>
      </w:r>
      <w:r w:rsidRPr="00706B94">
        <w:rPr>
          <w:rFonts w:ascii="Arabic Transparent" w:eastAsia="Calibri" w:hAnsi="Arabic Transparent" w:cs="Arabic Transparent"/>
          <w:b/>
          <w:bCs/>
          <w:sz w:val="26"/>
          <w:szCs w:val="26"/>
          <w:rtl/>
        </w:rPr>
        <w:t>مناط الحكم الشرعي عند الغزالي والشاطبي</w:t>
      </w:r>
      <w:r w:rsidRPr="00706B94">
        <w:rPr>
          <w:rFonts w:ascii="Arabic Transparent" w:eastAsia="Calibri" w:hAnsi="Arabic Transparent" w:cs="Arabic Transparent"/>
          <w:sz w:val="26"/>
          <w:szCs w:val="26"/>
          <w:rtl/>
        </w:rPr>
        <w:t>، مجلة العلوم الشرعية، عدد 1، مج16، جامعة القصيم – السعودية.</w:t>
      </w:r>
    </w:p>
    <w:p w14:paraId="4198D5D4"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tl/>
          <w:lang w:bidi="ar-JO"/>
        </w:rPr>
      </w:pPr>
      <w:r w:rsidRPr="00706B94">
        <w:rPr>
          <w:rFonts w:ascii="Arabic Transparent" w:eastAsia="Calibri" w:hAnsi="Arabic Transparent" w:cs="Arabic Transparent"/>
          <w:sz w:val="26"/>
          <w:szCs w:val="26"/>
          <w:rtl/>
          <w:lang w:bidi="ar-JO"/>
        </w:rPr>
        <w:t xml:space="preserve">ابن طاهر، عبد الله بن عمر بن حسين (2013)، </w:t>
      </w:r>
      <w:r w:rsidRPr="00706B94">
        <w:rPr>
          <w:rFonts w:ascii="Arabic Transparent" w:eastAsia="Calibri" w:hAnsi="Arabic Transparent" w:cs="Arabic Transparent"/>
          <w:b/>
          <w:bCs/>
          <w:sz w:val="26"/>
          <w:szCs w:val="26"/>
          <w:rtl/>
          <w:lang w:bidi="ar-JO"/>
        </w:rPr>
        <w:t>العقود المضافة إلى مثلها</w:t>
      </w:r>
      <w:r w:rsidRPr="00706B94">
        <w:rPr>
          <w:rFonts w:ascii="Arabic Transparent" w:eastAsia="Calibri" w:hAnsi="Arabic Transparent" w:cs="Arabic Transparent"/>
          <w:sz w:val="26"/>
          <w:szCs w:val="26"/>
          <w:rtl/>
          <w:lang w:bidi="ar-JO"/>
        </w:rPr>
        <w:t>، ط1، دار كنوز إشبيليا للنشر والتوزيع، الرياض.</w:t>
      </w:r>
    </w:p>
    <w:p w14:paraId="1F5002A1"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الطبري، محمد بن جرير، أبو جعفر (د.ت)، </w:t>
      </w:r>
      <w:r w:rsidRPr="00706B94">
        <w:rPr>
          <w:rFonts w:ascii="Arabic Transparent" w:eastAsia="Calibri" w:hAnsi="Arabic Transparent" w:cs="Arabic Transparent"/>
          <w:b/>
          <w:bCs/>
          <w:sz w:val="26"/>
          <w:szCs w:val="26"/>
          <w:rtl/>
          <w:lang w:bidi="ar-JO"/>
        </w:rPr>
        <w:t>جامع البيان عن تأويل آي القرآن</w:t>
      </w:r>
      <w:r w:rsidRPr="00706B94">
        <w:rPr>
          <w:rFonts w:ascii="Arabic Transparent" w:eastAsia="Calibri" w:hAnsi="Arabic Transparent" w:cs="Arabic Transparent"/>
          <w:sz w:val="26"/>
          <w:szCs w:val="26"/>
          <w:rtl/>
          <w:lang w:bidi="ar-JO"/>
        </w:rPr>
        <w:t>، ط1، توزيع: دار التربية والتراث، مكة المكرمة.</w:t>
      </w:r>
    </w:p>
    <w:p w14:paraId="5B81A172"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الطحاوي، أحمد بن محمد بن سلامة (2021م). </w:t>
      </w:r>
      <w:r w:rsidRPr="00706B94">
        <w:rPr>
          <w:rFonts w:ascii="Arabic Transparent" w:eastAsia="Calibri" w:hAnsi="Arabic Transparent" w:cs="Arabic Transparent"/>
          <w:b/>
          <w:bCs/>
          <w:sz w:val="26"/>
          <w:szCs w:val="26"/>
          <w:rtl/>
          <w:lang w:bidi="ar-JO"/>
        </w:rPr>
        <w:t>شرح معاني الآثار</w:t>
      </w:r>
      <w:r w:rsidRPr="00706B94">
        <w:rPr>
          <w:rFonts w:ascii="Arabic Transparent" w:eastAsia="Calibri" w:hAnsi="Arabic Transparent" w:cs="Arabic Transparent"/>
          <w:sz w:val="26"/>
          <w:szCs w:val="26"/>
          <w:rtl/>
          <w:lang w:bidi="ar-JO"/>
        </w:rPr>
        <w:t xml:space="preserve"> (تحقيق وتخريج: لطيف الرحمن البهرائجي القاسمي). ط1، دار ابن حزم، بيروت.</w:t>
      </w:r>
    </w:p>
    <w:p w14:paraId="171B6CC8"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الطوفي، سليمان بن عبد القوي، (1987م)، </w:t>
      </w:r>
      <w:r w:rsidRPr="00706B94">
        <w:rPr>
          <w:rFonts w:ascii="Arabic Transparent" w:eastAsia="Calibri" w:hAnsi="Arabic Transparent" w:cs="Arabic Transparent"/>
          <w:b/>
          <w:bCs/>
          <w:sz w:val="26"/>
          <w:szCs w:val="26"/>
          <w:rtl/>
          <w:lang w:bidi="ar-JO"/>
        </w:rPr>
        <w:t>شرح مختصر الروضة</w:t>
      </w:r>
      <w:r w:rsidRPr="00706B94">
        <w:rPr>
          <w:rFonts w:ascii="Arabic Transparent" w:eastAsia="Calibri" w:hAnsi="Arabic Transparent" w:cs="Arabic Transparent"/>
          <w:sz w:val="26"/>
          <w:szCs w:val="26"/>
          <w:rtl/>
          <w:lang w:bidi="ar-JO"/>
        </w:rPr>
        <w:t xml:space="preserve"> (تحقيق عبد الله بن عبد المحسن التركي)، ط1، مؤسسة الرسالة، بيروت.</w:t>
      </w:r>
    </w:p>
    <w:p w14:paraId="1228EA62"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tl/>
          <w:lang w:bidi="ar-JO"/>
        </w:rPr>
      </w:pPr>
      <w:r w:rsidRPr="00706B94">
        <w:rPr>
          <w:rFonts w:ascii="Arabic Transparent" w:eastAsia="Calibri" w:hAnsi="Arabic Transparent" w:cs="Arabic Transparent"/>
          <w:sz w:val="26"/>
          <w:szCs w:val="26"/>
          <w:rtl/>
          <w:lang w:bidi="ar-JO"/>
        </w:rPr>
        <w:t xml:space="preserve">الطيار، مساعد بن سليمان بن ناصر (2002م). </w:t>
      </w:r>
      <w:r w:rsidRPr="00706B94">
        <w:rPr>
          <w:rFonts w:ascii="Arabic Transparent" w:eastAsia="Calibri" w:hAnsi="Arabic Transparent" w:cs="Arabic Transparent"/>
          <w:b/>
          <w:bCs/>
          <w:sz w:val="26"/>
          <w:szCs w:val="26"/>
          <w:rtl/>
          <w:lang w:bidi="ar-JO"/>
        </w:rPr>
        <w:t>فصول في أصول التفسير</w:t>
      </w:r>
      <w:r w:rsidRPr="00706B94">
        <w:rPr>
          <w:rFonts w:ascii="Arabic Transparent" w:eastAsia="Calibri" w:hAnsi="Arabic Transparent" w:cs="Arabic Transparent"/>
          <w:sz w:val="26"/>
          <w:szCs w:val="26"/>
          <w:rtl/>
          <w:lang w:bidi="ar-JO"/>
        </w:rPr>
        <w:t>، ط2، دار ابن الجوزي.</w:t>
      </w:r>
    </w:p>
    <w:p w14:paraId="46B46E25"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tl/>
        </w:rPr>
      </w:pPr>
      <w:r w:rsidRPr="00706B94">
        <w:rPr>
          <w:rFonts w:ascii="Arabic Transparent" w:eastAsia="Calibri" w:hAnsi="Arabic Transparent" w:cs="Arabic Transparent"/>
          <w:sz w:val="26"/>
          <w:szCs w:val="26"/>
          <w:rtl/>
        </w:rPr>
        <w:t xml:space="preserve">ابن عابدين، محمد أمين أفندي، (1907)، </w:t>
      </w:r>
      <w:r w:rsidRPr="00706B94">
        <w:rPr>
          <w:rFonts w:ascii="Arabic Transparent" w:eastAsia="Calibri" w:hAnsi="Arabic Transparent" w:cs="Arabic Transparent"/>
          <w:b/>
          <w:bCs/>
          <w:sz w:val="26"/>
          <w:szCs w:val="26"/>
          <w:rtl/>
        </w:rPr>
        <w:t>مجموعة رسائل ابن عابدين</w:t>
      </w:r>
      <w:r w:rsidRPr="00706B94">
        <w:rPr>
          <w:rFonts w:ascii="Arabic Transparent" w:eastAsia="Calibri" w:hAnsi="Arabic Transparent" w:cs="Arabic Transparent"/>
          <w:sz w:val="26"/>
          <w:szCs w:val="26"/>
          <w:rtl/>
        </w:rPr>
        <w:t>، ط1، دار سعادت، إسطنبول.</w:t>
      </w:r>
    </w:p>
    <w:p w14:paraId="12F2524B"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ابن عابدين، محمد أمين بن عمر، (1966)، </w:t>
      </w:r>
      <w:r w:rsidRPr="00706B94">
        <w:rPr>
          <w:rFonts w:ascii="Arabic Transparent" w:eastAsia="Calibri" w:hAnsi="Arabic Transparent" w:cs="Arabic Transparent"/>
          <w:b/>
          <w:bCs/>
          <w:sz w:val="26"/>
          <w:szCs w:val="26"/>
          <w:rtl/>
        </w:rPr>
        <w:t xml:space="preserve">رد المحتار على الدر المختار في شرح تنوير الأبصار (حاشية ابن عابدين)، </w:t>
      </w:r>
      <w:r w:rsidRPr="00706B94">
        <w:rPr>
          <w:rFonts w:ascii="Arabic Transparent" w:eastAsia="Calibri" w:hAnsi="Arabic Transparent" w:cs="Arabic Transparent"/>
          <w:sz w:val="26"/>
          <w:szCs w:val="26"/>
          <w:rtl/>
        </w:rPr>
        <w:t>ط2، مصطفى البابي الحلبي وأولاده - مصر.</w:t>
      </w:r>
    </w:p>
    <w:p w14:paraId="754BBA58"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ابن عاشور، محمد الطاهر، (1984)، </w:t>
      </w:r>
      <w:r w:rsidRPr="00706B94">
        <w:rPr>
          <w:rFonts w:ascii="Arabic Transparent" w:eastAsia="Calibri" w:hAnsi="Arabic Transparent" w:cs="Arabic Transparent"/>
          <w:b/>
          <w:bCs/>
          <w:sz w:val="26"/>
          <w:szCs w:val="26"/>
          <w:rtl/>
        </w:rPr>
        <w:t>التحرير والتنوير: تحرير المعنى السديد وتنوير العقل الجديد من تفسير الكتاب المجيد</w:t>
      </w:r>
      <w:r w:rsidRPr="00706B94">
        <w:rPr>
          <w:rFonts w:ascii="Arabic Transparent" w:eastAsia="Calibri" w:hAnsi="Arabic Transparent" w:cs="Arabic Transparent"/>
          <w:sz w:val="26"/>
          <w:szCs w:val="26"/>
          <w:rtl/>
        </w:rPr>
        <w:t>، ط1، الدار التونسية للنشر، تونس.</w:t>
      </w:r>
    </w:p>
    <w:p w14:paraId="7538BD86"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ابن عاشور، محمد الطاهر (2004)، </w:t>
      </w:r>
      <w:r w:rsidRPr="00706B94">
        <w:rPr>
          <w:rFonts w:ascii="Arabic Transparent" w:eastAsia="Calibri" w:hAnsi="Arabic Transparent" w:cs="Arabic Transparent"/>
          <w:b/>
          <w:bCs/>
          <w:sz w:val="26"/>
          <w:szCs w:val="26"/>
          <w:rtl/>
        </w:rPr>
        <w:t>مقاصد الشريعة الإسلامية</w:t>
      </w:r>
      <w:r w:rsidRPr="00706B94">
        <w:rPr>
          <w:rFonts w:ascii="Arabic Transparent" w:eastAsia="Calibri" w:hAnsi="Arabic Transparent" w:cs="Arabic Transparent"/>
          <w:sz w:val="26"/>
          <w:szCs w:val="26"/>
          <w:rtl/>
        </w:rPr>
        <w:t>، ط1، وزارة الأوقاف والشؤون الإسلامية، قطر.</w:t>
      </w:r>
    </w:p>
    <w:p w14:paraId="1CCBABC0"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العالم، يوسف حامد،( 1994)، </w:t>
      </w:r>
      <w:r w:rsidRPr="00706B94">
        <w:rPr>
          <w:rFonts w:ascii="Arabic Transparent" w:eastAsia="Calibri" w:hAnsi="Arabic Transparent" w:cs="Arabic Transparent"/>
          <w:b/>
          <w:bCs/>
          <w:sz w:val="26"/>
          <w:szCs w:val="26"/>
          <w:rtl/>
        </w:rPr>
        <w:t>المقاصد العامة للشريعة الإسلامية</w:t>
      </w:r>
      <w:r w:rsidRPr="00706B94">
        <w:rPr>
          <w:rFonts w:ascii="Arabic Transparent" w:eastAsia="Calibri" w:hAnsi="Arabic Transparent" w:cs="Arabic Transparent"/>
          <w:sz w:val="26"/>
          <w:szCs w:val="26"/>
          <w:rtl/>
        </w:rPr>
        <w:t>، ط2، الدار العالمية للكتاب الإسلامي- الرياض.</w:t>
      </w:r>
    </w:p>
    <w:p w14:paraId="4C88B825"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tl/>
        </w:rPr>
      </w:pPr>
      <w:r w:rsidRPr="00706B94">
        <w:rPr>
          <w:rFonts w:ascii="Arabic Transparent" w:eastAsia="Calibri" w:hAnsi="Arabic Transparent" w:cs="Arabic Transparent"/>
          <w:sz w:val="26"/>
          <w:szCs w:val="26"/>
          <w:rtl/>
        </w:rPr>
        <w:t xml:space="preserve">عبادة، إياد، وبركات، علي (د.ت)، </w:t>
      </w:r>
      <w:r w:rsidRPr="00706B94">
        <w:rPr>
          <w:rFonts w:ascii="Arabic Transparent" w:eastAsia="Calibri" w:hAnsi="Arabic Transparent" w:cs="Arabic Transparent"/>
          <w:b/>
          <w:bCs/>
          <w:sz w:val="26"/>
          <w:szCs w:val="26"/>
          <w:rtl/>
        </w:rPr>
        <w:t>أثر التَّورُّق المصرفي على المصارف الإسلامية</w:t>
      </w:r>
      <w:r w:rsidRPr="00706B94">
        <w:rPr>
          <w:rFonts w:ascii="Arabic Transparent" w:eastAsia="Calibri" w:hAnsi="Arabic Transparent" w:cs="Arabic Transparent"/>
          <w:sz w:val="26"/>
          <w:szCs w:val="26"/>
          <w:rtl/>
        </w:rPr>
        <w:t>، مجلة الشريعة والقانون، العدد (47)، 2011م، ص481-483.</w:t>
      </w:r>
    </w:p>
    <w:p w14:paraId="340D43A6"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ابن عبد البر، أبو عمر يوسف بن عبد الله النمري القرطبي (2000م). </w:t>
      </w:r>
      <w:r w:rsidRPr="00706B94">
        <w:rPr>
          <w:rFonts w:ascii="Arabic Transparent" w:eastAsia="Calibri" w:hAnsi="Arabic Transparent" w:cs="Arabic Transparent"/>
          <w:b/>
          <w:bCs/>
          <w:sz w:val="26"/>
          <w:szCs w:val="26"/>
          <w:rtl/>
        </w:rPr>
        <w:t>الاستذكار: الجامع لمذاهب فقهاء الأمصار وعلماء الأقطار فيما تضمنه الموطأ من معاني الرأي والآثار وشرح ذلك كله بالإيجاز والاختصار</w:t>
      </w:r>
      <w:r w:rsidRPr="00706B94">
        <w:rPr>
          <w:rFonts w:ascii="Arabic Transparent" w:eastAsia="Calibri" w:hAnsi="Arabic Transparent" w:cs="Arabic Transparent"/>
          <w:sz w:val="26"/>
          <w:szCs w:val="26"/>
          <w:rtl/>
        </w:rPr>
        <w:t>، تحقيق: سالم محمد عطا، ومحمد علي معوّض، ط1، دار الكتب العلمية، بيروت.</w:t>
      </w:r>
    </w:p>
    <w:p w14:paraId="7BE919D5"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ابن عبد البر، أبو عمر يوسف بن عبد الله بن محمد النمري القرطبي (1967). </w:t>
      </w:r>
      <w:r w:rsidRPr="00706B94">
        <w:rPr>
          <w:rFonts w:ascii="Arabic Transparent" w:eastAsia="Calibri" w:hAnsi="Arabic Transparent" w:cs="Arabic Transparent"/>
          <w:b/>
          <w:bCs/>
          <w:sz w:val="26"/>
          <w:szCs w:val="26"/>
          <w:rtl/>
        </w:rPr>
        <w:t>التمهيد لما في الموطأ من المعاني والأسانيد</w:t>
      </w:r>
      <w:r w:rsidRPr="00706B94">
        <w:rPr>
          <w:rFonts w:ascii="Arabic Transparent" w:eastAsia="Calibri" w:hAnsi="Arabic Transparent" w:cs="Arabic Transparent"/>
          <w:sz w:val="26"/>
          <w:szCs w:val="26"/>
          <w:rtl/>
        </w:rPr>
        <w:t>. تحقيق مصطفى بن أحمد العلوي، محمد عبد الكبير البكري.(د.ط) وزارة عموم الأوقاف والشؤون الإسلامية، المغرب.</w:t>
      </w:r>
    </w:p>
    <w:p w14:paraId="3890FB1D"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ابن عبد البر، يوسف بن عبد الله، (1994)، </w:t>
      </w:r>
      <w:r w:rsidRPr="00706B94">
        <w:rPr>
          <w:rFonts w:ascii="Arabic Transparent" w:eastAsia="Calibri" w:hAnsi="Arabic Transparent" w:cs="Arabic Transparent"/>
          <w:b/>
          <w:bCs/>
          <w:sz w:val="26"/>
          <w:szCs w:val="26"/>
          <w:rtl/>
        </w:rPr>
        <w:t>جامع بيان العلم وفضله</w:t>
      </w:r>
      <w:r w:rsidRPr="00706B94">
        <w:rPr>
          <w:rFonts w:ascii="Arabic Transparent" w:eastAsia="Calibri" w:hAnsi="Arabic Transparent" w:cs="Arabic Transparent"/>
          <w:sz w:val="26"/>
          <w:szCs w:val="26"/>
          <w:rtl/>
        </w:rPr>
        <w:t>، ط1، دار ابن الجوزي – السعودية.</w:t>
      </w:r>
    </w:p>
    <w:p w14:paraId="2CFE4F65" w14:textId="60E54CA5"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lastRenderedPageBreak/>
        <w:t xml:space="preserve">عبد الرحيم، عثمان أحمد (2013)، </w:t>
      </w:r>
      <w:r w:rsidRPr="00706B94">
        <w:rPr>
          <w:rFonts w:ascii="Arabic Transparent" w:eastAsia="Calibri" w:hAnsi="Arabic Transparent" w:cs="Arabic Transparent"/>
          <w:b/>
          <w:bCs/>
          <w:sz w:val="26"/>
          <w:szCs w:val="26"/>
          <w:rtl/>
        </w:rPr>
        <w:t>آليات تحقيق المناط ووسائله ومسلك المجتهد فيه</w:t>
      </w:r>
      <w:r w:rsidRPr="00706B94">
        <w:rPr>
          <w:rFonts w:ascii="Arabic Transparent" w:eastAsia="Calibri" w:hAnsi="Arabic Transparent" w:cs="Arabic Transparent"/>
          <w:sz w:val="26"/>
          <w:szCs w:val="26"/>
          <w:rtl/>
        </w:rPr>
        <w:t>، بحثٌ مُقدَّم في</w:t>
      </w:r>
      <w:r w:rsidR="00A36EC7">
        <w:rPr>
          <w:rFonts w:ascii="Arabic Transparent" w:eastAsia="Calibri" w:hAnsi="Arabic Transparent" w:cs="Arabic Transparent" w:hint="cs"/>
          <w:sz w:val="26"/>
          <w:szCs w:val="26"/>
          <w:rtl/>
        </w:rPr>
        <w:t xml:space="preserve"> </w:t>
      </w:r>
      <w:r w:rsidRPr="00706B94">
        <w:rPr>
          <w:rFonts w:ascii="Arabic Transparent" w:eastAsia="Calibri" w:hAnsi="Arabic Transparent" w:cs="Arabic Transparent"/>
          <w:sz w:val="26"/>
          <w:szCs w:val="26"/>
          <w:rtl/>
        </w:rPr>
        <w:t xml:space="preserve">مؤتمر «فقه الواقع والتوقع». على الرابط: </w:t>
      </w:r>
      <w:r w:rsidRPr="00706B94">
        <w:rPr>
          <w:rFonts w:ascii="Arabic Transparent" w:eastAsia="Calibri" w:hAnsi="Arabic Transparent" w:cs="Arabic Transparent"/>
          <w:sz w:val="26"/>
          <w:szCs w:val="26"/>
        </w:rPr>
        <w:t>https://feqhup.com/uploads/1415384240881.</w:t>
      </w:r>
      <w:r w:rsidRPr="00706B94">
        <w:rPr>
          <w:rFonts w:ascii="Arabic Transparent" w:eastAsia="Calibri" w:hAnsi="Arabic Transparent" w:cs="Arabic Transparent"/>
          <w:sz w:val="26"/>
          <w:szCs w:val="26"/>
          <w:rtl/>
        </w:rPr>
        <w:t>، تاريخ الاطلاع 4/ 10/ 2025م.</w:t>
      </w:r>
    </w:p>
    <w:p w14:paraId="33389096"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ابن عبد السلام، عبد العزيز بن عبد السلام، (1991)، </w:t>
      </w:r>
      <w:r w:rsidRPr="00706B94">
        <w:rPr>
          <w:rFonts w:ascii="Arabic Transparent" w:eastAsia="Calibri" w:hAnsi="Arabic Transparent" w:cs="Arabic Transparent"/>
          <w:b/>
          <w:bCs/>
          <w:sz w:val="26"/>
          <w:szCs w:val="26"/>
          <w:rtl/>
        </w:rPr>
        <w:t>قواعد الأحكام في مصالح الأنام</w:t>
      </w:r>
      <w:r w:rsidRPr="00706B94">
        <w:rPr>
          <w:rFonts w:ascii="Arabic Transparent" w:eastAsia="Calibri" w:hAnsi="Arabic Transparent" w:cs="Arabic Transparent"/>
          <w:sz w:val="26"/>
          <w:szCs w:val="26"/>
          <w:rtl/>
        </w:rPr>
        <w:t xml:space="preserve"> (مراجعة وتعليق طه عبد الرؤوف سعد) ط1، مكتبة الكليات الأزهرية - القاهرة.</w:t>
      </w:r>
    </w:p>
    <w:p w14:paraId="1C0F9B7E"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ابن عبد السلام، عز الدين، عبد العزيز السلمي(2016)، </w:t>
      </w:r>
      <w:r w:rsidRPr="00706B94">
        <w:rPr>
          <w:rFonts w:ascii="Arabic Transparent" w:eastAsia="Calibri" w:hAnsi="Arabic Transparent" w:cs="Arabic Transparent"/>
          <w:b/>
          <w:bCs/>
          <w:sz w:val="26"/>
          <w:szCs w:val="26"/>
          <w:rtl/>
        </w:rPr>
        <w:t>الغاية في اختصار النهاية</w:t>
      </w:r>
      <w:r w:rsidRPr="00706B94">
        <w:rPr>
          <w:rFonts w:ascii="Arabic Transparent" w:eastAsia="Calibri" w:hAnsi="Arabic Transparent" w:cs="Arabic Transparent"/>
          <w:sz w:val="26"/>
          <w:szCs w:val="26"/>
          <w:rtl/>
        </w:rPr>
        <w:t xml:space="preserve"> (تحقيق إياد خالد الطباع)، ط1، دار النوادر، بيروت – لبنان.</w:t>
      </w:r>
    </w:p>
    <w:p w14:paraId="1DCCF1D0"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tl/>
        </w:rPr>
      </w:pPr>
      <w:r w:rsidRPr="00706B94">
        <w:rPr>
          <w:rFonts w:ascii="Arabic Transparent" w:eastAsia="Calibri" w:hAnsi="Arabic Transparent" w:cs="Arabic Transparent"/>
          <w:sz w:val="26"/>
          <w:szCs w:val="26"/>
          <w:rtl/>
        </w:rPr>
        <w:t xml:space="preserve">عبد الصمد عبد الناصر (2024). </w:t>
      </w:r>
      <w:r w:rsidRPr="00706B94">
        <w:rPr>
          <w:rFonts w:ascii="Arabic Transparent" w:eastAsia="Calibri" w:hAnsi="Arabic Transparent" w:cs="Arabic Transparent"/>
          <w:b/>
          <w:bCs/>
          <w:sz w:val="26"/>
          <w:szCs w:val="26"/>
          <w:rtl/>
        </w:rPr>
        <w:t>مسوغات نظرية الباعث على العقود في الشريعة الإسلامية في البيئة الرقمية</w:t>
      </w:r>
      <w:r w:rsidRPr="00706B94">
        <w:rPr>
          <w:rFonts w:ascii="Arabic Transparent" w:eastAsia="Calibri" w:hAnsi="Arabic Transparent" w:cs="Arabic Transparent"/>
          <w:sz w:val="26"/>
          <w:szCs w:val="26"/>
          <w:rtl/>
        </w:rPr>
        <w:t xml:space="preserve">، مجلة البيان للدراسات القانونية والسياسية، المجلد 9، العدد 1،جامعة أبو بكر بلقايد، تلمسان، الجزائر. </w:t>
      </w:r>
    </w:p>
    <w:p w14:paraId="5A658583"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عبد المنعم، محمود عبد الرحمن، (1999)، </w:t>
      </w:r>
      <w:r w:rsidRPr="00706B94">
        <w:rPr>
          <w:rFonts w:ascii="Arabic Transparent" w:eastAsia="Calibri" w:hAnsi="Arabic Transparent" w:cs="Arabic Transparent"/>
          <w:b/>
          <w:bCs/>
          <w:sz w:val="26"/>
          <w:szCs w:val="26"/>
          <w:rtl/>
        </w:rPr>
        <w:t>معجم المصطلحات والألفاظ الفقهية</w:t>
      </w:r>
      <w:r w:rsidRPr="00706B94">
        <w:rPr>
          <w:rFonts w:ascii="Arabic Transparent" w:eastAsia="Calibri" w:hAnsi="Arabic Transparent" w:cs="Arabic Transparent"/>
          <w:sz w:val="26"/>
          <w:szCs w:val="26"/>
          <w:rtl/>
        </w:rPr>
        <w:t>، ط1، دار الفضيلة – القاهرة.</w:t>
      </w:r>
    </w:p>
    <w:p w14:paraId="03BFE156"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العتيبي، عوض عبد العزيز محمد (2017م). </w:t>
      </w:r>
      <w:r w:rsidRPr="00706B94">
        <w:rPr>
          <w:rFonts w:ascii="Arabic Transparent" w:eastAsia="Calibri" w:hAnsi="Arabic Transparent" w:cs="Arabic Transparent"/>
          <w:b/>
          <w:bCs/>
          <w:sz w:val="26"/>
          <w:szCs w:val="26"/>
          <w:rtl/>
        </w:rPr>
        <w:t>التفاوت وأثره في المعاملات المالية</w:t>
      </w:r>
      <w:r w:rsidRPr="00706B94">
        <w:rPr>
          <w:rFonts w:ascii="Arabic Transparent" w:eastAsia="Calibri" w:hAnsi="Arabic Transparent" w:cs="Arabic Transparent"/>
          <w:sz w:val="26"/>
          <w:szCs w:val="26"/>
          <w:rtl/>
        </w:rPr>
        <w:t xml:space="preserve"> (رسالة دكتوراه غير منشورة). كلية الدراسات العليا، الجامعة الأردنية، عمّان، الأردن.</w:t>
      </w:r>
    </w:p>
    <w:p w14:paraId="7334658C"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العثماني، محمد تقي بن محمد شفيع (2003م). </w:t>
      </w:r>
      <w:r w:rsidRPr="00706B94">
        <w:rPr>
          <w:rFonts w:ascii="Arabic Transparent" w:eastAsia="Calibri" w:hAnsi="Arabic Transparent" w:cs="Arabic Transparent"/>
          <w:b/>
          <w:bCs/>
          <w:sz w:val="26"/>
          <w:szCs w:val="26"/>
          <w:rtl/>
        </w:rPr>
        <w:t>بحوث في قضايا فقهية معاصرة</w:t>
      </w:r>
      <w:r w:rsidRPr="00706B94">
        <w:rPr>
          <w:rFonts w:ascii="Arabic Transparent" w:eastAsia="Calibri" w:hAnsi="Arabic Transparent" w:cs="Arabic Transparent"/>
          <w:sz w:val="26"/>
          <w:szCs w:val="26"/>
          <w:rtl/>
        </w:rPr>
        <w:t>، ط2، دار القلم، دمشق.</w:t>
      </w:r>
    </w:p>
    <w:p w14:paraId="3C28ACBD"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العجلوني، أحمد طه (2014م). </w:t>
      </w:r>
      <w:r w:rsidRPr="00706B94">
        <w:rPr>
          <w:rFonts w:ascii="Arabic Transparent" w:eastAsia="Calibri" w:hAnsi="Arabic Transparent" w:cs="Arabic Transparent"/>
          <w:b/>
          <w:bCs/>
          <w:sz w:val="26"/>
          <w:szCs w:val="26"/>
          <w:rtl/>
        </w:rPr>
        <w:t>نظرية التمويل الإسلامي وأدواته</w:t>
      </w:r>
      <w:r w:rsidRPr="00706B94">
        <w:rPr>
          <w:rFonts w:ascii="Arabic Transparent" w:eastAsia="Calibri" w:hAnsi="Arabic Transparent" w:cs="Arabic Transparent"/>
          <w:sz w:val="26"/>
          <w:szCs w:val="26"/>
          <w:rtl/>
        </w:rPr>
        <w:t>، ط1، جامعة القصيم، السعودية.</w:t>
      </w:r>
    </w:p>
    <w:p w14:paraId="7F779251"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العجمي، محمد بليه حمد، (2020م)، </w:t>
      </w:r>
      <w:r w:rsidRPr="00706B94">
        <w:rPr>
          <w:rFonts w:ascii="Arabic Transparent" w:eastAsia="Calibri" w:hAnsi="Arabic Transparent" w:cs="Arabic Transparent"/>
          <w:b/>
          <w:bCs/>
          <w:sz w:val="26"/>
          <w:szCs w:val="26"/>
          <w:rtl/>
        </w:rPr>
        <w:t>الشرط الجزائي في الفقه الإسلامي</w:t>
      </w:r>
      <w:r w:rsidRPr="00706B94">
        <w:rPr>
          <w:rFonts w:ascii="Arabic Transparent" w:eastAsia="Calibri" w:hAnsi="Arabic Transparent" w:cs="Arabic Transparent"/>
          <w:sz w:val="26"/>
          <w:szCs w:val="26"/>
          <w:rtl/>
        </w:rPr>
        <w:t>، م36، ع4، مجلة كلية الدراسات الإسلامية والعربية للبنات بالإسكندرية، مصر.</w:t>
      </w:r>
    </w:p>
    <w:p w14:paraId="29352E74"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العراقي، ولي الدين أبو زرعة أحمد بن عبد الرحيم (2011). </w:t>
      </w:r>
      <w:r w:rsidRPr="00706B94">
        <w:rPr>
          <w:rFonts w:ascii="Arabic Transparent" w:eastAsia="Calibri" w:hAnsi="Arabic Transparent" w:cs="Arabic Transparent"/>
          <w:b/>
          <w:bCs/>
          <w:sz w:val="26"/>
          <w:szCs w:val="26"/>
          <w:rtl/>
        </w:rPr>
        <w:t>تحرير الفتاوى على التنبيه والمنهاج والحاوي</w:t>
      </w:r>
      <w:r w:rsidRPr="00706B94">
        <w:rPr>
          <w:rFonts w:ascii="Arabic Transparent" w:eastAsia="Calibri" w:hAnsi="Arabic Transparent" w:cs="Arabic Transparent"/>
          <w:sz w:val="26"/>
          <w:szCs w:val="26"/>
          <w:rtl/>
        </w:rPr>
        <w:t>، تحقيق: عبد الرحمن فهمي محمد الزواوي، ط1، دار المنهاج، جدة.</w:t>
      </w:r>
    </w:p>
    <w:p w14:paraId="7843E9E2"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ابن عربشاه، أحمد بن محمد، (2001)، </w:t>
      </w:r>
      <w:r w:rsidRPr="00706B94">
        <w:rPr>
          <w:rFonts w:ascii="Arabic Transparent" w:eastAsia="Calibri" w:hAnsi="Arabic Transparent" w:cs="Arabic Transparent"/>
          <w:b/>
          <w:bCs/>
          <w:sz w:val="26"/>
          <w:szCs w:val="26"/>
          <w:rtl/>
        </w:rPr>
        <w:t>فاكهة الخلفاء ومفاكهة الظرفاء</w:t>
      </w:r>
      <w:r w:rsidRPr="00706B94">
        <w:rPr>
          <w:rFonts w:ascii="Arabic Transparent" w:eastAsia="Calibri" w:hAnsi="Arabic Transparent" w:cs="Arabic Transparent"/>
          <w:sz w:val="26"/>
          <w:szCs w:val="26"/>
          <w:rtl/>
        </w:rPr>
        <w:t xml:space="preserve"> (تحقيق وتعليق أيمن عبد الجابر البحيري)، ط1، دار الآفاق العربية - مصر.</w:t>
      </w:r>
    </w:p>
    <w:p w14:paraId="607089D2"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tl/>
        </w:rPr>
      </w:pPr>
      <w:r w:rsidRPr="00706B94">
        <w:rPr>
          <w:rFonts w:ascii="Arabic Transparent" w:eastAsia="Calibri" w:hAnsi="Arabic Transparent" w:cs="Arabic Transparent"/>
          <w:sz w:val="26"/>
          <w:szCs w:val="26"/>
          <w:rtl/>
        </w:rPr>
        <w:t xml:space="preserve">ابن العربي، محمد بن عبد الله أبو بكر المعافري الإشبيلي المالكي (2003). </w:t>
      </w:r>
      <w:r w:rsidRPr="00706B94">
        <w:rPr>
          <w:rFonts w:ascii="Arabic Transparent" w:eastAsia="Calibri" w:hAnsi="Arabic Transparent" w:cs="Arabic Transparent"/>
          <w:b/>
          <w:bCs/>
          <w:sz w:val="26"/>
          <w:szCs w:val="26"/>
          <w:rtl/>
        </w:rPr>
        <w:t>أحكام القرآن</w:t>
      </w:r>
      <w:r w:rsidRPr="00706B94">
        <w:rPr>
          <w:rFonts w:ascii="Arabic Transparent" w:eastAsia="Calibri" w:hAnsi="Arabic Transparent" w:cs="Arabic Transparent"/>
          <w:sz w:val="26"/>
          <w:szCs w:val="26"/>
          <w:rtl/>
        </w:rPr>
        <w:t>، تحقيق: محمد عبد القادر عطا، ط3، دار الكتب العلمية، بيروت.</w:t>
      </w:r>
    </w:p>
    <w:p w14:paraId="58642DE8"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ابن العربي، القاضي محمد بن عبد الله أبو بكر (1999). </w:t>
      </w:r>
      <w:r w:rsidRPr="00706B94">
        <w:rPr>
          <w:rFonts w:ascii="Arabic Transparent" w:eastAsia="Calibri" w:hAnsi="Arabic Transparent" w:cs="Arabic Transparent"/>
          <w:b/>
          <w:bCs/>
          <w:sz w:val="26"/>
          <w:szCs w:val="26"/>
          <w:rtl/>
        </w:rPr>
        <w:t>المحصول في أصول الفقه</w:t>
      </w:r>
      <w:r w:rsidRPr="00706B94">
        <w:rPr>
          <w:rFonts w:ascii="Arabic Transparent" w:eastAsia="Calibri" w:hAnsi="Arabic Transparent" w:cs="Arabic Transparent"/>
          <w:sz w:val="26"/>
          <w:szCs w:val="26"/>
          <w:rtl/>
        </w:rPr>
        <w:t>، تحقيق حسين علي اليدري – سعيد فودة. ط1. دار البيارق، عمان.</w:t>
      </w:r>
    </w:p>
    <w:p w14:paraId="1641F759"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العسكري، أبو هلال (1991مـ). </w:t>
      </w:r>
      <w:r w:rsidRPr="00706B94">
        <w:rPr>
          <w:rFonts w:ascii="Arabic Transparent" w:eastAsia="Calibri" w:hAnsi="Arabic Transparent" w:cs="Arabic Transparent"/>
          <w:b/>
          <w:bCs/>
          <w:sz w:val="26"/>
          <w:szCs w:val="26"/>
          <w:rtl/>
        </w:rPr>
        <w:t>معجم الفروق اللغوية: الحاوي لكتاب أبي هلال العسكري وجزءًا من «فروق اللغات» لنور الدين بن نعمة الله الجزائري</w:t>
      </w:r>
      <w:r w:rsidRPr="00706B94">
        <w:rPr>
          <w:rFonts w:ascii="Arabic Transparent" w:eastAsia="Calibri" w:hAnsi="Arabic Transparent" w:cs="Arabic Transparent"/>
          <w:sz w:val="26"/>
          <w:szCs w:val="26"/>
          <w:rtl/>
        </w:rPr>
        <w:t xml:space="preserve"> (ترتيب وتبويب: الشيخ بيت الله بيات). ط1، مؤسسة النشر الإسلامي التابعة لجماعة المدرسين، ايران.</w:t>
      </w:r>
    </w:p>
    <w:p w14:paraId="7BBAD18B"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العطاوي، فتحي (2021م). </w:t>
      </w:r>
      <w:r w:rsidRPr="00706B94">
        <w:rPr>
          <w:rFonts w:ascii="Arabic Transparent" w:eastAsia="Calibri" w:hAnsi="Arabic Transparent" w:cs="Arabic Transparent"/>
          <w:b/>
          <w:bCs/>
          <w:sz w:val="26"/>
          <w:szCs w:val="26"/>
          <w:rtl/>
        </w:rPr>
        <w:t>التكييف الفقهي لقضايا المعاملات المالية المعاصرة: ما هيته، وأهميته، ومقوماته، ومتطلباته</w:t>
      </w:r>
      <w:r w:rsidRPr="00706B94">
        <w:rPr>
          <w:rFonts w:ascii="Arabic Transparent" w:eastAsia="Calibri" w:hAnsi="Arabic Transparent" w:cs="Arabic Transparent"/>
          <w:sz w:val="26"/>
          <w:szCs w:val="26"/>
          <w:rtl/>
        </w:rPr>
        <w:t>، مجلة الاجتهاد للدراسات القانونية والاقتصادية، المجلد 1، العدد 10.</w:t>
      </w:r>
    </w:p>
    <w:p w14:paraId="4905B4E3"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tl/>
        </w:rPr>
      </w:pPr>
      <w:r w:rsidRPr="00706B94">
        <w:rPr>
          <w:rFonts w:ascii="Arabic Transparent" w:eastAsia="Calibri" w:hAnsi="Arabic Transparent" w:cs="Arabic Transparent"/>
          <w:sz w:val="26"/>
          <w:szCs w:val="26"/>
          <w:rtl/>
        </w:rPr>
        <w:lastRenderedPageBreak/>
        <w:t xml:space="preserve">ابن عقيل، علي بن محمد، أبو الوفاء، (1999)، </w:t>
      </w:r>
      <w:r w:rsidRPr="00706B94">
        <w:rPr>
          <w:rFonts w:ascii="Arabic Transparent" w:eastAsia="Calibri" w:hAnsi="Arabic Transparent" w:cs="Arabic Transparent"/>
          <w:b/>
          <w:bCs/>
          <w:sz w:val="26"/>
          <w:szCs w:val="26"/>
          <w:rtl/>
        </w:rPr>
        <w:t>الواضح في أصول الفقه</w:t>
      </w:r>
      <w:r w:rsidRPr="00706B94">
        <w:rPr>
          <w:rFonts w:ascii="Arabic Transparent" w:eastAsia="Calibri" w:hAnsi="Arabic Transparent" w:cs="Arabic Transparent"/>
          <w:sz w:val="26"/>
          <w:szCs w:val="26"/>
          <w:rtl/>
        </w:rPr>
        <w:t xml:space="preserve"> (تحقيق عبد الله بن عبد المحسن التركي)، ط1، مؤسسة الرسالة، بيروت.</w:t>
      </w:r>
    </w:p>
    <w:p w14:paraId="7AF937D0"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العكبري، الحسن بن شهاب، (1992)، </w:t>
      </w:r>
      <w:r w:rsidRPr="00706B94">
        <w:rPr>
          <w:rFonts w:ascii="Arabic Transparent" w:eastAsia="Calibri" w:hAnsi="Arabic Transparent" w:cs="Arabic Transparent"/>
          <w:b/>
          <w:bCs/>
          <w:sz w:val="26"/>
          <w:szCs w:val="26"/>
          <w:rtl/>
        </w:rPr>
        <w:t>رسالة في أصول الفقه</w:t>
      </w:r>
      <w:r w:rsidRPr="00706B94">
        <w:rPr>
          <w:rFonts w:ascii="Arabic Transparent" w:eastAsia="Calibri" w:hAnsi="Arabic Transparent" w:cs="Arabic Transparent"/>
          <w:sz w:val="26"/>
          <w:szCs w:val="26"/>
          <w:rtl/>
        </w:rPr>
        <w:t xml:space="preserve"> (تحقيق موفق بن عبد الله بن عبد القادر) ط1، المكتبة المكية - مكة المكرمة.</w:t>
      </w:r>
    </w:p>
    <w:p w14:paraId="45DF0E1D"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tl/>
        </w:rPr>
      </w:pPr>
      <w:r w:rsidRPr="00706B94">
        <w:rPr>
          <w:rFonts w:ascii="Arabic Transparent" w:eastAsia="Calibri" w:hAnsi="Arabic Transparent" w:cs="Arabic Transparent"/>
          <w:sz w:val="26"/>
          <w:szCs w:val="26"/>
          <w:rtl/>
        </w:rPr>
        <w:t xml:space="preserve">العلائي، صلاح الدين خليل بن كيكلدي (2004م). </w:t>
      </w:r>
      <w:r w:rsidRPr="00706B94">
        <w:rPr>
          <w:rFonts w:ascii="Arabic Transparent" w:eastAsia="Calibri" w:hAnsi="Arabic Transparent" w:cs="Arabic Transparent"/>
          <w:b/>
          <w:bCs/>
          <w:sz w:val="26"/>
          <w:szCs w:val="26"/>
          <w:rtl/>
        </w:rPr>
        <w:t>المجموع المذهب في قواعد المذهب،</w:t>
      </w:r>
      <w:r w:rsidRPr="00706B94">
        <w:rPr>
          <w:rFonts w:ascii="Arabic Transparent" w:eastAsia="Calibri" w:hAnsi="Arabic Transparent" w:cs="Arabic Transparent"/>
          <w:sz w:val="26"/>
          <w:szCs w:val="26"/>
          <w:rtl/>
        </w:rPr>
        <w:t xml:space="preserve"> تحقيق: مجيد علي العبيدي وأحمد خضير عباس، ط1، وزارة الأوقاف والشؤون الإسلامية، الكويت .</w:t>
      </w:r>
    </w:p>
    <w:p w14:paraId="192D4993"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علام، شوقي إبراهيم،(2018)، </w:t>
      </w:r>
      <w:r w:rsidRPr="00706B94">
        <w:rPr>
          <w:rFonts w:ascii="Arabic Transparent" w:eastAsia="Calibri" w:hAnsi="Arabic Transparent" w:cs="Arabic Transparent"/>
          <w:b/>
          <w:bCs/>
          <w:sz w:val="26"/>
          <w:szCs w:val="26"/>
          <w:rtl/>
        </w:rPr>
        <w:t>حكم تمويل سداد المصروفات المدرسية</w:t>
      </w:r>
      <w:r w:rsidRPr="00706B94">
        <w:rPr>
          <w:rFonts w:ascii="Arabic Transparent" w:eastAsia="Calibri" w:hAnsi="Arabic Transparent" w:cs="Arabic Transparent"/>
          <w:sz w:val="26"/>
          <w:szCs w:val="26"/>
          <w:rtl/>
        </w:rPr>
        <w:t xml:space="preserve">، فتوى رقم (4572)، دار الإفتاء المصرية، القاهرة، متاح على الرابط: </w:t>
      </w:r>
      <w:r w:rsidRPr="00706B94">
        <w:rPr>
          <w:rFonts w:ascii="Arabic Transparent" w:eastAsia="Calibri" w:hAnsi="Arabic Transparent" w:cs="Arabic Transparent"/>
          <w:sz w:val="26"/>
          <w:szCs w:val="26"/>
        </w:rPr>
        <w:t>https://www.dar-alifta.org/ar/fatwa/details/14693</w:t>
      </w:r>
      <w:r w:rsidRPr="00706B94">
        <w:rPr>
          <w:rFonts w:ascii="Arabic Transparent" w:eastAsia="Calibri" w:hAnsi="Arabic Transparent" w:cs="Arabic Transparent"/>
          <w:sz w:val="26"/>
          <w:szCs w:val="26"/>
          <w:rtl/>
        </w:rPr>
        <w:t>، تاريخ الاطلاع: 12/4/2026م.</w:t>
      </w:r>
    </w:p>
    <w:p w14:paraId="796C5A79"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tl/>
        </w:rPr>
      </w:pPr>
      <w:r w:rsidRPr="00706B94">
        <w:rPr>
          <w:rFonts w:ascii="Arabic Transparent" w:eastAsia="Calibri" w:hAnsi="Arabic Transparent" w:cs="Arabic Transparent"/>
          <w:sz w:val="26"/>
          <w:szCs w:val="26"/>
          <w:rtl/>
        </w:rPr>
        <w:t xml:space="preserve">بوعلام، عبد العالي (2021). </w:t>
      </w:r>
      <w:r w:rsidRPr="00706B94">
        <w:rPr>
          <w:rFonts w:ascii="Arabic Transparent" w:eastAsia="Calibri" w:hAnsi="Arabic Transparent" w:cs="Arabic Transparent"/>
          <w:b/>
          <w:bCs/>
          <w:sz w:val="26"/>
          <w:szCs w:val="26"/>
          <w:rtl/>
        </w:rPr>
        <w:t>منهج العلماء في الاجتهاد في النوازل الفقهية: المفهوم والضوابط</w:t>
      </w:r>
      <w:r w:rsidRPr="00706B94">
        <w:rPr>
          <w:rFonts w:ascii="Arabic Transparent" w:eastAsia="Calibri" w:hAnsi="Arabic Transparent" w:cs="Arabic Transparent"/>
          <w:sz w:val="26"/>
          <w:szCs w:val="26"/>
          <w:rtl/>
        </w:rPr>
        <w:t>، مجلة آفاق علمية، مج 13، ع 4، ص 593–611.</w:t>
      </w:r>
    </w:p>
    <w:p w14:paraId="4CD7DE80"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العلواني، طه جابر فياض، (1987)، </w:t>
      </w:r>
      <w:r w:rsidRPr="00706B94">
        <w:rPr>
          <w:rFonts w:ascii="Arabic Transparent" w:eastAsia="Calibri" w:hAnsi="Arabic Transparent" w:cs="Arabic Transparent"/>
          <w:b/>
          <w:bCs/>
          <w:sz w:val="26"/>
          <w:szCs w:val="26"/>
          <w:rtl/>
        </w:rPr>
        <w:t>أدب الاختلاف في الإسلام</w:t>
      </w:r>
      <w:r w:rsidRPr="00706B94">
        <w:rPr>
          <w:rFonts w:ascii="Arabic Transparent" w:eastAsia="Calibri" w:hAnsi="Arabic Transparent" w:cs="Arabic Transparent"/>
          <w:sz w:val="26"/>
          <w:szCs w:val="26"/>
          <w:rtl/>
        </w:rPr>
        <w:t>، المعهد العالمي للفكر الإسلامي، فيرجينيا – الولايات المتحدة الأمريكية.</w:t>
      </w:r>
    </w:p>
    <w:p w14:paraId="107FA8CC"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علي، منير عبد الماجد محمد (2020). </w:t>
      </w:r>
      <w:r w:rsidRPr="00706B94">
        <w:rPr>
          <w:rFonts w:ascii="Arabic Transparent" w:eastAsia="Calibri" w:hAnsi="Arabic Transparent" w:cs="Arabic Transparent"/>
          <w:b/>
          <w:bCs/>
          <w:sz w:val="26"/>
          <w:szCs w:val="26"/>
          <w:rtl/>
        </w:rPr>
        <w:t>أوجه الجمع بين النصوص الشرعية المتعارضة ظاهراً عند الأصوليين وتطبيقاتها</w:t>
      </w:r>
      <w:r w:rsidRPr="00706B94">
        <w:rPr>
          <w:rFonts w:ascii="Arabic Transparent" w:eastAsia="Calibri" w:hAnsi="Arabic Transparent" w:cs="Arabic Transparent"/>
          <w:sz w:val="26"/>
          <w:szCs w:val="26"/>
          <w:rtl/>
        </w:rPr>
        <w:t>. مجلة كلية الدراسات الإسلامية والعربية للبنات بالإسكندرية، 36(7)، 411–451</w:t>
      </w:r>
    </w:p>
    <w:p w14:paraId="0C7B5ADA"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عمر، أحمد مختار عبد الحميد، (2008)، </w:t>
      </w:r>
      <w:r w:rsidRPr="00706B94">
        <w:rPr>
          <w:rFonts w:ascii="Arabic Transparent" w:eastAsia="Calibri" w:hAnsi="Arabic Transparent" w:cs="Arabic Transparent"/>
          <w:b/>
          <w:bCs/>
          <w:sz w:val="26"/>
          <w:szCs w:val="26"/>
          <w:rtl/>
        </w:rPr>
        <w:t>معجم اللغة العربية المعاصرة</w:t>
      </w:r>
      <w:r w:rsidRPr="00706B94">
        <w:rPr>
          <w:rFonts w:ascii="Arabic Transparent" w:eastAsia="Calibri" w:hAnsi="Arabic Transparent" w:cs="Arabic Transparent"/>
          <w:sz w:val="26"/>
          <w:szCs w:val="26"/>
          <w:rtl/>
        </w:rPr>
        <w:t>، ط1، عالم الكتب – القاهرة.</w:t>
      </w:r>
    </w:p>
    <w:p w14:paraId="73590E45"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العمرو، حسن عبد الرحمن، ومحمد القيسي (2019)، </w:t>
      </w:r>
      <w:r w:rsidRPr="00706B94">
        <w:rPr>
          <w:rFonts w:ascii="Arabic Transparent" w:eastAsia="Calibri" w:hAnsi="Arabic Transparent" w:cs="Arabic Transparent"/>
          <w:b/>
          <w:bCs/>
          <w:sz w:val="26"/>
          <w:szCs w:val="26"/>
          <w:rtl/>
        </w:rPr>
        <w:t>تحليل العلاقة بين التضخم والنمو الاقتصادي في الأردن</w:t>
      </w:r>
      <w:r w:rsidRPr="00706B94">
        <w:rPr>
          <w:rFonts w:ascii="Arabic Transparent" w:eastAsia="Calibri" w:hAnsi="Arabic Transparent" w:cs="Arabic Transparent"/>
          <w:sz w:val="26"/>
          <w:szCs w:val="26"/>
          <w:rtl/>
        </w:rPr>
        <w:t>، دراسات، المجلد 20، العدد 4.</w:t>
      </w:r>
    </w:p>
    <w:p w14:paraId="3A856C4C"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العنزي، عادل خالد عبد الكريم. (2021). </w:t>
      </w:r>
      <w:r w:rsidRPr="00706B94">
        <w:rPr>
          <w:rFonts w:ascii="Arabic Transparent" w:eastAsia="Calibri" w:hAnsi="Arabic Transparent" w:cs="Arabic Transparent"/>
          <w:b/>
          <w:bCs/>
          <w:sz w:val="26"/>
          <w:szCs w:val="26"/>
          <w:rtl/>
        </w:rPr>
        <w:t>حكم بيع الدروب شيبنج في الفقه الإسلامي</w:t>
      </w:r>
      <w:r w:rsidRPr="00706B94">
        <w:rPr>
          <w:rFonts w:ascii="Arabic Transparent" w:eastAsia="Calibri" w:hAnsi="Arabic Transparent" w:cs="Arabic Transparent"/>
          <w:sz w:val="26"/>
          <w:szCs w:val="26"/>
          <w:rtl/>
        </w:rPr>
        <w:t xml:space="preserve">. المجلد 43، العدد 1. مجلة الدراسات العربية. كلية دار العلوم، جامعة المنيا، مصر. </w:t>
      </w:r>
    </w:p>
    <w:p w14:paraId="2B986392"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العنزي، مرضي بن مشوح. (2015</w:t>
      </w:r>
      <w:r w:rsidRPr="00706B94">
        <w:rPr>
          <w:rFonts w:ascii="Arabic Transparent" w:eastAsia="Calibri" w:hAnsi="Arabic Transparent" w:cs="Arabic Transparent"/>
          <w:b/>
          <w:bCs/>
          <w:sz w:val="26"/>
          <w:szCs w:val="26"/>
          <w:rtl/>
        </w:rPr>
        <w:t>). فقه الهندسة المالية الإسلامية: دراسة تأصيلية تطبيقية</w:t>
      </w:r>
      <w:r w:rsidRPr="00706B94">
        <w:rPr>
          <w:rFonts w:ascii="Arabic Transparent" w:eastAsia="Calibri" w:hAnsi="Arabic Transparent" w:cs="Arabic Transparent"/>
          <w:sz w:val="26"/>
          <w:szCs w:val="26"/>
          <w:rtl/>
        </w:rPr>
        <w:t xml:space="preserve">، ط1. الرياض: دار كنوز إشبيليا للنشر والتوزيع. </w:t>
      </w:r>
    </w:p>
    <w:p w14:paraId="1030A837"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عياض، عياض بن موسى اليحصبي السبتي (1998م). </w:t>
      </w:r>
      <w:r w:rsidRPr="00706B94">
        <w:rPr>
          <w:rFonts w:ascii="Arabic Transparent" w:eastAsia="Calibri" w:hAnsi="Arabic Transparent" w:cs="Arabic Transparent"/>
          <w:b/>
          <w:bCs/>
          <w:sz w:val="26"/>
          <w:szCs w:val="26"/>
          <w:rtl/>
        </w:rPr>
        <w:t>إكمال المعلم بفوائد مسلم</w:t>
      </w:r>
      <w:r w:rsidRPr="00706B94">
        <w:rPr>
          <w:rFonts w:ascii="Arabic Transparent" w:eastAsia="Calibri" w:hAnsi="Arabic Transparent" w:cs="Arabic Transparent"/>
          <w:sz w:val="26"/>
          <w:szCs w:val="26"/>
          <w:rtl/>
        </w:rPr>
        <w:t xml:space="preserve"> (تحقيق: يحيى إسماعيل). ط1، دار الوفاء للطباعة والنشر والتوزيع، مصر.</w:t>
      </w:r>
    </w:p>
    <w:p w14:paraId="35B20718"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العيد، يوس، وحياهم، توفيق،(2019) أطروحة ماجستير في العلوم الشرعية، بعنوان: </w:t>
      </w:r>
      <w:r w:rsidRPr="00706B94">
        <w:rPr>
          <w:rFonts w:ascii="Arabic Transparent" w:eastAsia="Calibri" w:hAnsi="Arabic Transparent" w:cs="Arabic Transparent"/>
          <w:b/>
          <w:bCs/>
          <w:sz w:val="26"/>
          <w:szCs w:val="26"/>
          <w:rtl/>
        </w:rPr>
        <w:t>تحقيق المناط وتطبيقاته على نماذج من القضايا المعاصرة</w:t>
      </w:r>
      <w:r w:rsidRPr="00706B94">
        <w:rPr>
          <w:rFonts w:ascii="Arabic Transparent" w:eastAsia="Calibri" w:hAnsi="Arabic Transparent" w:cs="Arabic Transparent"/>
          <w:sz w:val="26"/>
          <w:szCs w:val="26"/>
          <w:rtl/>
        </w:rPr>
        <w:t>، جامعة آكلي محند، قسم الشريعة، الجزائر.</w:t>
      </w:r>
    </w:p>
    <w:p w14:paraId="09C6F7A4"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tl/>
          <w:lang w:bidi="ar-JO"/>
        </w:rPr>
      </w:pPr>
      <w:r w:rsidRPr="00706B94">
        <w:rPr>
          <w:rFonts w:ascii="Arabic Transparent" w:eastAsia="Calibri" w:hAnsi="Arabic Transparent" w:cs="Arabic Transparent"/>
          <w:sz w:val="26"/>
          <w:szCs w:val="26"/>
          <w:rtl/>
        </w:rPr>
        <w:t xml:space="preserve">العيني، محمود بن أحمد بن موسى، بدر الدين (2000). </w:t>
      </w:r>
      <w:r w:rsidRPr="00706B94">
        <w:rPr>
          <w:rFonts w:ascii="Arabic Transparent" w:eastAsia="Calibri" w:hAnsi="Arabic Transparent" w:cs="Arabic Transparent"/>
          <w:b/>
          <w:bCs/>
          <w:sz w:val="26"/>
          <w:szCs w:val="26"/>
          <w:rtl/>
        </w:rPr>
        <w:t>البناية شرح الهداية</w:t>
      </w:r>
      <w:r w:rsidRPr="00706B94">
        <w:rPr>
          <w:rFonts w:ascii="Arabic Transparent" w:eastAsia="Calibri" w:hAnsi="Arabic Transparent" w:cs="Arabic Transparent"/>
          <w:sz w:val="26"/>
          <w:szCs w:val="26"/>
          <w:rtl/>
        </w:rPr>
        <w:t xml:space="preserve"> (تحقيق أيمن صالح شعبان)، ط1، دار الكتب العلمية، بيروت – لبنان</w:t>
      </w:r>
      <w:r w:rsidRPr="00706B94">
        <w:rPr>
          <w:rFonts w:ascii="Arabic Transparent" w:eastAsia="Calibri" w:hAnsi="Arabic Transparent" w:cs="Arabic Transparent"/>
          <w:sz w:val="26"/>
          <w:szCs w:val="26"/>
          <w:rtl/>
          <w:lang w:bidi="ar-JO"/>
        </w:rPr>
        <w:t>.</w:t>
      </w:r>
    </w:p>
    <w:p w14:paraId="311712D7"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tl/>
          <w:lang w:bidi="ar-JO"/>
        </w:rPr>
      </w:pPr>
      <w:r w:rsidRPr="00706B94">
        <w:rPr>
          <w:rFonts w:ascii="Arabic Transparent" w:eastAsia="Calibri" w:hAnsi="Arabic Transparent" w:cs="Arabic Transparent"/>
          <w:sz w:val="26"/>
          <w:szCs w:val="26"/>
          <w:rtl/>
        </w:rPr>
        <w:t xml:space="preserve">العيني، محمود بن أحمد بن موسى بدر الدين (د.ت). </w:t>
      </w:r>
      <w:r w:rsidRPr="00706B94">
        <w:rPr>
          <w:rFonts w:ascii="Arabic Transparent" w:eastAsia="Calibri" w:hAnsi="Arabic Transparent" w:cs="Arabic Transparent"/>
          <w:b/>
          <w:bCs/>
          <w:sz w:val="26"/>
          <w:szCs w:val="26"/>
          <w:rtl/>
        </w:rPr>
        <w:t>عمدة القاري شرح صحيح البخاري</w:t>
      </w:r>
      <w:r w:rsidRPr="00706B94">
        <w:rPr>
          <w:rFonts w:ascii="Arabic Transparent" w:eastAsia="Calibri" w:hAnsi="Arabic Transparent" w:cs="Arabic Transparent"/>
          <w:sz w:val="26"/>
          <w:szCs w:val="26"/>
          <w:rtl/>
        </w:rPr>
        <w:t>. طبع بإدارة الطباعة المنيرية، ثم صورته دار إحياء التراث العربي، ودار الفكر، بيروت.</w:t>
      </w:r>
    </w:p>
    <w:p w14:paraId="5D3A87CA"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tl/>
        </w:rPr>
      </w:pPr>
      <w:r w:rsidRPr="00706B94">
        <w:rPr>
          <w:rFonts w:ascii="Arabic Transparent" w:eastAsia="Calibri" w:hAnsi="Arabic Transparent" w:cs="Arabic Transparent"/>
          <w:sz w:val="26"/>
          <w:szCs w:val="26"/>
          <w:rtl/>
        </w:rPr>
        <w:t xml:space="preserve">أبو غدة، عبد الستار، وخوجة، عز الدين (1997م). </w:t>
      </w:r>
      <w:r w:rsidRPr="00706B94">
        <w:rPr>
          <w:rFonts w:ascii="Arabic Transparent" w:eastAsia="Calibri" w:hAnsi="Arabic Transparent" w:cs="Arabic Transparent"/>
          <w:b/>
          <w:bCs/>
          <w:sz w:val="26"/>
          <w:szCs w:val="26"/>
          <w:rtl/>
        </w:rPr>
        <w:t>فتاوى ندوات البركة</w:t>
      </w:r>
      <w:r w:rsidRPr="00706B94">
        <w:rPr>
          <w:rFonts w:ascii="Arabic Transparent" w:eastAsia="Calibri" w:hAnsi="Arabic Transparent" w:cs="Arabic Transparent"/>
          <w:sz w:val="26"/>
          <w:szCs w:val="26"/>
          <w:rtl/>
        </w:rPr>
        <w:t xml:space="preserve"> (جمع وتنسيق وفهرست)، ط5، جدة.</w:t>
      </w:r>
    </w:p>
    <w:p w14:paraId="29782760"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lastRenderedPageBreak/>
        <w:t xml:space="preserve">الغزالي، محمد بن محمد الطوسي، (1993)، </w:t>
      </w:r>
      <w:r w:rsidRPr="00706B94">
        <w:rPr>
          <w:rFonts w:ascii="Arabic Transparent" w:eastAsia="Calibri" w:hAnsi="Arabic Transparent" w:cs="Arabic Transparent"/>
          <w:b/>
          <w:bCs/>
          <w:sz w:val="26"/>
          <w:szCs w:val="26"/>
          <w:rtl/>
        </w:rPr>
        <w:t>المستصفى في علم الأصول</w:t>
      </w:r>
      <w:r w:rsidRPr="00706B94">
        <w:rPr>
          <w:rFonts w:ascii="Arabic Transparent" w:eastAsia="Calibri" w:hAnsi="Arabic Transparent" w:cs="Arabic Transparent"/>
          <w:sz w:val="26"/>
          <w:szCs w:val="26"/>
          <w:rtl/>
        </w:rPr>
        <w:t xml:space="preserve"> (تحقيق محمد عبد السلام عبد الشافي)، ط1، دار الكتب العلمية – بيروت.</w:t>
      </w:r>
    </w:p>
    <w:p w14:paraId="018B634C"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tl/>
        </w:rPr>
      </w:pPr>
      <w:r w:rsidRPr="00706B94">
        <w:rPr>
          <w:rFonts w:ascii="Arabic Transparent" w:eastAsia="Calibri" w:hAnsi="Arabic Transparent" w:cs="Arabic Transparent"/>
          <w:sz w:val="26"/>
          <w:szCs w:val="26"/>
          <w:rtl/>
        </w:rPr>
        <w:t xml:space="preserve">الغزالي، محمد بن محمد، (1971)، </w:t>
      </w:r>
      <w:r w:rsidRPr="00706B94">
        <w:rPr>
          <w:rFonts w:ascii="Arabic Transparent" w:eastAsia="Calibri" w:hAnsi="Arabic Transparent" w:cs="Arabic Transparent"/>
          <w:b/>
          <w:bCs/>
          <w:sz w:val="26"/>
          <w:szCs w:val="26"/>
          <w:rtl/>
        </w:rPr>
        <w:t>شفاء الغليل في بيان الشبه والمخيل ومسالك التعليل</w:t>
      </w:r>
      <w:r w:rsidRPr="00706B94">
        <w:rPr>
          <w:rFonts w:ascii="Arabic Transparent" w:eastAsia="Calibri" w:hAnsi="Arabic Transparent" w:cs="Arabic Transparent"/>
          <w:sz w:val="26"/>
          <w:szCs w:val="26"/>
          <w:rtl/>
        </w:rPr>
        <w:t xml:space="preserve"> (تحقيق حمد الكبيسي)، ط1، مطبعة الإرشاد، بغداد – العراق.</w:t>
      </w:r>
    </w:p>
    <w:p w14:paraId="5B6D10C8"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tl/>
        </w:rPr>
      </w:pPr>
      <w:r w:rsidRPr="00706B94">
        <w:rPr>
          <w:rFonts w:ascii="Arabic Transparent" w:eastAsia="Calibri" w:hAnsi="Arabic Transparent" w:cs="Arabic Transparent"/>
          <w:sz w:val="26"/>
          <w:szCs w:val="26"/>
          <w:rtl/>
        </w:rPr>
        <w:t xml:space="preserve">ابن فارس، أبو الحسين أحمد بن فارس بن زكريا (1979م)،  </w:t>
      </w:r>
      <w:r w:rsidRPr="00706B94">
        <w:rPr>
          <w:rFonts w:ascii="Arabic Transparent" w:eastAsia="Calibri" w:hAnsi="Arabic Transparent" w:cs="Arabic Transparent"/>
          <w:b/>
          <w:bCs/>
          <w:sz w:val="26"/>
          <w:szCs w:val="26"/>
          <w:rtl/>
        </w:rPr>
        <w:t>معجم مقاييس اللغة</w:t>
      </w:r>
      <w:r w:rsidRPr="00706B94">
        <w:rPr>
          <w:rFonts w:ascii="Arabic Transparent" w:eastAsia="Calibri" w:hAnsi="Arabic Transparent" w:cs="Arabic Transparent"/>
          <w:sz w:val="26"/>
          <w:szCs w:val="26"/>
          <w:rtl/>
        </w:rPr>
        <w:t>، تحقيق: عبد السلام محمد هارون، ط1، دار الفكر، القاهرة، مصر</w:t>
      </w:r>
    </w:p>
    <w:p w14:paraId="0229AF03"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الفاسي، علال (1993). </w:t>
      </w:r>
      <w:r w:rsidRPr="00706B94">
        <w:rPr>
          <w:rFonts w:ascii="Arabic Transparent" w:eastAsia="Calibri" w:hAnsi="Arabic Transparent" w:cs="Arabic Transparent"/>
          <w:b/>
          <w:bCs/>
          <w:sz w:val="26"/>
          <w:szCs w:val="26"/>
          <w:rtl/>
        </w:rPr>
        <w:t>مقاصد الشريعة الإسلامية ومكارمها</w:t>
      </w:r>
      <w:r w:rsidRPr="00706B94">
        <w:rPr>
          <w:rFonts w:ascii="Arabic Transparent" w:eastAsia="Calibri" w:hAnsi="Arabic Transparent" w:cs="Arabic Transparent"/>
          <w:sz w:val="26"/>
          <w:szCs w:val="26"/>
          <w:rtl/>
        </w:rPr>
        <w:t>، ط5، دار الغرب الإسلامي، بيروت.</w:t>
      </w:r>
    </w:p>
    <w:p w14:paraId="142BC9AE"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الفكي، حسن أحمد حسن (2013). </w:t>
      </w:r>
      <w:r w:rsidRPr="00706B94">
        <w:rPr>
          <w:rFonts w:ascii="Arabic Transparent" w:eastAsia="Calibri" w:hAnsi="Arabic Transparent" w:cs="Arabic Transparent"/>
          <w:b/>
          <w:bCs/>
          <w:sz w:val="26"/>
          <w:szCs w:val="26"/>
          <w:rtl/>
        </w:rPr>
        <w:t>مناهج الفتوى في القضايا المعاصرة</w:t>
      </w:r>
      <w:r w:rsidRPr="00706B94">
        <w:rPr>
          <w:rFonts w:ascii="Arabic Transparent" w:eastAsia="Calibri" w:hAnsi="Arabic Transparent" w:cs="Arabic Transparent"/>
          <w:sz w:val="26"/>
          <w:szCs w:val="26"/>
          <w:rtl/>
        </w:rPr>
        <w:t>، جامعة القصيم، بريدة.</w:t>
      </w:r>
    </w:p>
    <w:p w14:paraId="6EE4C58B"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الفنجري، محمد شوقي (د.ت). </w:t>
      </w:r>
      <w:r w:rsidRPr="00706B94">
        <w:rPr>
          <w:rFonts w:ascii="Arabic Transparent" w:eastAsia="Calibri" w:hAnsi="Arabic Transparent" w:cs="Arabic Transparent"/>
          <w:b/>
          <w:bCs/>
          <w:sz w:val="26"/>
          <w:szCs w:val="26"/>
          <w:rtl/>
        </w:rPr>
        <w:t>الإسلام والتوازن الاقتصادي بين الأفراد والدول</w:t>
      </w:r>
      <w:r w:rsidRPr="00706B94">
        <w:rPr>
          <w:rFonts w:ascii="Arabic Transparent" w:eastAsia="Calibri" w:hAnsi="Arabic Transparent" w:cs="Arabic Transparent"/>
          <w:sz w:val="26"/>
          <w:szCs w:val="26"/>
          <w:rtl/>
        </w:rPr>
        <w:t>، منشورات وزارة الأوقاف، مصر.</w:t>
      </w:r>
    </w:p>
    <w:p w14:paraId="597B5237"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tl/>
        </w:rPr>
      </w:pPr>
      <w:r w:rsidRPr="00706B94">
        <w:rPr>
          <w:rFonts w:ascii="Arabic Transparent" w:eastAsia="Calibri" w:hAnsi="Arabic Transparent" w:cs="Arabic Transparent"/>
          <w:sz w:val="26"/>
          <w:szCs w:val="26"/>
          <w:rtl/>
        </w:rPr>
        <w:t>الفيروزآبادي، مجد الدين أبو طاهر محمد بن يعقوب، (2005)، ا</w:t>
      </w:r>
      <w:r w:rsidRPr="00706B94">
        <w:rPr>
          <w:rFonts w:ascii="Arabic Transparent" w:eastAsia="Calibri" w:hAnsi="Arabic Transparent" w:cs="Arabic Transparent"/>
          <w:b/>
          <w:bCs/>
          <w:sz w:val="26"/>
          <w:szCs w:val="26"/>
          <w:rtl/>
        </w:rPr>
        <w:t>لقاموس المحيط</w:t>
      </w:r>
      <w:r w:rsidRPr="00706B94">
        <w:rPr>
          <w:rFonts w:ascii="Arabic Transparent" w:eastAsia="Calibri" w:hAnsi="Arabic Transparent" w:cs="Arabic Transparent"/>
          <w:sz w:val="26"/>
          <w:szCs w:val="26"/>
          <w:rtl/>
        </w:rPr>
        <w:t>، تحقيق: مكتب تحقيق التراث في مؤسسة الرسالة، بإشراف محمد نعيم العرقسوسي، ط8، مؤسسة الرسالة للطباعة والنشر والتوزيع، بيروت.</w:t>
      </w:r>
    </w:p>
    <w:p w14:paraId="6B0DF766"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ابن قاسم، عبد الرحمن بن محمد بن قاسم العاصمي النجدي (1972م)، </w:t>
      </w:r>
      <w:r w:rsidRPr="00706B94">
        <w:rPr>
          <w:rFonts w:ascii="Arabic Transparent" w:eastAsia="Calibri" w:hAnsi="Arabic Transparent" w:cs="Arabic Transparent"/>
          <w:b/>
          <w:bCs/>
          <w:sz w:val="26"/>
          <w:szCs w:val="26"/>
          <w:rtl/>
        </w:rPr>
        <w:t>حاشية الروض المربع شرح زاد المستقنع</w:t>
      </w:r>
      <w:r w:rsidRPr="00706B94">
        <w:rPr>
          <w:rFonts w:ascii="Arabic Transparent" w:eastAsia="Calibri" w:hAnsi="Arabic Transparent" w:cs="Arabic Transparent"/>
          <w:sz w:val="26"/>
          <w:szCs w:val="26"/>
          <w:rtl/>
        </w:rPr>
        <w:t>، (ط1)، (د.ن).</w:t>
      </w:r>
    </w:p>
    <w:p w14:paraId="11D8E1B8"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القاضي، عبد الوهاب (د.ت). </w:t>
      </w:r>
      <w:r w:rsidRPr="00706B94">
        <w:rPr>
          <w:rFonts w:ascii="Arabic Transparent" w:eastAsia="Calibri" w:hAnsi="Arabic Transparent" w:cs="Arabic Transparent"/>
          <w:b/>
          <w:bCs/>
          <w:sz w:val="26"/>
          <w:szCs w:val="26"/>
          <w:rtl/>
        </w:rPr>
        <w:t>المعونة على مذهب عالم المدينة الإمام مالك بن أنس</w:t>
      </w:r>
      <w:r w:rsidRPr="00706B94">
        <w:rPr>
          <w:rFonts w:ascii="Arabic Transparent" w:eastAsia="Calibri" w:hAnsi="Arabic Transparent" w:cs="Arabic Transparent"/>
          <w:sz w:val="26"/>
          <w:szCs w:val="26"/>
          <w:rtl/>
        </w:rPr>
        <w:t>. تحقيق ودراسة: حميش عبد الحق.ط1، المكتبة التجارية، مصطفى أحمد الباز، مكة المكرمة.</w:t>
      </w:r>
    </w:p>
    <w:p w14:paraId="4858056B"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القحطاني، مسفر بن علي بن محمد (2003م). </w:t>
      </w:r>
      <w:r w:rsidRPr="00706B94">
        <w:rPr>
          <w:rFonts w:ascii="Arabic Transparent" w:eastAsia="Calibri" w:hAnsi="Arabic Transparent" w:cs="Arabic Transparent"/>
          <w:b/>
          <w:bCs/>
          <w:sz w:val="26"/>
          <w:szCs w:val="26"/>
          <w:rtl/>
        </w:rPr>
        <w:t>منهج استنباط أحكام النوازل الفقهية المعاصرة: دراسة تأصيلية تطبيقية</w:t>
      </w:r>
      <w:r w:rsidRPr="00706B94">
        <w:rPr>
          <w:rFonts w:ascii="Arabic Transparent" w:eastAsia="Calibri" w:hAnsi="Arabic Transparent" w:cs="Arabic Transparent"/>
          <w:sz w:val="26"/>
          <w:szCs w:val="26"/>
          <w:rtl/>
        </w:rPr>
        <w:t>، ط1، دار الأندلس الخضراء، جدة.</w:t>
      </w:r>
    </w:p>
    <w:p w14:paraId="73D4AED6"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القحطاني، مسفر بن علي بن محمد (2005م). ا</w:t>
      </w:r>
      <w:r w:rsidRPr="00706B94">
        <w:rPr>
          <w:rFonts w:ascii="Arabic Transparent" w:eastAsia="Calibri" w:hAnsi="Arabic Transparent" w:cs="Arabic Transparent"/>
          <w:b/>
          <w:bCs/>
          <w:sz w:val="26"/>
          <w:szCs w:val="26"/>
          <w:rtl/>
        </w:rPr>
        <w:t>لتكييف الفقهي للأعمال المصرفية المعاصرة: مفهومه، وأهميته، وضوابطه</w:t>
      </w:r>
      <w:r w:rsidRPr="00706B94">
        <w:rPr>
          <w:rFonts w:ascii="Arabic Transparent" w:eastAsia="Calibri" w:hAnsi="Arabic Transparent" w:cs="Arabic Transparent"/>
          <w:sz w:val="26"/>
          <w:szCs w:val="26"/>
          <w:rtl/>
        </w:rPr>
        <w:t>، بحث مقدَّم إلى مؤتمر «المصارف الإسلامية بين الواقع والمأمول»، دائرة الشؤون الإسلامية والعمل الخيري، دبي.</w:t>
      </w:r>
    </w:p>
    <w:p w14:paraId="41444732"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ابن قدامة، عبد الرحمن بن إبراهيم بن أحمد، بهاء الدين (2020)، </w:t>
      </w:r>
      <w:r w:rsidRPr="00706B94">
        <w:rPr>
          <w:rFonts w:ascii="Arabic Transparent" w:eastAsia="Calibri" w:hAnsi="Arabic Transparent" w:cs="Arabic Transparent"/>
          <w:b/>
          <w:bCs/>
          <w:sz w:val="26"/>
          <w:szCs w:val="26"/>
          <w:rtl/>
        </w:rPr>
        <w:t>شرح المقنع</w:t>
      </w:r>
      <w:r w:rsidRPr="00706B94">
        <w:rPr>
          <w:rFonts w:ascii="Arabic Transparent" w:eastAsia="Calibri" w:hAnsi="Arabic Transparent" w:cs="Arabic Transparent"/>
          <w:sz w:val="26"/>
          <w:szCs w:val="26"/>
          <w:rtl/>
        </w:rPr>
        <w:t>، تحقيق: نصف بن عيسى بن نصف العصفور، ط1، دار ركائز للنشر والتوزيع، الكويت.</w:t>
      </w:r>
    </w:p>
    <w:p w14:paraId="736C21F4"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ابن قدامة، عبد الله بن أحمد، (2002)، </w:t>
      </w:r>
      <w:r w:rsidRPr="00706B94">
        <w:rPr>
          <w:rFonts w:ascii="Arabic Transparent" w:eastAsia="Calibri" w:hAnsi="Arabic Transparent" w:cs="Arabic Transparent"/>
          <w:b/>
          <w:bCs/>
          <w:sz w:val="26"/>
          <w:szCs w:val="26"/>
          <w:rtl/>
        </w:rPr>
        <w:t>روضة الناظر وجنة المناظر</w:t>
      </w:r>
      <w:r w:rsidRPr="00706B94">
        <w:rPr>
          <w:rFonts w:ascii="Arabic Transparent" w:eastAsia="Calibri" w:hAnsi="Arabic Transparent" w:cs="Arabic Transparent"/>
          <w:sz w:val="26"/>
          <w:szCs w:val="26"/>
          <w:rtl/>
        </w:rPr>
        <w:t xml:space="preserve"> (تقديم وشرح شعبان محمد إسماعيل) ط2، مؤسسة الريان للطباعة والنشر والتوزيع - بيروت.</w:t>
      </w:r>
    </w:p>
    <w:p w14:paraId="165F70D9"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tl/>
        </w:rPr>
      </w:pPr>
      <w:r w:rsidRPr="00706B94">
        <w:rPr>
          <w:rFonts w:ascii="Arabic Transparent" w:eastAsia="Calibri" w:hAnsi="Arabic Transparent" w:cs="Arabic Transparent"/>
          <w:sz w:val="26"/>
          <w:szCs w:val="26"/>
          <w:rtl/>
        </w:rPr>
        <w:t xml:space="preserve">ابن قدامة، موفق الدين عبد الله بن أحمد بن محمد (1994). </w:t>
      </w:r>
      <w:r w:rsidRPr="00706B94">
        <w:rPr>
          <w:rFonts w:ascii="Arabic Transparent" w:eastAsia="Calibri" w:hAnsi="Arabic Transparent" w:cs="Arabic Transparent"/>
          <w:b/>
          <w:bCs/>
          <w:sz w:val="26"/>
          <w:szCs w:val="26"/>
          <w:rtl/>
        </w:rPr>
        <w:t>الكافي في فقه الإمام أحمد</w:t>
      </w:r>
      <w:r w:rsidRPr="00706B94">
        <w:rPr>
          <w:rFonts w:ascii="Arabic Transparent" w:eastAsia="Calibri" w:hAnsi="Arabic Transparent" w:cs="Arabic Transparent"/>
          <w:sz w:val="26"/>
          <w:szCs w:val="26"/>
          <w:rtl/>
        </w:rPr>
        <w:t>، ط1، دار الكتب العلمية.</w:t>
      </w:r>
    </w:p>
    <w:p w14:paraId="6678FB30"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ابن قدامة، عبد الله بن أحمد بن محمد، موفق الدين أبو محمد، (1997)، </w:t>
      </w:r>
      <w:r w:rsidRPr="00706B94">
        <w:rPr>
          <w:rFonts w:ascii="Arabic Transparent" w:eastAsia="Calibri" w:hAnsi="Arabic Transparent" w:cs="Arabic Transparent"/>
          <w:b/>
          <w:bCs/>
          <w:sz w:val="26"/>
          <w:szCs w:val="26"/>
          <w:rtl/>
        </w:rPr>
        <w:t>المغني</w:t>
      </w:r>
      <w:r w:rsidRPr="00706B94">
        <w:rPr>
          <w:rFonts w:ascii="Arabic Transparent" w:eastAsia="Calibri" w:hAnsi="Arabic Transparent" w:cs="Arabic Transparent"/>
          <w:sz w:val="26"/>
          <w:szCs w:val="26"/>
          <w:rtl/>
        </w:rPr>
        <w:t xml:space="preserve"> (تحقيق عبد الله بن عبد المحسن التركي، وعبد الفتاح محمد الحلو)، ط3، دار عالم الكتب، الرياض.</w:t>
      </w:r>
    </w:p>
    <w:p w14:paraId="4A494FC8"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tl/>
        </w:rPr>
      </w:pPr>
      <w:r w:rsidRPr="00706B94">
        <w:rPr>
          <w:rFonts w:ascii="Arabic Transparent" w:eastAsia="Calibri" w:hAnsi="Arabic Transparent" w:cs="Arabic Transparent"/>
          <w:sz w:val="26"/>
          <w:szCs w:val="26"/>
          <w:rtl/>
        </w:rPr>
        <w:t xml:space="preserve">ابن قدامة، عبد الله بن أحمد بن محمد المقدسي (2000). </w:t>
      </w:r>
      <w:r w:rsidRPr="00706B94">
        <w:rPr>
          <w:rFonts w:ascii="Arabic Transparent" w:eastAsia="Calibri" w:hAnsi="Arabic Transparent" w:cs="Arabic Transparent"/>
          <w:b/>
          <w:bCs/>
          <w:sz w:val="26"/>
          <w:szCs w:val="26"/>
          <w:rtl/>
        </w:rPr>
        <w:t>المقنع في فقه الإمام أحمد بن حنبل الشيباني رحمه الله تعالى</w:t>
      </w:r>
      <w:r w:rsidRPr="00706B94">
        <w:rPr>
          <w:rFonts w:ascii="Arabic Transparent" w:eastAsia="Calibri" w:hAnsi="Arabic Transparent" w:cs="Arabic Transparent"/>
          <w:sz w:val="26"/>
          <w:szCs w:val="26"/>
          <w:rtl/>
        </w:rPr>
        <w:t>. تحقيق محمود الأرناؤوط وياسين محمود الخطيب، ط1، مكتبة السوادي للتوزيع، جدة.</w:t>
      </w:r>
    </w:p>
    <w:p w14:paraId="79868258"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القدوري، أحمد بن محمد البغدادي (2022م). </w:t>
      </w:r>
      <w:r w:rsidRPr="00706B94">
        <w:rPr>
          <w:rFonts w:ascii="Arabic Transparent" w:eastAsia="Calibri" w:hAnsi="Arabic Transparent" w:cs="Arabic Transparent"/>
          <w:b/>
          <w:bCs/>
          <w:sz w:val="26"/>
          <w:szCs w:val="26"/>
          <w:rtl/>
        </w:rPr>
        <w:t>شرح مختصر الكرخي</w:t>
      </w:r>
      <w:r w:rsidRPr="00706B94">
        <w:rPr>
          <w:rFonts w:ascii="Arabic Transparent" w:eastAsia="Calibri" w:hAnsi="Arabic Transparent" w:cs="Arabic Transparent"/>
          <w:sz w:val="26"/>
          <w:szCs w:val="26"/>
          <w:rtl/>
        </w:rPr>
        <w:t xml:space="preserve"> (تحقيق: عبد الله نذير أحمد عبد الرحمن). ط1، دار أسفار، الكويت.</w:t>
      </w:r>
    </w:p>
    <w:p w14:paraId="3843703E"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b/>
          <w:bCs/>
          <w:sz w:val="26"/>
          <w:szCs w:val="26"/>
          <w:rtl/>
        </w:rPr>
        <w:lastRenderedPageBreak/>
        <w:t>قرارات مجلس الإفتاء الأردني التي تتعلق بالمعاملات المالية</w:t>
      </w:r>
      <w:r w:rsidRPr="00706B94">
        <w:rPr>
          <w:rFonts w:ascii="Arabic Transparent" w:eastAsia="Calibri" w:hAnsi="Arabic Transparent" w:cs="Arabic Transparent"/>
          <w:sz w:val="26"/>
          <w:szCs w:val="26"/>
          <w:rtl/>
        </w:rPr>
        <w:t xml:space="preserve"> على الرابط: </w:t>
      </w:r>
      <w:r w:rsidRPr="00706B94">
        <w:rPr>
          <w:rFonts w:ascii="Arabic Transparent" w:eastAsia="Calibri" w:hAnsi="Arabic Transparent" w:cs="Arabic Transparent"/>
          <w:sz w:val="26"/>
          <w:szCs w:val="26"/>
        </w:rPr>
        <w:t>https://www.aliftaa.jo/Decision.aspx.</w:t>
      </w:r>
    </w:p>
    <w:p w14:paraId="0E35C12F"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تاريخ الاطلاع: 7/ 10/ 2025.</w:t>
      </w:r>
    </w:p>
    <w:p w14:paraId="3F40E691"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b/>
          <w:bCs/>
          <w:sz w:val="26"/>
          <w:szCs w:val="26"/>
          <w:rtl/>
        </w:rPr>
        <w:t>قرارات مجمع الفقه الإسلامي الدولي في المعاملات المعاصرة</w:t>
      </w:r>
      <w:r w:rsidRPr="00706B94">
        <w:rPr>
          <w:rFonts w:ascii="Arabic Transparent" w:eastAsia="Calibri" w:hAnsi="Arabic Transparent" w:cs="Arabic Transparent"/>
          <w:sz w:val="26"/>
          <w:szCs w:val="26"/>
          <w:rtl/>
        </w:rPr>
        <w:t xml:space="preserve"> منشورة على الموقع الالكتروني: </w:t>
      </w:r>
      <w:r w:rsidRPr="00706B94">
        <w:rPr>
          <w:rFonts w:ascii="Arabic Transparent" w:eastAsia="Calibri" w:hAnsi="Arabic Transparent" w:cs="Arabic Transparent"/>
          <w:sz w:val="26"/>
          <w:szCs w:val="26"/>
        </w:rPr>
        <w:t>https://www.aliftaa.jo/Research/250</w:t>
      </w:r>
      <w:r w:rsidRPr="00706B94">
        <w:rPr>
          <w:rFonts w:ascii="Arabic Transparent" w:eastAsia="Calibri" w:hAnsi="Arabic Transparent" w:cs="Arabic Transparent"/>
          <w:sz w:val="26"/>
          <w:szCs w:val="26"/>
          <w:rtl/>
        </w:rPr>
        <w:t xml:space="preserve">، تاريخ الاطلاع 7/10/2025. </w:t>
      </w:r>
    </w:p>
    <w:p w14:paraId="37DA0EE2"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القرافي، أحمد (2004) </w:t>
      </w:r>
      <w:r w:rsidRPr="00706B94">
        <w:rPr>
          <w:rFonts w:ascii="Arabic Transparent" w:eastAsia="Calibri" w:hAnsi="Arabic Transparent" w:cs="Arabic Transparent"/>
          <w:b/>
          <w:bCs/>
          <w:sz w:val="26"/>
          <w:szCs w:val="26"/>
          <w:rtl/>
        </w:rPr>
        <w:t>شرح تنقيح الفصول في اختصار المحصول في الأصول</w:t>
      </w:r>
      <w:r w:rsidRPr="00706B94">
        <w:rPr>
          <w:rFonts w:ascii="Arabic Transparent" w:eastAsia="Calibri" w:hAnsi="Arabic Transparent" w:cs="Arabic Transparent"/>
          <w:sz w:val="26"/>
          <w:szCs w:val="26"/>
          <w:rtl/>
        </w:rPr>
        <w:t>، ط1، تحقيق: مكتب البحوث والدراسات بدار الفكر، بيروت.</w:t>
      </w:r>
    </w:p>
    <w:p w14:paraId="4379D582"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القرافي، أحمد بن إدريس، شهاب الدين أبو العباس، (1995)، </w:t>
      </w:r>
      <w:r w:rsidRPr="00706B94">
        <w:rPr>
          <w:rFonts w:ascii="Arabic Transparent" w:eastAsia="Calibri" w:hAnsi="Arabic Transparent" w:cs="Arabic Transparent"/>
          <w:b/>
          <w:bCs/>
          <w:sz w:val="26"/>
          <w:szCs w:val="26"/>
          <w:rtl/>
        </w:rPr>
        <w:t>الإحكام في تمييز الفتاوى عن الأحكام وتصرفات القاضي والإمام</w:t>
      </w:r>
      <w:r w:rsidRPr="00706B94">
        <w:rPr>
          <w:rFonts w:ascii="Arabic Transparent" w:eastAsia="Calibri" w:hAnsi="Arabic Transparent" w:cs="Arabic Transparent"/>
          <w:sz w:val="26"/>
          <w:szCs w:val="26"/>
          <w:rtl/>
        </w:rPr>
        <w:t xml:space="preserve"> (اعتنى به عبد الفتاح أبو غدة)، ط2، دار البشائر الإسلامية، بيروت.</w:t>
      </w:r>
    </w:p>
    <w:p w14:paraId="3400BB29"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القرافي، أحمد بن إدريس بن عبد الرحمن، شهاب الدين أبو العباس (1994)، </w:t>
      </w:r>
      <w:r w:rsidRPr="00706B94">
        <w:rPr>
          <w:rFonts w:ascii="Arabic Transparent" w:eastAsia="Calibri" w:hAnsi="Arabic Transparent" w:cs="Arabic Transparent"/>
          <w:b/>
          <w:bCs/>
          <w:sz w:val="26"/>
          <w:szCs w:val="26"/>
          <w:rtl/>
        </w:rPr>
        <w:t>الذخيرة</w:t>
      </w:r>
      <w:r w:rsidRPr="00706B94">
        <w:rPr>
          <w:rFonts w:ascii="Arabic Transparent" w:eastAsia="Calibri" w:hAnsi="Arabic Transparent" w:cs="Arabic Transparent"/>
          <w:sz w:val="26"/>
          <w:szCs w:val="26"/>
          <w:rtl/>
        </w:rPr>
        <w:t>، تحقيق: محمد حجي وسعيد أعراب، ومحمد بوخبزة، ط1، دار الغرب الإسلامي، بيروت.</w:t>
      </w:r>
    </w:p>
    <w:p w14:paraId="1B18F30E"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القرافي، أحمد بن إدريس، (دت)، </w:t>
      </w:r>
      <w:r w:rsidRPr="00706B94">
        <w:rPr>
          <w:rFonts w:ascii="Arabic Transparent" w:eastAsia="Calibri" w:hAnsi="Arabic Transparent" w:cs="Arabic Transparent"/>
          <w:b/>
          <w:bCs/>
          <w:sz w:val="26"/>
          <w:szCs w:val="26"/>
          <w:rtl/>
        </w:rPr>
        <w:t>الفروق = أنوار البروق في أنواء الفروق</w:t>
      </w:r>
      <w:r w:rsidRPr="00706B94">
        <w:rPr>
          <w:rFonts w:ascii="Arabic Transparent" w:eastAsia="Calibri" w:hAnsi="Arabic Transparent" w:cs="Arabic Transparent"/>
          <w:sz w:val="26"/>
          <w:szCs w:val="26"/>
          <w:rtl/>
        </w:rPr>
        <w:t xml:space="preserve"> (دط)، عالم الكتب.</w:t>
      </w:r>
    </w:p>
    <w:p w14:paraId="27312DCA"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القرضاوي، يوسف (1996). </w:t>
      </w:r>
      <w:r w:rsidRPr="00706B94">
        <w:rPr>
          <w:rFonts w:ascii="Arabic Transparent" w:eastAsia="Calibri" w:hAnsi="Arabic Transparent" w:cs="Arabic Transparent"/>
          <w:b/>
          <w:bCs/>
          <w:sz w:val="26"/>
          <w:szCs w:val="26"/>
          <w:rtl/>
        </w:rPr>
        <w:t>الاجتهاد في الشريعة الإسلامية مع نظرات تحليلية في الاجتهاد المعاصر</w:t>
      </w:r>
      <w:r w:rsidRPr="00706B94">
        <w:rPr>
          <w:rFonts w:ascii="Arabic Transparent" w:eastAsia="Calibri" w:hAnsi="Arabic Transparent" w:cs="Arabic Transparent"/>
          <w:sz w:val="26"/>
          <w:szCs w:val="26"/>
          <w:rtl/>
        </w:rPr>
        <w:t>، ط1، دار القلم للنشر والتوزيع، الكويت.</w:t>
      </w:r>
    </w:p>
    <w:p w14:paraId="24B65FB9"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القرضاوي، يوسف، (2012م)، </w:t>
      </w:r>
      <w:r w:rsidRPr="00706B94">
        <w:rPr>
          <w:rFonts w:ascii="Arabic Transparent" w:eastAsia="Calibri" w:hAnsi="Arabic Transparent" w:cs="Arabic Transparent"/>
          <w:b/>
          <w:bCs/>
          <w:sz w:val="26"/>
          <w:szCs w:val="26"/>
          <w:rtl/>
        </w:rPr>
        <w:t>الحلال والحرام في الإسلام</w:t>
      </w:r>
      <w:r w:rsidRPr="00706B94">
        <w:rPr>
          <w:rFonts w:ascii="Arabic Transparent" w:eastAsia="Calibri" w:hAnsi="Arabic Transparent" w:cs="Arabic Transparent"/>
          <w:sz w:val="26"/>
          <w:szCs w:val="26"/>
          <w:rtl/>
        </w:rPr>
        <w:t>، ط1، ص23، دار الكتب المصرية، القاهرة.</w:t>
      </w:r>
    </w:p>
    <w:p w14:paraId="0382FEAC"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القرضاوي، يوسف (2008م). </w:t>
      </w:r>
      <w:r w:rsidRPr="00706B94">
        <w:rPr>
          <w:rFonts w:ascii="Arabic Transparent" w:eastAsia="Calibri" w:hAnsi="Arabic Transparent" w:cs="Arabic Transparent"/>
          <w:b/>
          <w:bCs/>
          <w:sz w:val="26"/>
          <w:szCs w:val="26"/>
          <w:rtl/>
        </w:rPr>
        <w:t>دراسة في فقه مقاصد الشريعة بين المقاصد الكلية والنصوص الجزئية</w:t>
      </w:r>
      <w:r w:rsidRPr="00706B94">
        <w:rPr>
          <w:rFonts w:ascii="Arabic Transparent" w:eastAsia="Calibri" w:hAnsi="Arabic Transparent" w:cs="Arabic Transparent"/>
          <w:sz w:val="26"/>
          <w:szCs w:val="26"/>
          <w:rtl/>
        </w:rPr>
        <w:t>، ط3، دار الشروق، القاهرة.</w:t>
      </w:r>
    </w:p>
    <w:p w14:paraId="5370C461"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القرضاوي، يوسف، 1995، </w:t>
      </w:r>
      <w:r w:rsidRPr="00706B94">
        <w:rPr>
          <w:rFonts w:ascii="Arabic Transparent" w:eastAsia="Calibri" w:hAnsi="Arabic Transparent" w:cs="Arabic Transparent"/>
          <w:b/>
          <w:bCs/>
          <w:sz w:val="26"/>
          <w:szCs w:val="26"/>
          <w:rtl/>
        </w:rPr>
        <w:t>الفتوى بين الانضباط والتسيب</w:t>
      </w:r>
      <w:r w:rsidRPr="00706B94">
        <w:rPr>
          <w:rFonts w:ascii="Arabic Transparent" w:eastAsia="Calibri" w:hAnsi="Arabic Transparent" w:cs="Arabic Transparent"/>
          <w:sz w:val="26"/>
          <w:szCs w:val="26"/>
          <w:rtl/>
        </w:rPr>
        <w:t>. ط2، المكتب الإسلامي للطباعة والنشر، القاهرة.</w:t>
      </w:r>
    </w:p>
    <w:p w14:paraId="282AAA69"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القرضاوي، يوسف، (2009) </w:t>
      </w:r>
      <w:r w:rsidRPr="00706B94">
        <w:rPr>
          <w:rFonts w:ascii="Arabic Transparent" w:eastAsia="Calibri" w:hAnsi="Arabic Transparent" w:cs="Arabic Transparent"/>
          <w:b/>
          <w:bCs/>
          <w:sz w:val="26"/>
          <w:szCs w:val="26"/>
          <w:rtl/>
        </w:rPr>
        <w:t>القواعد الحاكمة لفقه المعاملات</w:t>
      </w:r>
      <w:r w:rsidRPr="00706B94">
        <w:rPr>
          <w:rFonts w:ascii="Arabic Transparent" w:eastAsia="Calibri" w:hAnsi="Arabic Transparent" w:cs="Arabic Transparent"/>
          <w:sz w:val="26"/>
          <w:szCs w:val="26"/>
          <w:rtl/>
        </w:rPr>
        <w:t>، ط1، دار الشروق، القاهرة.</w:t>
      </w:r>
    </w:p>
    <w:p w14:paraId="07D84A93"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القرطبي، محمد بن أحمد الأنصاري، (1964)، </w:t>
      </w:r>
      <w:r w:rsidRPr="00706B94">
        <w:rPr>
          <w:rFonts w:ascii="Arabic Transparent" w:eastAsia="Calibri" w:hAnsi="Arabic Transparent" w:cs="Arabic Transparent"/>
          <w:b/>
          <w:bCs/>
          <w:sz w:val="26"/>
          <w:szCs w:val="26"/>
          <w:rtl/>
        </w:rPr>
        <w:t>الجامع لأحكام القر</w:t>
      </w:r>
      <w:r w:rsidRPr="00706B94">
        <w:rPr>
          <w:rFonts w:ascii="Arabic Transparent" w:eastAsia="Calibri" w:hAnsi="Arabic Transparent" w:cs="Arabic Transparent"/>
          <w:sz w:val="26"/>
          <w:szCs w:val="26"/>
          <w:rtl/>
        </w:rPr>
        <w:t>آن (تحقيق أحمد البردوني وإبراهيم أطفيش) ط2، دار الكتب المصرية - القاهرة.</w:t>
      </w:r>
    </w:p>
    <w:p w14:paraId="0FB1A75F"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القري، محمد علي (2019م). </w:t>
      </w:r>
      <w:r w:rsidRPr="00706B94">
        <w:rPr>
          <w:rFonts w:ascii="Arabic Transparent" w:eastAsia="Calibri" w:hAnsi="Arabic Transparent" w:cs="Arabic Transparent"/>
          <w:b/>
          <w:bCs/>
          <w:sz w:val="26"/>
          <w:szCs w:val="26"/>
          <w:rtl/>
        </w:rPr>
        <w:t>حكم الدخول بعقود البيع أو الإجارة التي تفرض فيها غرامة تأخير</w:t>
      </w:r>
      <w:r w:rsidRPr="00706B94">
        <w:rPr>
          <w:rFonts w:ascii="Arabic Transparent" w:eastAsia="Calibri" w:hAnsi="Arabic Transparent" w:cs="Arabic Transparent"/>
          <w:sz w:val="26"/>
          <w:szCs w:val="26"/>
          <w:rtl/>
        </w:rPr>
        <w:t>، ولا يقبل الطرف المشروط له حذفها، بحث مقدم إلى: مؤتمر شورى الفقهي الثامن، فندق فور سيزونز، الكويت.</w:t>
      </w:r>
    </w:p>
    <w:p w14:paraId="2D6EA34E"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القري، محمد(1993)، </w:t>
      </w:r>
      <w:r w:rsidRPr="00706B94">
        <w:rPr>
          <w:rFonts w:ascii="Arabic Transparent" w:eastAsia="Calibri" w:hAnsi="Arabic Transparent" w:cs="Arabic Transparent"/>
          <w:b/>
          <w:bCs/>
          <w:sz w:val="26"/>
          <w:szCs w:val="26"/>
          <w:rtl/>
        </w:rPr>
        <w:t>صور محتملة تتضمن الربط القياسي للأجور</w:t>
      </w:r>
      <w:r w:rsidRPr="00706B94">
        <w:rPr>
          <w:rFonts w:ascii="Arabic Transparent" w:eastAsia="Calibri" w:hAnsi="Arabic Transparent" w:cs="Arabic Transparent"/>
          <w:sz w:val="26"/>
          <w:szCs w:val="26"/>
          <w:rtl/>
        </w:rPr>
        <w:t>، ندوة قضايا معاصرة في النقود والبنوك رقم (38)، البنك الإسلامي للتنمية، جدة.</w:t>
      </w:r>
    </w:p>
    <w:p w14:paraId="087BBF3B"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القضاة، موسى مصطفى (2016م). </w:t>
      </w:r>
      <w:r w:rsidRPr="00706B94">
        <w:rPr>
          <w:rFonts w:ascii="Arabic Transparent" w:eastAsia="Calibri" w:hAnsi="Arabic Transparent" w:cs="Arabic Transparent"/>
          <w:b/>
          <w:bCs/>
          <w:sz w:val="26"/>
          <w:szCs w:val="26"/>
          <w:rtl/>
        </w:rPr>
        <w:t>بيع العينة عند الشافعية</w:t>
      </w:r>
      <w:r w:rsidRPr="00706B94">
        <w:rPr>
          <w:rFonts w:ascii="Arabic Transparent" w:eastAsia="Calibri" w:hAnsi="Arabic Transparent" w:cs="Arabic Transparent"/>
          <w:sz w:val="26"/>
          <w:szCs w:val="26"/>
          <w:rtl/>
        </w:rPr>
        <w:t>، مجلة مؤتة للبحوث والدراسات، سلسلة العلوم الإنسانية والاجتماعية، مج31، ع2، جامعة مؤتة، الأردن.</w:t>
      </w:r>
    </w:p>
    <w:p w14:paraId="0E63F063"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قلعجي، محمد رواس، وحامد صادق قنيبي، (1988)، </w:t>
      </w:r>
      <w:r w:rsidRPr="00706B94">
        <w:rPr>
          <w:rFonts w:ascii="Arabic Transparent" w:eastAsia="Calibri" w:hAnsi="Arabic Transparent" w:cs="Arabic Transparent"/>
          <w:b/>
          <w:bCs/>
          <w:sz w:val="26"/>
          <w:szCs w:val="26"/>
          <w:rtl/>
        </w:rPr>
        <w:t>معجم لغة الفقهاء</w:t>
      </w:r>
      <w:r w:rsidRPr="00706B94">
        <w:rPr>
          <w:rFonts w:ascii="Arabic Transparent" w:eastAsia="Calibri" w:hAnsi="Arabic Transparent" w:cs="Arabic Transparent"/>
          <w:sz w:val="26"/>
          <w:szCs w:val="26"/>
          <w:rtl/>
        </w:rPr>
        <w:t>، ط2، دار النفائس للطباعة والنشر والتوزيع، عمّان.</w:t>
      </w:r>
    </w:p>
    <w:p w14:paraId="2B09B10D"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القيرواني، ابن أبي زيد عبد الله بن عبد الرحمن (2021)، </w:t>
      </w:r>
      <w:r w:rsidRPr="00706B94">
        <w:rPr>
          <w:rFonts w:ascii="Arabic Transparent" w:eastAsia="Calibri" w:hAnsi="Arabic Transparent" w:cs="Arabic Transparent"/>
          <w:b/>
          <w:bCs/>
          <w:sz w:val="26"/>
          <w:szCs w:val="26"/>
          <w:rtl/>
        </w:rPr>
        <w:t>الرسالة لابن أبي زيد القيرواني</w:t>
      </w:r>
      <w:r w:rsidRPr="00706B94">
        <w:rPr>
          <w:rFonts w:ascii="Arabic Transparent" w:eastAsia="Calibri" w:hAnsi="Arabic Transparent" w:cs="Arabic Transparent"/>
          <w:sz w:val="26"/>
          <w:szCs w:val="26"/>
          <w:rtl/>
        </w:rPr>
        <w:t>، جمعها وحققها إبراهيم أحمد إبراهيم السناري، ط1، معهد المخطوطات العربية، القاهرة.</w:t>
      </w:r>
    </w:p>
    <w:p w14:paraId="2DDA0435"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lastRenderedPageBreak/>
        <w:t xml:space="preserve">القيرواني، عبدالله عبدالرحمن النفزي، (1999)، </w:t>
      </w:r>
      <w:r w:rsidRPr="00706B94">
        <w:rPr>
          <w:rFonts w:ascii="Arabic Transparent" w:eastAsia="Calibri" w:hAnsi="Arabic Transparent" w:cs="Arabic Transparent"/>
          <w:b/>
          <w:bCs/>
          <w:sz w:val="26"/>
          <w:szCs w:val="26"/>
          <w:rtl/>
        </w:rPr>
        <w:t>النوادر والزيادات على ما في المدونة من غيرها من الأمهات</w:t>
      </w:r>
      <w:r w:rsidRPr="00706B94">
        <w:rPr>
          <w:rFonts w:ascii="Arabic Transparent" w:eastAsia="Calibri" w:hAnsi="Arabic Transparent" w:cs="Arabic Transparent"/>
          <w:sz w:val="26"/>
          <w:szCs w:val="26"/>
          <w:rtl/>
        </w:rPr>
        <w:t>، ط1، دار الغرب الإسلامي- بيروت.</w:t>
      </w:r>
    </w:p>
    <w:p w14:paraId="1FE03FD8"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tl/>
        </w:rPr>
      </w:pPr>
      <w:r w:rsidRPr="00706B94">
        <w:rPr>
          <w:rFonts w:ascii="Arabic Transparent" w:eastAsia="Calibri" w:hAnsi="Arabic Transparent" w:cs="Arabic Transparent"/>
          <w:sz w:val="26"/>
          <w:szCs w:val="26"/>
          <w:rtl/>
        </w:rPr>
        <w:t xml:space="preserve">ابن القيم، محمد بن أبي بكر الجوزية ، (1991)، </w:t>
      </w:r>
      <w:r w:rsidRPr="00706B94">
        <w:rPr>
          <w:rFonts w:ascii="Arabic Transparent" w:eastAsia="Calibri" w:hAnsi="Arabic Transparent" w:cs="Arabic Transparent"/>
          <w:b/>
          <w:bCs/>
          <w:sz w:val="26"/>
          <w:szCs w:val="26"/>
          <w:rtl/>
        </w:rPr>
        <w:t>إعلام الموقعين عن رب العالمين</w:t>
      </w:r>
      <w:r w:rsidRPr="00706B94">
        <w:rPr>
          <w:rFonts w:ascii="Arabic Transparent" w:eastAsia="Calibri" w:hAnsi="Arabic Transparent" w:cs="Arabic Transparent"/>
          <w:sz w:val="26"/>
          <w:szCs w:val="26"/>
          <w:rtl/>
        </w:rPr>
        <w:t xml:space="preserve"> (تحقيق محمد عبد السلام إبراهيم) ط1، دار الكتب العلمية - بيروت.</w:t>
      </w:r>
    </w:p>
    <w:p w14:paraId="78FE0C18"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الكاساني، علاء الدين أبو بكر بن مسعود (1910)، </w:t>
      </w:r>
      <w:r w:rsidRPr="00706B94">
        <w:rPr>
          <w:rFonts w:ascii="Arabic Transparent" w:eastAsia="Calibri" w:hAnsi="Arabic Transparent" w:cs="Arabic Transparent"/>
          <w:b/>
          <w:bCs/>
          <w:sz w:val="26"/>
          <w:szCs w:val="26"/>
          <w:rtl/>
          <w:lang w:bidi="ar-JO"/>
        </w:rPr>
        <w:t>بدائع الصنائع في ترتيب الشرائع</w:t>
      </w:r>
      <w:r w:rsidRPr="00706B94">
        <w:rPr>
          <w:rFonts w:ascii="Arabic Transparent" w:eastAsia="Calibri" w:hAnsi="Arabic Transparent" w:cs="Arabic Transparent"/>
          <w:sz w:val="26"/>
          <w:szCs w:val="26"/>
          <w:rtl/>
          <w:lang w:bidi="ar-JO"/>
        </w:rPr>
        <w:t>، ط1، مطبعة شركة المطبوعات العلمية (ج1–2)، ومطبعة الجمالية (ج3–7)، القاهرة؛ وصورتها دار الكتب العلمية، بيروت.</w:t>
      </w:r>
    </w:p>
    <w:p w14:paraId="4522F1A0"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tl/>
          <w:lang w:bidi="ar-JO"/>
        </w:rPr>
      </w:pPr>
      <w:r w:rsidRPr="00706B94">
        <w:rPr>
          <w:rFonts w:ascii="Arabic Transparent" w:eastAsia="Calibri" w:hAnsi="Arabic Transparent" w:cs="Arabic Transparent"/>
          <w:sz w:val="26"/>
          <w:szCs w:val="26"/>
          <w:rtl/>
          <w:lang w:bidi="ar-JO"/>
        </w:rPr>
        <w:t xml:space="preserve">ابن كثير، إسماعيل بن عمر، (2013م)، </w:t>
      </w:r>
      <w:r w:rsidRPr="00706B94">
        <w:rPr>
          <w:rFonts w:ascii="Arabic Transparent" w:eastAsia="Calibri" w:hAnsi="Arabic Transparent" w:cs="Arabic Transparent"/>
          <w:b/>
          <w:bCs/>
          <w:sz w:val="26"/>
          <w:szCs w:val="26"/>
          <w:rtl/>
          <w:lang w:bidi="ar-JO"/>
        </w:rPr>
        <w:t>البداية والنهاية</w:t>
      </w:r>
      <w:r w:rsidRPr="00706B94">
        <w:rPr>
          <w:rFonts w:ascii="Arabic Transparent" w:eastAsia="Calibri" w:hAnsi="Arabic Transparent" w:cs="Arabic Transparent"/>
          <w:sz w:val="26"/>
          <w:szCs w:val="26"/>
          <w:rtl/>
          <w:lang w:bidi="ar-JO"/>
        </w:rPr>
        <w:t>، تحقيق محيي الدين ديب مستو وآخرون، ط3، دار ابن كثير – دمشق/بيروت.</w:t>
      </w:r>
    </w:p>
    <w:p w14:paraId="689C592B"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tl/>
          <w:lang w:bidi="ar-JO"/>
        </w:rPr>
      </w:pPr>
      <w:r w:rsidRPr="00706B94">
        <w:rPr>
          <w:rFonts w:ascii="Arabic Transparent" w:eastAsia="Calibri" w:hAnsi="Arabic Transparent" w:cs="Arabic Transparent"/>
          <w:sz w:val="26"/>
          <w:szCs w:val="26"/>
          <w:rtl/>
          <w:lang w:bidi="ar-JO"/>
        </w:rPr>
        <w:t xml:space="preserve">ابن كثير، إسماعيل بن عمر بن كثير القرشي الدمشقي، (2009)، </w:t>
      </w:r>
      <w:r w:rsidRPr="00706B94">
        <w:rPr>
          <w:rFonts w:ascii="Arabic Transparent" w:eastAsia="Calibri" w:hAnsi="Arabic Transparent" w:cs="Arabic Transparent"/>
          <w:b/>
          <w:bCs/>
          <w:sz w:val="26"/>
          <w:szCs w:val="26"/>
          <w:rtl/>
          <w:lang w:bidi="ar-JO"/>
        </w:rPr>
        <w:t>مسند الفاروق أمير المؤمنين أبي حفص عمر بن الخطاب رضي الله عنه وأقواله على أبواب العلم</w:t>
      </w:r>
      <w:r w:rsidRPr="00706B94">
        <w:rPr>
          <w:rFonts w:ascii="Arabic Transparent" w:eastAsia="Calibri" w:hAnsi="Arabic Transparent" w:cs="Arabic Transparent"/>
          <w:sz w:val="26"/>
          <w:szCs w:val="26"/>
          <w:rtl/>
          <w:lang w:bidi="ar-JO"/>
        </w:rPr>
        <w:t xml:space="preserve"> (تحقيق إمام بن علي بن إمام)، ط1، دار الفلاح، الفيوم – مصر.</w:t>
      </w:r>
    </w:p>
    <w:p w14:paraId="5115C2DA"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الكشميري، محمد أنور شاه، (2004)، </w:t>
      </w:r>
      <w:r w:rsidRPr="00706B94">
        <w:rPr>
          <w:rFonts w:ascii="Arabic Transparent" w:eastAsia="Calibri" w:hAnsi="Arabic Transparent" w:cs="Arabic Transparent"/>
          <w:b/>
          <w:bCs/>
          <w:sz w:val="26"/>
          <w:szCs w:val="26"/>
          <w:rtl/>
          <w:lang w:bidi="ar-JO"/>
        </w:rPr>
        <w:t>العرف الشذي شرح سنن الترمذي</w:t>
      </w:r>
      <w:r w:rsidRPr="00706B94">
        <w:rPr>
          <w:rFonts w:ascii="Arabic Transparent" w:eastAsia="Calibri" w:hAnsi="Arabic Transparent" w:cs="Arabic Transparent"/>
          <w:sz w:val="26"/>
          <w:szCs w:val="26"/>
          <w:rtl/>
          <w:lang w:bidi="ar-JO"/>
        </w:rPr>
        <w:t xml:space="preserve"> (تصحيح محمود شاكر) ط1، دار التراث العربي - بيروت، لبنان.</w:t>
      </w:r>
    </w:p>
    <w:p w14:paraId="4AE1052E"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الكفوي، أبو البقاء أيوب بن موسى الحسيني القريمي الحنفي، (1992)، </w:t>
      </w:r>
      <w:r w:rsidRPr="00706B94">
        <w:rPr>
          <w:rFonts w:ascii="Arabic Transparent" w:eastAsia="Calibri" w:hAnsi="Arabic Transparent" w:cs="Arabic Transparent"/>
          <w:b/>
          <w:bCs/>
          <w:sz w:val="26"/>
          <w:szCs w:val="26"/>
          <w:rtl/>
          <w:lang w:bidi="ar-JO"/>
        </w:rPr>
        <w:t>الكليات: معجم في المصطلحات والفروق اللغوية</w:t>
      </w:r>
      <w:r w:rsidRPr="00706B94">
        <w:rPr>
          <w:rFonts w:ascii="Arabic Transparent" w:eastAsia="Calibri" w:hAnsi="Arabic Transparent" w:cs="Arabic Transparent"/>
          <w:sz w:val="26"/>
          <w:szCs w:val="26"/>
          <w:rtl/>
          <w:lang w:bidi="ar-JO"/>
        </w:rPr>
        <w:t>، تحقيق: عدنان درويش ومحمد المصري، د.ط، مؤسسة الرسالة – بيروت.</w:t>
      </w:r>
    </w:p>
    <w:p w14:paraId="35908356"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الكيلاني، جمال (2002)، </w:t>
      </w:r>
      <w:r w:rsidRPr="00706B94">
        <w:rPr>
          <w:rFonts w:ascii="Arabic Transparent" w:eastAsia="Calibri" w:hAnsi="Arabic Transparent" w:cs="Arabic Transparent"/>
          <w:b/>
          <w:bCs/>
          <w:sz w:val="26"/>
          <w:szCs w:val="26"/>
          <w:rtl/>
          <w:lang w:bidi="ar-JO"/>
        </w:rPr>
        <w:t>الإثبات بالمعاينة والخبرة في الفقه والقانون</w:t>
      </w:r>
      <w:r w:rsidRPr="00706B94">
        <w:rPr>
          <w:rFonts w:ascii="Arabic Transparent" w:eastAsia="Calibri" w:hAnsi="Arabic Transparent" w:cs="Arabic Transparent"/>
          <w:sz w:val="26"/>
          <w:szCs w:val="26"/>
          <w:rtl/>
          <w:lang w:bidi="ar-JO"/>
        </w:rPr>
        <w:t>، مجلة جامعة النجاح للأبحاث – العلوم الإنسانية، م16، ع1، جامعة النجاح الوطنية، نابلس – فلسطين.</w:t>
      </w:r>
    </w:p>
    <w:p w14:paraId="040B5AFB"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الكيلاني، عبد الرحمن (2013). </w:t>
      </w:r>
      <w:r w:rsidRPr="00706B94">
        <w:rPr>
          <w:rFonts w:ascii="Arabic Transparent" w:eastAsia="Calibri" w:hAnsi="Arabic Transparent" w:cs="Arabic Transparent"/>
          <w:b/>
          <w:bCs/>
          <w:sz w:val="26"/>
          <w:szCs w:val="26"/>
          <w:rtl/>
          <w:lang w:bidi="ar-JO"/>
        </w:rPr>
        <w:t>أثر الاختلاف في تحقيق المناط في اختلاف المجتهدين: نماذج دالة قديمة ومعاصرة</w:t>
      </w:r>
      <w:r w:rsidRPr="00706B94">
        <w:rPr>
          <w:rFonts w:ascii="Arabic Transparent" w:eastAsia="Calibri" w:hAnsi="Arabic Transparent" w:cs="Arabic Transparent"/>
          <w:sz w:val="26"/>
          <w:szCs w:val="26"/>
          <w:rtl/>
          <w:lang w:bidi="ar-JO"/>
        </w:rPr>
        <w:t>. ورقة مقدمة لندوة مستجدات الفكر الإسلامي الحادية عشرة، الكويت، 18-20/2/2013.</w:t>
      </w:r>
    </w:p>
    <w:p w14:paraId="42ADEF67"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الكيلاني، عبدالرحمن إبراهيم، (2004م) </w:t>
      </w:r>
      <w:r w:rsidRPr="00706B94">
        <w:rPr>
          <w:rFonts w:ascii="Arabic Transparent" w:eastAsia="Calibri" w:hAnsi="Arabic Transparent" w:cs="Arabic Transparent"/>
          <w:b/>
          <w:bCs/>
          <w:sz w:val="26"/>
          <w:szCs w:val="26"/>
          <w:rtl/>
          <w:lang w:bidi="ar-JO"/>
        </w:rPr>
        <w:t>تحقيق المناط عند الأصوليين وأثره في اختلاف الفقهاء</w:t>
      </w:r>
      <w:r w:rsidRPr="00706B94">
        <w:rPr>
          <w:rFonts w:ascii="Arabic Transparent" w:eastAsia="Calibri" w:hAnsi="Arabic Transparent" w:cs="Arabic Transparent"/>
          <w:sz w:val="26"/>
          <w:szCs w:val="26"/>
          <w:rtl/>
          <w:lang w:bidi="ar-JO"/>
        </w:rPr>
        <w:t xml:space="preserve">، مجلة الشريعة والدراسات الإسلامية, عدد 58، جامعة الكويت الكيلاني، عبدالله (2009) ، </w:t>
      </w:r>
      <w:r w:rsidRPr="00706B94">
        <w:rPr>
          <w:rFonts w:ascii="Arabic Transparent" w:eastAsia="Calibri" w:hAnsi="Arabic Transparent" w:cs="Arabic Transparent"/>
          <w:b/>
          <w:bCs/>
          <w:sz w:val="26"/>
          <w:szCs w:val="26"/>
          <w:rtl/>
          <w:lang w:bidi="ar-JO"/>
        </w:rPr>
        <w:t>السياسة الشرعية مدخل إلى تجديد الخطاب الإسلامي</w:t>
      </w:r>
      <w:r w:rsidRPr="00706B94">
        <w:rPr>
          <w:rFonts w:ascii="Arabic Transparent" w:eastAsia="Calibri" w:hAnsi="Arabic Transparent" w:cs="Arabic Transparent"/>
          <w:sz w:val="26"/>
          <w:szCs w:val="26"/>
          <w:rtl/>
          <w:lang w:bidi="ar-JO"/>
        </w:rPr>
        <w:t>، ط1، دار الفرقان للنشر والتوزيع – الأردن.</w:t>
      </w:r>
    </w:p>
    <w:p w14:paraId="25C6204E"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الكيلاني، عبدالله إبراهيم زيد (2001</w:t>
      </w:r>
      <w:r w:rsidRPr="00706B94">
        <w:rPr>
          <w:rFonts w:ascii="Arabic Transparent" w:eastAsia="Calibri" w:hAnsi="Arabic Transparent" w:cs="Arabic Transparent"/>
          <w:b/>
          <w:bCs/>
          <w:sz w:val="26"/>
          <w:szCs w:val="26"/>
          <w:rtl/>
          <w:lang w:bidi="ar-JO"/>
        </w:rPr>
        <w:t>)، نظرية الباعث وأثرها في العقود والتصرفات في الفقه الإسلامي</w:t>
      </w:r>
      <w:r w:rsidRPr="00706B94">
        <w:rPr>
          <w:rFonts w:ascii="Arabic Transparent" w:eastAsia="Calibri" w:hAnsi="Arabic Transparent" w:cs="Arabic Transparent"/>
          <w:sz w:val="26"/>
          <w:szCs w:val="26"/>
          <w:rtl/>
          <w:lang w:bidi="ar-JO"/>
        </w:rPr>
        <w:t>، دار عمار للنشر والتوزيع، عمّان – الأردن.</w:t>
      </w:r>
    </w:p>
    <w:p w14:paraId="3CD21AAA"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tl/>
        </w:rPr>
      </w:pPr>
      <w:r w:rsidRPr="00706B94">
        <w:rPr>
          <w:rFonts w:ascii="Arabic Transparent" w:eastAsia="Calibri" w:hAnsi="Arabic Transparent" w:cs="Arabic Transparent"/>
          <w:sz w:val="26"/>
          <w:szCs w:val="26"/>
          <w:rtl/>
        </w:rPr>
        <w:t xml:space="preserve">لوكيلي، حفيظة، (2020)، </w:t>
      </w:r>
      <w:r w:rsidRPr="00706B94">
        <w:rPr>
          <w:rFonts w:ascii="Arabic Transparent" w:eastAsia="Calibri" w:hAnsi="Arabic Transparent" w:cs="Arabic Transparent"/>
          <w:b/>
          <w:bCs/>
          <w:sz w:val="26"/>
          <w:szCs w:val="26"/>
          <w:rtl/>
        </w:rPr>
        <w:t>تحقيق المناط وأثره في اختلاف الفقهاء في فقه الأموال نموذجاً دراسة تنظرية تطبيقية</w:t>
      </w:r>
      <w:r w:rsidRPr="00706B94">
        <w:rPr>
          <w:rFonts w:ascii="Arabic Transparent" w:eastAsia="Calibri" w:hAnsi="Arabic Transparent" w:cs="Arabic Transparent"/>
          <w:sz w:val="26"/>
          <w:szCs w:val="26"/>
          <w:rtl/>
        </w:rPr>
        <w:t>، ط1، دار الكتب العلمية -بيروت، لبنان.</w:t>
      </w:r>
    </w:p>
    <w:p w14:paraId="6355CCCA"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ابن ماجه، محمد بن يزيد القزويني (2009م). </w:t>
      </w:r>
      <w:r w:rsidRPr="00706B94">
        <w:rPr>
          <w:rFonts w:ascii="Arabic Transparent" w:eastAsia="Calibri" w:hAnsi="Arabic Transparent" w:cs="Arabic Transparent"/>
          <w:b/>
          <w:bCs/>
          <w:sz w:val="26"/>
          <w:szCs w:val="26"/>
          <w:rtl/>
          <w:lang w:bidi="ar-JO"/>
        </w:rPr>
        <w:t>سنن ابن ماجه</w:t>
      </w:r>
      <w:r w:rsidRPr="00706B94">
        <w:rPr>
          <w:rFonts w:ascii="Arabic Transparent" w:eastAsia="Calibri" w:hAnsi="Arabic Transparent" w:cs="Arabic Transparent"/>
          <w:sz w:val="26"/>
          <w:szCs w:val="26"/>
          <w:rtl/>
          <w:lang w:bidi="ar-JO"/>
        </w:rPr>
        <w:t xml:space="preserve"> (تحقيق: شعيب الأرنؤوط، وعادل مرشد، ومحمد كامل قره بللي، وعبد اللطيف حرز الله). ط1، دار الرسالة العالمية، لبنان. </w:t>
      </w:r>
    </w:p>
    <w:p w14:paraId="6D9E43D6"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tl/>
          <w:lang w:bidi="ar-JO"/>
        </w:rPr>
      </w:pPr>
      <w:r w:rsidRPr="00706B94">
        <w:rPr>
          <w:rFonts w:ascii="Arabic Transparent" w:eastAsia="Calibri" w:hAnsi="Arabic Transparent" w:cs="Arabic Transparent"/>
          <w:sz w:val="26"/>
          <w:szCs w:val="26"/>
          <w:rtl/>
          <w:lang w:bidi="ar-JO"/>
        </w:rPr>
        <w:t xml:space="preserve">المارديني، محمد بن عثمان، (1999)، </w:t>
      </w:r>
      <w:r w:rsidRPr="00706B94">
        <w:rPr>
          <w:rFonts w:ascii="Arabic Transparent" w:eastAsia="Calibri" w:hAnsi="Arabic Transparent" w:cs="Arabic Transparent"/>
          <w:b/>
          <w:bCs/>
          <w:sz w:val="26"/>
          <w:szCs w:val="26"/>
          <w:rtl/>
          <w:lang w:bidi="ar-JO"/>
        </w:rPr>
        <w:t>الأنجم الزاهرات على حل ألفاظ الورقات في أصول الفقه</w:t>
      </w:r>
      <w:r w:rsidRPr="00706B94">
        <w:rPr>
          <w:rFonts w:ascii="Arabic Transparent" w:eastAsia="Calibri" w:hAnsi="Arabic Transparent" w:cs="Arabic Transparent"/>
          <w:sz w:val="26"/>
          <w:szCs w:val="26"/>
          <w:rtl/>
          <w:lang w:bidi="ar-JO"/>
        </w:rPr>
        <w:t>، (تحقيق: عبد الكريم بن علي محمد بن النملة)، ط3، مكتبة الرشد - الرياض، السعودية.</w:t>
      </w:r>
    </w:p>
    <w:p w14:paraId="6B9D5C81"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tl/>
          <w:lang w:val="en-AE" w:bidi="ar-JO"/>
        </w:rPr>
      </w:pPr>
      <w:r w:rsidRPr="00706B94">
        <w:rPr>
          <w:rFonts w:ascii="Arabic Transparent" w:eastAsia="Calibri" w:hAnsi="Arabic Transparent" w:cs="Arabic Transparent"/>
          <w:sz w:val="26"/>
          <w:szCs w:val="26"/>
          <w:rtl/>
          <w:lang w:val="en-AE" w:bidi="ar-JO"/>
        </w:rPr>
        <w:t xml:space="preserve">مالك، أنس، (1994)، </w:t>
      </w:r>
      <w:r w:rsidRPr="00706B94">
        <w:rPr>
          <w:rFonts w:ascii="Arabic Transparent" w:eastAsia="Calibri" w:hAnsi="Arabic Transparent" w:cs="Arabic Transparent"/>
          <w:b/>
          <w:bCs/>
          <w:sz w:val="26"/>
          <w:szCs w:val="26"/>
          <w:rtl/>
          <w:lang w:val="en-AE" w:bidi="ar-JO"/>
        </w:rPr>
        <w:t>المدونة الكبرى</w:t>
      </w:r>
      <w:r w:rsidRPr="00706B94">
        <w:rPr>
          <w:rFonts w:ascii="Arabic Transparent" w:eastAsia="Calibri" w:hAnsi="Arabic Transparent" w:cs="Arabic Transparent"/>
          <w:sz w:val="26"/>
          <w:szCs w:val="26"/>
          <w:rtl/>
          <w:lang w:val="en-AE" w:bidi="ar-JO"/>
        </w:rPr>
        <w:t xml:space="preserve">، شرحها ورتبها سحنون, ط1، دار الكتب العلمية، بيروت. </w:t>
      </w:r>
    </w:p>
    <w:p w14:paraId="0EF2B322"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lastRenderedPageBreak/>
        <w:t xml:space="preserve">المالكي، مالك بن أنس (1985). </w:t>
      </w:r>
      <w:r w:rsidRPr="00706B94">
        <w:rPr>
          <w:rFonts w:ascii="Arabic Transparent" w:eastAsia="Calibri" w:hAnsi="Arabic Transparent" w:cs="Arabic Transparent"/>
          <w:b/>
          <w:bCs/>
          <w:sz w:val="26"/>
          <w:szCs w:val="26"/>
          <w:rtl/>
          <w:lang w:bidi="ar-JO"/>
        </w:rPr>
        <w:t>الموطأ (رواية يحيى بن يحيى الليثي؛</w:t>
      </w:r>
      <w:r w:rsidRPr="00706B94">
        <w:rPr>
          <w:rFonts w:ascii="Arabic Transparent" w:eastAsia="Calibri" w:hAnsi="Arabic Transparent" w:cs="Arabic Transparent"/>
          <w:sz w:val="26"/>
          <w:szCs w:val="26"/>
          <w:rtl/>
          <w:lang w:bidi="ar-JO"/>
        </w:rPr>
        <w:t xml:space="preserve"> صححه ورقمه وخرج أحاديثه وعلق عليه: محمد فؤاد عبد الباقي)، د.ط، كتاب البيوع، باب المراطلة، دار إحياء التراث العربي، بيروت.</w:t>
      </w:r>
    </w:p>
    <w:p w14:paraId="0FCED2FB"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الماوردي، علي بن محمد بن حبيب، أبو الحسن، (1999)، </w:t>
      </w:r>
      <w:r w:rsidRPr="00706B94">
        <w:rPr>
          <w:rFonts w:ascii="Arabic Transparent" w:eastAsia="Calibri" w:hAnsi="Arabic Transparent" w:cs="Arabic Transparent"/>
          <w:b/>
          <w:bCs/>
          <w:sz w:val="26"/>
          <w:szCs w:val="26"/>
          <w:rtl/>
          <w:lang w:bidi="ar-JO"/>
        </w:rPr>
        <w:t>الحاوي الكبير في فقه مذهب الإمام الشافعي وهو شرح مختصر المزني</w:t>
      </w:r>
      <w:r w:rsidRPr="00706B94">
        <w:rPr>
          <w:rFonts w:ascii="Arabic Transparent" w:eastAsia="Calibri" w:hAnsi="Arabic Transparent" w:cs="Arabic Transparent"/>
          <w:sz w:val="26"/>
          <w:szCs w:val="26"/>
          <w:rtl/>
          <w:lang w:bidi="ar-JO"/>
        </w:rPr>
        <w:t xml:space="preserve"> (تحقيق علي محمد معوض، وعادل أحمد عبد الموجود)، ط1، دار الكتب العلمية، بيروت.</w:t>
      </w:r>
    </w:p>
    <w:p w14:paraId="0C80A06F"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المجاهد، محمد سعيد، وأبو حماد، زياد عواد (2020م). </w:t>
      </w:r>
      <w:r w:rsidRPr="00706B94">
        <w:rPr>
          <w:rFonts w:ascii="Arabic Transparent" w:eastAsia="Calibri" w:hAnsi="Arabic Transparent" w:cs="Arabic Transparent"/>
          <w:b/>
          <w:bCs/>
          <w:sz w:val="26"/>
          <w:szCs w:val="26"/>
          <w:rtl/>
          <w:lang w:bidi="ar-JO"/>
        </w:rPr>
        <w:t>التعارض بين النصوص: أسبابه ودفعه</w:t>
      </w:r>
      <w:r w:rsidRPr="00706B94">
        <w:rPr>
          <w:rFonts w:ascii="Arabic Transparent" w:eastAsia="Calibri" w:hAnsi="Arabic Transparent" w:cs="Arabic Transparent"/>
          <w:sz w:val="26"/>
          <w:szCs w:val="26"/>
          <w:rtl/>
          <w:lang w:bidi="ar-JO"/>
        </w:rPr>
        <w:t>، دراسات: علوم الشريعة والقانون، 47(4).</w:t>
      </w:r>
    </w:p>
    <w:p w14:paraId="3D976D1C"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tl/>
        </w:rPr>
      </w:pPr>
      <w:r w:rsidRPr="00706B94">
        <w:rPr>
          <w:rFonts w:ascii="Arabic Transparent" w:eastAsia="Calibri" w:hAnsi="Arabic Transparent" w:cs="Arabic Transparent"/>
          <w:sz w:val="26"/>
          <w:szCs w:val="26"/>
          <w:rtl/>
        </w:rPr>
        <w:t xml:space="preserve">المزيني، خالد بن عبدالله(2009) </w:t>
      </w:r>
      <w:r w:rsidRPr="00706B94">
        <w:rPr>
          <w:rFonts w:ascii="Arabic Transparent" w:eastAsia="Calibri" w:hAnsi="Arabic Transparent" w:cs="Arabic Transparent"/>
          <w:b/>
          <w:bCs/>
          <w:sz w:val="26"/>
          <w:szCs w:val="26"/>
          <w:rtl/>
        </w:rPr>
        <w:t>مراحل النظر في النازلة الفقهية</w:t>
      </w:r>
      <w:r w:rsidRPr="00706B94">
        <w:rPr>
          <w:rFonts w:ascii="Arabic Transparent" w:eastAsia="Calibri" w:hAnsi="Arabic Transparent" w:cs="Arabic Transparent"/>
          <w:sz w:val="26"/>
          <w:szCs w:val="26"/>
          <w:rtl/>
        </w:rPr>
        <w:t>، ط1، ص24- 25، مركز التميز البحثي في فقه القضايا المعاصرة – السعودية.</w:t>
      </w:r>
    </w:p>
    <w:p w14:paraId="75419A25"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المجلس الأوروبي للإفتاء والبحوث، </w:t>
      </w:r>
      <w:r w:rsidRPr="00706B94">
        <w:rPr>
          <w:rFonts w:ascii="Arabic Transparent" w:eastAsia="Calibri" w:hAnsi="Arabic Transparent" w:cs="Arabic Transparent"/>
          <w:b/>
          <w:bCs/>
          <w:sz w:val="26"/>
          <w:szCs w:val="26"/>
          <w:rtl/>
          <w:lang w:bidi="ar-JO"/>
        </w:rPr>
        <w:t>بحوث قسم المعاملات المالية</w:t>
      </w:r>
      <w:r w:rsidRPr="00706B94">
        <w:rPr>
          <w:rFonts w:ascii="Arabic Transparent" w:eastAsia="Calibri" w:hAnsi="Arabic Transparent" w:cs="Arabic Transparent"/>
          <w:sz w:val="26"/>
          <w:szCs w:val="26"/>
          <w:rtl/>
          <w:lang w:bidi="ar-JO"/>
        </w:rPr>
        <w:t xml:space="preserve">، المجلس الأوروبي للإفتاء والبحوث، أيرلندا. متاح على: </w:t>
      </w:r>
      <w:r w:rsidRPr="00706B94">
        <w:rPr>
          <w:rFonts w:ascii="Arabic Transparent" w:eastAsia="Calibri" w:hAnsi="Arabic Transparent" w:cs="Arabic Transparent"/>
          <w:sz w:val="26"/>
          <w:szCs w:val="26"/>
          <w:lang w:bidi="ar-JO"/>
        </w:rPr>
        <w:t>e-cfr.org/blog/2018/11/07/</w:t>
      </w:r>
      <w:r w:rsidRPr="00706B94">
        <w:rPr>
          <w:rFonts w:ascii="Arabic Transparent" w:eastAsia="Calibri" w:hAnsi="Arabic Transparent" w:cs="Arabic Transparent"/>
          <w:sz w:val="26"/>
          <w:szCs w:val="26"/>
          <w:rtl/>
          <w:lang w:bidi="ar-JO"/>
        </w:rPr>
        <w:t>حكم-التورق، تاريخ الاطلاع: 7 أبريل 2026.</w:t>
      </w:r>
    </w:p>
    <w:p w14:paraId="70C36883"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مجلس الشؤون الدينية العليا التركي. (2017). </w:t>
      </w:r>
      <w:r w:rsidRPr="00706B94">
        <w:rPr>
          <w:rFonts w:ascii="Arabic Transparent" w:eastAsia="Calibri" w:hAnsi="Arabic Transparent" w:cs="Arabic Transparent"/>
          <w:b/>
          <w:bCs/>
          <w:sz w:val="26"/>
          <w:szCs w:val="26"/>
          <w:rtl/>
          <w:lang w:bidi="ar-JO"/>
        </w:rPr>
        <w:t>ما الحكم الشرعي لاستخدام العملات المشفرة</w:t>
      </w:r>
      <w:r w:rsidRPr="00706B94">
        <w:rPr>
          <w:rFonts w:ascii="Arabic Transparent" w:eastAsia="Calibri" w:hAnsi="Arabic Transparent" w:cs="Arabic Transparent"/>
          <w:sz w:val="26"/>
          <w:szCs w:val="26"/>
          <w:rtl/>
          <w:lang w:bidi="ar-JO"/>
        </w:rPr>
        <w:t>؟. رئاسة الشؤون الدينية التركية (ديانت). 3 ديسمبر 2017م.</w:t>
      </w:r>
    </w:p>
    <w:p w14:paraId="138D5929"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مجمع الفقه الإسلامي الدولي (2013م). </w:t>
      </w:r>
      <w:r w:rsidRPr="00A36EC7">
        <w:rPr>
          <w:rFonts w:ascii="Arabic Transparent" w:eastAsia="Calibri" w:hAnsi="Arabic Transparent" w:cs="Arabic Transparent"/>
          <w:b/>
          <w:bCs/>
          <w:sz w:val="26"/>
          <w:szCs w:val="26"/>
          <w:rtl/>
          <w:lang w:bidi="ar-JO"/>
        </w:rPr>
        <w:t>مجلة مجمع الفقه الإسلامي الدولي</w:t>
      </w:r>
      <w:r w:rsidRPr="00706B94">
        <w:rPr>
          <w:rFonts w:ascii="Arabic Transparent" w:eastAsia="Calibri" w:hAnsi="Arabic Transparent" w:cs="Arabic Transparent"/>
          <w:sz w:val="26"/>
          <w:szCs w:val="26"/>
          <w:rtl/>
          <w:lang w:bidi="ar-JO"/>
        </w:rPr>
        <w:t>، العدد التاسع عشر، الدورة التاسعة عشرة، ط1، ج3، الأمانة العامة للأوقاف بالشارقة، الإمارات العربية المتحدة.</w:t>
      </w:r>
    </w:p>
    <w:p w14:paraId="30A23F34"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مجمع الفقه الإسلامي الدولي (2023)، </w:t>
      </w:r>
      <w:r w:rsidRPr="00706B94">
        <w:rPr>
          <w:rFonts w:ascii="Arabic Transparent" w:eastAsia="Calibri" w:hAnsi="Arabic Transparent" w:cs="Arabic Transparent"/>
          <w:b/>
          <w:bCs/>
          <w:sz w:val="26"/>
          <w:szCs w:val="26"/>
          <w:rtl/>
          <w:lang w:bidi="ar-JO"/>
        </w:rPr>
        <w:t>قرار رقم 240 (25/2): بشأن أثر جائحة كورونا على أحكام العبادات والأسرة والجنايات</w:t>
      </w:r>
      <w:r w:rsidRPr="00706B94">
        <w:rPr>
          <w:rFonts w:ascii="Arabic Transparent" w:eastAsia="Calibri" w:hAnsi="Arabic Transparent" w:cs="Arabic Transparent"/>
          <w:sz w:val="26"/>
          <w:szCs w:val="26"/>
          <w:rtl/>
          <w:lang w:bidi="ar-JO"/>
        </w:rPr>
        <w:t xml:space="preserve">، مجمع الفقه الإسلامي الدولي – جدة، المملكة العربية السعودية. اطلع عليه في: </w:t>
      </w:r>
      <w:r w:rsidRPr="00706B94">
        <w:rPr>
          <w:rFonts w:ascii="Arabic Transparent" w:eastAsia="Calibri" w:hAnsi="Arabic Transparent" w:cs="Arabic Transparent"/>
          <w:sz w:val="26"/>
          <w:szCs w:val="26"/>
          <w:lang w:bidi="ar-JO"/>
        </w:rPr>
        <w:t>iifa-aifi.org/ar/44189.html</w:t>
      </w:r>
      <w:r w:rsidRPr="00706B94">
        <w:rPr>
          <w:rFonts w:ascii="Arabic Transparent" w:eastAsia="Calibri" w:hAnsi="Arabic Transparent" w:cs="Arabic Transparent"/>
          <w:sz w:val="26"/>
          <w:szCs w:val="26"/>
          <w:rtl/>
          <w:lang w:bidi="ar-JO"/>
        </w:rPr>
        <w:t>، 4 أكتوبر 2025.</w:t>
      </w:r>
    </w:p>
    <w:p w14:paraId="5B5F8867"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المجمع الفقهي الإسلامي التابع لرابطة العالم الإسلامي (2003م</w:t>
      </w:r>
      <w:r w:rsidRPr="00706B94">
        <w:rPr>
          <w:rFonts w:ascii="Arabic Transparent" w:eastAsia="Calibri" w:hAnsi="Arabic Transparent" w:cs="Arabic Transparent"/>
          <w:b/>
          <w:bCs/>
          <w:sz w:val="26"/>
          <w:szCs w:val="26"/>
          <w:rtl/>
          <w:lang w:bidi="ar-JO"/>
        </w:rPr>
        <w:t>). قرار بشأن التورق المصرفي المنظم،</w:t>
      </w:r>
      <w:r w:rsidRPr="00706B94">
        <w:rPr>
          <w:rFonts w:ascii="Arabic Transparent" w:eastAsia="Calibri" w:hAnsi="Arabic Transparent" w:cs="Arabic Transparent"/>
          <w:sz w:val="26"/>
          <w:szCs w:val="26"/>
          <w:rtl/>
          <w:lang w:bidi="ar-JO"/>
        </w:rPr>
        <w:t xml:space="preserve"> الدورة السابعة عشرة، مكة المكرمة، الموافق 13-17 ديسمبر 2003م.</w:t>
      </w:r>
    </w:p>
    <w:p w14:paraId="7B00C170"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مجموعة الؤلفين، (1972)، </w:t>
      </w:r>
      <w:r w:rsidRPr="00706B94">
        <w:rPr>
          <w:rFonts w:ascii="Arabic Transparent" w:eastAsia="Calibri" w:hAnsi="Arabic Transparent" w:cs="Arabic Transparent"/>
          <w:b/>
          <w:bCs/>
          <w:sz w:val="26"/>
          <w:szCs w:val="26"/>
          <w:rtl/>
          <w:lang w:bidi="ar-JO"/>
        </w:rPr>
        <w:t>المعجم الوسيط</w:t>
      </w:r>
      <w:r w:rsidRPr="00706B94">
        <w:rPr>
          <w:rFonts w:ascii="Arabic Transparent" w:eastAsia="Calibri" w:hAnsi="Arabic Transparent" w:cs="Arabic Transparent"/>
          <w:sz w:val="26"/>
          <w:szCs w:val="26"/>
          <w:rtl/>
          <w:lang w:bidi="ar-JO"/>
        </w:rPr>
        <w:t>، ط2، مجمع اللغة العربية، القاهرة.</w:t>
      </w:r>
    </w:p>
    <w:p w14:paraId="6709E6B6"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مجموعة من العلماء بإشراف مجمع البحوث الإسلامية بالأزهر (1973-1993). </w:t>
      </w:r>
      <w:r w:rsidRPr="00706B94">
        <w:rPr>
          <w:rFonts w:ascii="Arabic Transparent" w:eastAsia="Calibri" w:hAnsi="Arabic Transparent" w:cs="Arabic Transparent"/>
          <w:b/>
          <w:bCs/>
          <w:sz w:val="26"/>
          <w:szCs w:val="26"/>
          <w:rtl/>
          <w:lang w:bidi="ar-JO"/>
        </w:rPr>
        <w:t>التفسير الوسيط للقرآن الكريم</w:t>
      </w:r>
      <w:r w:rsidRPr="00706B94">
        <w:rPr>
          <w:rFonts w:ascii="Arabic Transparent" w:eastAsia="Calibri" w:hAnsi="Arabic Transparent" w:cs="Arabic Transparent"/>
          <w:sz w:val="26"/>
          <w:szCs w:val="26"/>
          <w:rtl/>
          <w:lang w:bidi="ar-JO"/>
        </w:rPr>
        <w:t>، ط1، الهيئة العامة لشؤون المطابع الأميرية، القاهرة.</w:t>
      </w:r>
    </w:p>
    <w:p w14:paraId="01E4CC3B"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مجموعة من المشاركين (2010)، </w:t>
      </w:r>
      <w:r w:rsidRPr="00706B94">
        <w:rPr>
          <w:rFonts w:ascii="Arabic Transparent" w:eastAsia="Calibri" w:hAnsi="Arabic Transparent" w:cs="Arabic Transparent"/>
          <w:b/>
          <w:bCs/>
          <w:sz w:val="26"/>
          <w:szCs w:val="26"/>
          <w:rtl/>
          <w:lang w:bidi="ar-JO"/>
        </w:rPr>
        <w:t>توصيات ندوة فقه القضايا المعاصرة</w:t>
      </w:r>
      <w:r w:rsidRPr="00706B94">
        <w:rPr>
          <w:rFonts w:ascii="Arabic Transparent" w:eastAsia="Calibri" w:hAnsi="Arabic Transparent" w:cs="Arabic Transparent"/>
          <w:sz w:val="26"/>
          <w:szCs w:val="26"/>
          <w:rtl/>
          <w:lang w:bidi="ar-JO"/>
        </w:rPr>
        <w:t>، مركز التمييز البحثي في– جامعة الإمام محمد بن سعود الإسلامية – الرياض.</w:t>
      </w:r>
    </w:p>
    <w:p w14:paraId="417BAD6E"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مجموعة من المشاركين، (2006)، </w:t>
      </w:r>
      <w:r w:rsidRPr="00706B94">
        <w:rPr>
          <w:rFonts w:ascii="Arabic Transparent" w:eastAsia="Calibri" w:hAnsi="Arabic Transparent" w:cs="Arabic Transparent"/>
          <w:b/>
          <w:bCs/>
          <w:sz w:val="26"/>
          <w:szCs w:val="26"/>
          <w:rtl/>
          <w:lang w:bidi="ar-JO"/>
        </w:rPr>
        <w:t>الدورة السابعة عشرة لمجلس مجمع الفقه الإسلامي الدولي التابع لمنظمة العالم الإسلامي</w:t>
      </w:r>
      <w:r w:rsidRPr="00706B94">
        <w:rPr>
          <w:rFonts w:ascii="Arabic Transparent" w:eastAsia="Calibri" w:hAnsi="Arabic Transparent" w:cs="Arabic Transparent"/>
          <w:sz w:val="26"/>
          <w:szCs w:val="26"/>
          <w:rtl/>
          <w:lang w:bidi="ar-JO"/>
        </w:rPr>
        <w:t>- جدة، قرار رقم (153) (17/2) بشأن الإفتاء شروطه وآدابه – المنعقد في الأردن.</w:t>
      </w:r>
    </w:p>
    <w:p w14:paraId="40B91F11"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مجموعة من المؤلفين (2009)، </w:t>
      </w:r>
      <w:r w:rsidRPr="00706B94">
        <w:rPr>
          <w:rFonts w:ascii="Arabic Transparent" w:eastAsia="Calibri" w:hAnsi="Arabic Transparent" w:cs="Arabic Transparent"/>
          <w:b/>
          <w:bCs/>
          <w:sz w:val="26"/>
          <w:szCs w:val="26"/>
          <w:rtl/>
          <w:lang w:bidi="ar-JO"/>
        </w:rPr>
        <w:t>كتاب فتاوى الشبكة الإسلامية</w:t>
      </w:r>
      <w:r w:rsidRPr="00706B94">
        <w:rPr>
          <w:rFonts w:ascii="Arabic Transparent" w:eastAsia="Calibri" w:hAnsi="Arabic Transparent" w:cs="Arabic Transparent"/>
          <w:sz w:val="26"/>
          <w:szCs w:val="26"/>
          <w:rtl/>
          <w:lang w:bidi="ar-JO"/>
        </w:rPr>
        <w:t>، تم الاطلاع عليه 22/1/2026.</w:t>
      </w:r>
      <w:r w:rsidRPr="00706B94">
        <w:rPr>
          <w:rFonts w:ascii="Arabic Transparent" w:eastAsia="Calibri" w:hAnsi="Arabic Transparent" w:cs="Arabic Transparent"/>
          <w:sz w:val="26"/>
          <w:szCs w:val="26"/>
          <w:lang w:bidi="ar-JO"/>
        </w:rPr>
        <w:t>http://www.islamweb.</w:t>
      </w:r>
    </w:p>
    <w:p w14:paraId="18E9B24F"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مجموعة من المؤلفين (2014). </w:t>
      </w:r>
      <w:r w:rsidRPr="00706B94">
        <w:rPr>
          <w:rFonts w:ascii="Arabic Transparent" w:eastAsia="Calibri" w:hAnsi="Arabic Transparent" w:cs="Arabic Transparent"/>
          <w:b/>
          <w:bCs/>
          <w:sz w:val="26"/>
          <w:szCs w:val="26"/>
          <w:rtl/>
          <w:lang w:bidi="ar-JO"/>
        </w:rPr>
        <w:t>الموسوعة الميسرة في فقه القضايا المعاصرة</w:t>
      </w:r>
      <w:r w:rsidRPr="00706B94">
        <w:rPr>
          <w:rFonts w:ascii="Arabic Transparent" w:eastAsia="Calibri" w:hAnsi="Arabic Transparent" w:cs="Arabic Transparent"/>
          <w:sz w:val="26"/>
          <w:szCs w:val="26"/>
          <w:rtl/>
          <w:lang w:bidi="ar-JO"/>
        </w:rPr>
        <w:t>، ط1، جامعة الإمام محمد بن سعود الإسلامية، الرياض.</w:t>
      </w:r>
    </w:p>
    <w:p w14:paraId="586A4016"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lastRenderedPageBreak/>
        <w:t xml:space="preserve">مجموعة من المؤلفين (د.ت) </w:t>
      </w:r>
      <w:r w:rsidRPr="00706B94">
        <w:rPr>
          <w:rFonts w:ascii="Arabic Transparent" w:eastAsia="Calibri" w:hAnsi="Arabic Transparent" w:cs="Arabic Transparent"/>
          <w:b/>
          <w:bCs/>
          <w:sz w:val="26"/>
          <w:szCs w:val="26"/>
          <w:rtl/>
          <w:lang w:bidi="ar-JO"/>
        </w:rPr>
        <w:t>مجلة المنار</w:t>
      </w:r>
      <w:r w:rsidRPr="00706B94">
        <w:rPr>
          <w:rFonts w:ascii="Arabic Transparent" w:eastAsia="Calibri" w:hAnsi="Arabic Transparent" w:cs="Arabic Transparent"/>
          <w:sz w:val="26"/>
          <w:szCs w:val="26"/>
          <w:rtl/>
          <w:lang w:bidi="ar-JO"/>
        </w:rPr>
        <w:t>، أشرف على تحريرها محمد رشيد رضا، دار العلم، القاهرة.</w:t>
      </w:r>
    </w:p>
    <w:p w14:paraId="7F297F74"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مجموعة من المؤلفين (د.ت). </w:t>
      </w:r>
      <w:r w:rsidRPr="00706B94">
        <w:rPr>
          <w:rFonts w:ascii="Arabic Transparent" w:eastAsia="Calibri" w:hAnsi="Arabic Transparent" w:cs="Arabic Transparent"/>
          <w:b/>
          <w:bCs/>
          <w:sz w:val="26"/>
          <w:szCs w:val="26"/>
          <w:rtl/>
          <w:lang w:bidi="ar-JO"/>
        </w:rPr>
        <w:t>المعجم الجامع في تراجم العلماء وطلبة العلم المعاصرين</w:t>
      </w:r>
      <w:r w:rsidRPr="00706B94">
        <w:rPr>
          <w:rFonts w:ascii="Arabic Transparent" w:eastAsia="Calibri" w:hAnsi="Arabic Transparent" w:cs="Arabic Transparent"/>
          <w:sz w:val="26"/>
          <w:szCs w:val="26"/>
          <w:rtl/>
          <w:lang w:bidi="ar-JO"/>
        </w:rPr>
        <w:t>، (د.ط)،</w:t>
      </w:r>
    </w:p>
    <w:p w14:paraId="760B81D1"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مجموعة من المؤلفين (د.ت.)، </w:t>
      </w:r>
      <w:r w:rsidRPr="00706B94">
        <w:rPr>
          <w:rFonts w:ascii="Arabic Transparent" w:eastAsia="Calibri" w:hAnsi="Arabic Transparent" w:cs="Arabic Transparent"/>
          <w:b/>
          <w:bCs/>
          <w:sz w:val="26"/>
          <w:szCs w:val="26"/>
          <w:rtl/>
          <w:lang w:bidi="ar-JO"/>
        </w:rPr>
        <w:t>مجلة الأحكام العدلية</w:t>
      </w:r>
      <w:r w:rsidRPr="00706B94">
        <w:rPr>
          <w:rFonts w:ascii="Arabic Transparent" w:eastAsia="Calibri" w:hAnsi="Arabic Transparent" w:cs="Arabic Transparent"/>
          <w:sz w:val="26"/>
          <w:szCs w:val="26"/>
          <w:rtl/>
          <w:lang w:bidi="ar-JO"/>
        </w:rPr>
        <w:t>، تحقيق: نجيب هواويني، نور محمد، كارخانه تجارة الكتب، آرام باغ – كراتشي.</w:t>
      </w:r>
    </w:p>
    <w:p w14:paraId="328038B8"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مجموعة من المؤلفين، (2009)، </w:t>
      </w:r>
      <w:r w:rsidRPr="00706B94">
        <w:rPr>
          <w:rFonts w:ascii="Arabic Transparent" w:eastAsia="Calibri" w:hAnsi="Arabic Transparent" w:cs="Arabic Transparent"/>
          <w:b/>
          <w:bCs/>
          <w:sz w:val="26"/>
          <w:szCs w:val="26"/>
          <w:rtl/>
          <w:lang w:bidi="ar-JO"/>
        </w:rPr>
        <w:t>فتاوى الشبكة الإسلامية</w:t>
      </w:r>
      <w:r w:rsidRPr="00706B94">
        <w:rPr>
          <w:rFonts w:ascii="Arabic Transparent" w:eastAsia="Calibri" w:hAnsi="Arabic Transparent" w:cs="Arabic Transparent"/>
          <w:sz w:val="26"/>
          <w:szCs w:val="26"/>
          <w:rtl/>
          <w:lang w:bidi="ar-JO"/>
        </w:rPr>
        <w:t>، ط1، دار المعارف، جدة.</w:t>
      </w:r>
    </w:p>
    <w:p w14:paraId="7C0CC62E"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مجموعة من المؤلفين، بإشراف: محمد حجي (1981م). </w:t>
      </w:r>
      <w:r w:rsidRPr="00706B94">
        <w:rPr>
          <w:rFonts w:ascii="Arabic Transparent" w:eastAsia="Calibri" w:hAnsi="Arabic Transparent" w:cs="Arabic Transparent"/>
          <w:b/>
          <w:bCs/>
          <w:sz w:val="26"/>
          <w:szCs w:val="26"/>
          <w:rtl/>
          <w:lang w:bidi="ar-JO"/>
        </w:rPr>
        <w:t>المعيار المعرب</w:t>
      </w:r>
      <w:r w:rsidRPr="00706B94">
        <w:rPr>
          <w:rFonts w:ascii="Arabic Transparent" w:eastAsia="Calibri" w:hAnsi="Arabic Transparent" w:cs="Arabic Transparent"/>
          <w:sz w:val="26"/>
          <w:szCs w:val="26"/>
          <w:rtl/>
          <w:lang w:bidi="ar-JO"/>
        </w:rPr>
        <w:t>، وزارة الأوقاف والشؤون الإسلامية، المملكة المغربية؛ دار الغرب الإسلامي، بيروت.</w:t>
      </w:r>
    </w:p>
    <w:p w14:paraId="111BBCAA"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مجموعة من المؤلفين، </w:t>
      </w:r>
      <w:r w:rsidRPr="00706B94">
        <w:rPr>
          <w:rFonts w:ascii="Arabic Transparent" w:eastAsia="Calibri" w:hAnsi="Arabic Transparent" w:cs="Arabic Transparent"/>
          <w:b/>
          <w:bCs/>
          <w:sz w:val="26"/>
          <w:szCs w:val="26"/>
          <w:rtl/>
          <w:lang w:bidi="ar-JO"/>
        </w:rPr>
        <w:t>مجلة مجمع الفقه الإسلامي الدولي</w:t>
      </w:r>
      <w:r w:rsidRPr="00706B94">
        <w:rPr>
          <w:rFonts w:ascii="Arabic Transparent" w:eastAsia="Calibri" w:hAnsi="Arabic Transparent" w:cs="Arabic Transparent"/>
          <w:sz w:val="26"/>
          <w:szCs w:val="26"/>
          <w:rtl/>
          <w:lang w:bidi="ar-JO"/>
        </w:rPr>
        <w:t>، تصدر عن مجمع الفقه الإسلامي الدولي التابع لمنظمة المؤتمر الإسلامي، العدد الخاص بأبحاث الدورة التاسعة عشرة، الشارقة، 1-5 جمادى الأولى 1430هـ / 26-30 أبريل 2009م</w:t>
      </w:r>
    </w:p>
    <w:p w14:paraId="7021733D"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مجموعة من المؤلفين،2012، </w:t>
      </w:r>
      <w:r w:rsidRPr="00706B94">
        <w:rPr>
          <w:rFonts w:ascii="Arabic Transparent" w:eastAsia="Calibri" w:hAnsi="Arabic Transparent" w:cs="Arabic Transparent"/>
          <w:b/>
          <w:bCs/>
          <w:sz w:val="26"/>
          <w:szCs w:val="26"/>
          <w:rtl/>
          <w:lang w:bidi="ar-JO"/>
        </w:rPr>
        <w:t>الموسوعة الفقهية الكويتية</w:t>
      </w:r>
      <w:r w:rsidRPr="00706B94">
        <w:rPr>
          <w:rFonts w:ascii="Arabic Transparent" w:eastAsia="Calibri" w:hAnsi="Arabic Transparent" w:cs="Arabic Transparent"/>
          <w:sz w:val="26"/>
          <w:szCs w:val="26"/>
          <w:rtl/>
          <w:lang w:bidi="ar-JO"/>
        </w:rPr>
        <w:t>. ط2، وزارة الأوقاف والشؤون الإسلامية، الكويت.</w:t>
      </w:r>
    </w:p>
    <w:p w14:paraId="4E4ECED0"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مجموعة من الؤلفين (2022) </w:t>
      </w:r>
      <w:r w:rsidRPr="00706B94">
        <w:rPr>
          <w:rFonts w:ascii="Arabic Transparent" w:eastAsia="Calibri" w:hAnsi="Arabic Transparent" w:cs="Arabic Transparent"/>
          <w:b/>
          <w:bCs/>
          <w:sz w:val="26"/>
          <w:szCs w:val="26"/>
          <w:rtl/>
          <w:lang w:bidi="ar-JO"/>
        </w:rPr>
        <w:t>موسوعة الفتاوى الاقتصادية</w:t>
      </w:r>
      <w:r w:rsidRPr="00706B94">
        <w:rPr>
          <w:rFonts w:ascii="Arabic Transparent" w:eastAsia="Calibri" w:hAnsi="Arabic Transparent" w:cs="Arabic Transparent"/>
          <w:sz w:val="26"/>
          <w:szCs w:val="26"/>
          <w:rtl/>
          <w:lang w:bidi="ar-JO"/>
        </w:rPr>
        <w:t>، ط1، الشبكة الإسلامية العالمية، الرياض.</w:t>
      </w:r>
    </w:p>
    <w:p w14:paraId="4060F1E1"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المحمد، خلف محمد، (2010) </w:t>
      </w:r>
      <w:r w:rsidRPr="00706B94">
        <w:rPr>
          <w:rFonts w:ascii="Arabic Transparent" w:eastAsia="Calibri" w:hAnsi="Arabic Transparent" w:cs="Arabic Transparent"/>
          <w:b/>
          <w:bCs/>
          <w:sz w:val="26"/>
          <w:szCs w:val="26"/>
          <w:rtl/>
          <w:lang w:bidi="ar-JO"/>
        </w:rPr>
        <w:t>تحقيق المناط الخاص وأثره في تنزيل الحكم الشرعي على محله</w:t>
      </w:r>
      <w:r w:rsidRPr="00706B94">
        <w:rPr>
          <w:rFonts w:ascii="Arabic Transparent" w:eastAsia="Calibri" w:hAnsi="Arabic Transparent" w:cs="Arabic Transparent"/>
          <w:sz w:val="26"/>
          <w:szCs w:val="26"/>
          <w:rtl/>
          <w:lang w:bidi="ar-JO"/>
        </w:rPr>
        <w:t>، مجلة كلية الشريعة والقانون بطنطا، ع25، جامعة الأزهر -مصر</w:t>
      </w:r>
    </w:p>
    <w:p w14:paraId="622C294A"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محمد، فتح الرحمن (2009)، </w:t>
      </w:r>
      <w:r w:rsidRPr="00706B94">
        <w:rPr>
          <w:rFonts w:ascii="Arabic Transparent" w:eastAsia="Calibri" w:hAnsi="Arabic Transparent" w:cs="Arabic Transparent"/>
          <w:b/>
          <w:bCs/>
          <w:sz w:val="26"/>
          <w:szCs w:val="26"/>
          <w:rtl/>
          <w:lang w:bidi="ar-JO"/>
        </w:rPr>
        <w:t>الربط القياسي جداوه وصلاحيته في الحقوق والالتزامات الآجلة</w:t>
      </w:r>
      <w:r w:rsidRPr="00706B94">
        <w:rPr>
          <w:rFonts w:ascii="Arabic Transparent" w:eastAsia="Calibri" w:hAnsi="Arabic Transparent" w:cs="Arabic Transparent"/>
          <w:sz w:val="26"/>
          <w:szCs w:val="26"/>
          <w:rtl/>
          <w:lang w:bidi="ar-JO"/>
        </w:rPr>
        <w:t>، ع26، ص40، مجلة المال والاقتصاد، بنك فيصل الإسلامي.</w:t>
      </w:r>
    </w:p>
    <w:p w14:paraId="5338F2F1"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مدكور، محمد سلام (1972م). </w:t>
      </w:r>
      <w:r w:rsidRPr="00706B94">
        <w:rPr>
          <w:rFonts w:ascii="Arabic Transparent" w:eastAsia="Calibri" w:hAnsi="Arabic Transparent" w:cs="Arabic Transparent"/>
          <w:b/>
          <w:bCs/>
          <w:sz w:val="26"/>
          <w:szCs w:val="26"/>
          <w:rtl/>
          <w:lang w:bidi="ar-JO"/>
        </w:rPr>
        <w:t>مناهج الاجتهاد في الإسلام</w:t>
      </w:r>
      <w:r w:rsidRPr="00706B94">
        <w:rPr>
          <w:rFonts w:ascii="Arabic Transparent" w:eastAsia="Calibri" w:hAnsi="Arabic Transparent" w:cs="Arabic Transparent"/>
          <w:sz w:val="26"/>
          <w:szCs w:val="26"/>
          <w:rtl/>
          <w:lang w:bidi="ar-JO"/>
        </w:rPr>
        <w:t>، ط1 جامعة الكويت، الكويت.</w:t>
      </w:r>
    </w:p>
    <w:p w14:paraId="4ACCF971"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مراد، فضل بن عبد الله (2016). </w:t>
      </w:r>
      <w:r w:rsidRPr="00706B94">
        <w:rPr>
          <w:rFonts w:ascii="Arabic Transparent" w:eastAsia="Calibri" w:hAnsi="Arabic Transparent" w:cs="Arabic Transparent"/>
          <w:b/>
          <w:bCs/>
          <w:sz w:val="26"/>
          <w:szCs w:val="26"/>
          <w:rtl/>
          <w:lang w:bidi="ar-JO"/>
        </w:rPr>
        <w:t>المقدمة في فقه العصر</w:t>
      </w:r>
      <w:r w:rsidRPr="00706B94">
        <w:rPr>
          <w:rFonts w:ascii="Arabic Transparent" w:eastAsia="Calibri" w:hAnsi="Arabic Transparent" w:cs="Arabic Transparent"/>
          <w:sz w:val="26"/>
          <w:szCs w:val="26"/>
          <w:rtl/>
          <w:lang w:bidi="ar-JO"/>
        </w:rPr>
        <w:t>، ط2، صنعاء: الجيل الجديد ناشرون، اليمن.</w:t>
      </w:r>
    </w:p>
    <w:p w14:paraId="348A417D"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مراد، هيثم محمد نجم (٢٠٢٢). </w:t>
      </w:r>
      <w:r w:rsidRPr="00706B94">
        <w:rPr>
          <w:rFonts w:ascii="Arabic Transparent" w:eastAsia="Calibri" w:hAnsi="Arabic Transparent" w:cs="Arabic Transparent"/>
          <w:b/>
          <w:bCs/>
          <w:sz w:val="26"/>
          <w:szCs w:val="26"/>
          <w:rtl/>
          <w:lang w:bidi="ar-JO"/>
        </w:rPr>
        <w:t>أحكام الرسوم والعمولات التجارية والمصرفية</w:t>
      </w:r>
      <w:r w:rsidRPr="00706B94">
        <w:rPr>
          <w:rFonts w:ascii="Arabic Transparent" w:eastAsia="Calibri" w:hAnsi="Arabic Transparent" w:cs="Arabic Transparent"/>
          <w:sz w:val="26"/>
          <w:szCs w:val="26"/>
          <w:rtl/>
          <w:lang w:bidi="ar-JO"/>
        </w:rPr>
        <w:t xml:space="preserve"> – </w:t>
      </w:r>
      <w:r w:rsidRPr="00706B94">
        <w:rPr>
          <w:rFonts w:ascii="Arabic Transparent" w:eastAsia="Calibri" w:hAnsi="Arabic Transparent" w:cs="Arabic Transparent"/>
          <w:b/>
          <w:bCs/>
          <w:sz w:val="26"/>
          <w:szCs w:val="26"/>
          <w:rtl/>
          <w:lang w:bidi="ar-JO"/>
        </w:rPr>
        <w:t>عمولة قرض الإسكان العراقي أنموذجاً</w:t>
      </w:r>
      <w:r w:rsidRPr="00706B94">
        <w:rPr>
          <w:rFonts w:ascii="Arabic Transparent" w:eastAsia="Calibri" w:hAnsi="Arabic Transparent" w:cs="Arabic Transparent"/>
          <w:sz w:val="26"/>
          <w:szCs w:val="26"/>
          <w:rtl/>
          <w:lang w:bidi="ar-JO"/>
        </w:rPr>
        <w:t>، ملحق مجلة الجامعة العراقية، العدد (1/17)، كلية الإمام الأعظم الجامعة، بغداد.</w:t>
      </w:r>
    </w:p>
    <w:p w14:paraId="36FF1F4B"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المرداوي، علي بن سليمان بن أحمد، أبو الحسن، علاء الدين.(1995) </w:t>
      </w:r>
      <w:r w:rsidRPr="00706B94">
        <w:rPr>
          <w:rFonts w:ascii="Arabic Transparent" w:eastAsia="Calibri" w:hAnsi="Arabic Transparent" w:cs="Arabic Transparent"/>
          <w:b/>
          <w:bCs/>
          <w:sz w:val="26"/>
          <w:szCs w:val="26"/>
          <w:rtl/>
          <w:lang w:bidi="ar-JO"/>
        </w:rPr>
        <w:t>الإنصاف في معرفة الراجح من الخلاف</w:t>
      </w:r>
      <w:r w:rsidRPr="00706B94">
        <w:rPr>
          <w:rFonts w:ascii="Arabic Transparent" w:eastAsia="Calibri" w:hAnsi="Arabic Transparent" w:cs="Arabic Transparent"/>
          <w:sz w:val="26"/>
          <w:szCs w:val="26"/>
          <w:rtl/>
          <w:lang w:bidi="ar-JO"/>
        </w:rPr>
        <w:t>. تحقيق: عبد الله بن عبد المحسن التركي، وعبد الفتاح محمد الحلو. ط1. هجر للطباعة والنشر -القاهرة.</w:t>
      </w:r>
    </w:p>
    <w:p w14:paraId="746053A3"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المرداوي، علي بن سليمان، (2000م)، ا</w:t>
      </w:r>
      <w:r w:rsidRPr="00706B94">
        <w:rPr>
          <w:rFonts w:ascii="Arabic Transparent" w:eastAsia="Calibri" w:hAnsi="Arabic Transparent" w:cs="Arabic Transparent"/>
          <w:b/>
          <w:bCs/>
          <w:sz w:val="26"/>
          <w:szCs w:val="26"/>
          <w:rtl/>
          <w:lang w:bidi="ar-JO"/>
        </w:rPr>
        <w:t>لتحبير شرح التحرير في أصول الفقه</w:t>
      </w:r>
      <w:r w:rsidRPr="00706B94">
        <w:rPr>
          <w:rFonts w:ascii="Arabic Transparent" w:eastAsia="Calibri" w:hAnsi="Arabic Transparent" w:cs="Arabic Transparent"/>
          <w:sz w:val="26"/>
          <w:szCs w:val="26"/>
          <w:rtl/>
          <w:lang w:bidi="ar-JO"/>
        </w:rPr>
        <w:t xml:space="preserve">، تحقيق عبد الرحمن الجبرين وعوض القرني وأحمد السراح، ط1، مكتبة الرشد – الرياض. </w:t>
      </w:r>
    </w:p>
    <w:p w14:paraId="2E759ACA"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المرغيناني، برهان الدين أبو الحسن علي بن أبي بكر بن عبد الجليل الرشداني (2004). </w:t>
      </w:r>
      <w:r w:rsidRPr="00706B94">
        <w:rPr>
          <w:rFonts w:ascii="Arabic Transparent" w:eastAsia="Calibri" w:hAnsi="Arabic Transparent" w:cs="Arabic Transparent"/>
          <w:b/>
          <w:bCs/>
          <w:sz w:val="26"/>
          <w:szCs w:val="26"/>
          <w:rtl/>
          <w:lang w:bidi="ar-JO"/>
        </w:rPr>
        <w:t>الهداية في شرح بداية المبتدي</w:t>
      </w:r>
      <w:r w:rsidRPr="00706B94">
        <w:rPr>
          <w:rFonts w:ascii="Arabic Transparent" w:eastAsia="Calibri" w:hAnsi="Arabic Transparent" w:cs="Arabic Transparent"/>
          <w:sz w:val="26"/>
          <w:szCs w:val="26"/>
          <w:rtl/>
          <w:lang w:bidi="ar-JO"/>
        </w:rPr>
        <w:t>، اعتنى بتصحيحه: طلال يوسف، ط1، دار احياء التراث العربي، بيروت - لبنان</w:t>
      </w:r>
    </w:p>
    <w:p w14:paraId="70BFF38C"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lastRenderedPageBreak/>
        <w:t xml:space="preserve">مركز الفتوى - جامعة النجاح الوطنية. (2023). </w:t>
      </w:r>
      <w:r w:rsidRPr="00706B94">
        <w:rPr>
          <w:rFonts w:ascii="Arabic Transparent" w:eastAsia="Calibri" w:hAnsi="Arabic Transparent" w:cs="Arabic Transparent"/>
          <w:b/>
          <w:bCs/>
          <w:sz w:val="26"/>
          <w:szCs w:val="26"/>
          <w:rtl/>
          <w:lang w:bidi="ar-JO"/>
        </w:rPr>
        <w:t>حكم التجارة بطريقة الدروب شيبنج (</w:t>
      </w:r>
      <w:r w:rsidRPr="00706B94">
        <w:rPr>
          <w:rFonts w:ascii="Arabic Transparent" w:eastAsia="Calibri" w:hAnsi="Arabic Transparent" w:cs="Arabic Transparent"/>
          <w:b/>
          <w:bCs/>
          <w:sz w:val="26"/>
          <w:szCs w:val="26"/>
          <w:lang w:bidi="ar-JO"/>
        </w:rPr>
        <w:t xml:space="preserve">dropshipping). </w:t>
      </w:r>
      <w:r w:rsidRPr="00706B94">
        <w:rPr>
          <w:rFonts w:ascii="Arabic Transparent" w:eastAsia="Calibri" w:hAnsi="Arabic Transparent" w:cs="Arabic Transparent"/>
          <w:sz w:val="26"/>
          <w:szCs w:val="26"/>
          <w:rtl/>
          <w:lang w:bidi="ar-JO"/>
        </w:rPr>
        <w:t xml:space="preserve">فتوى رقم: 621128. 16 نوفمبر 2023م. نابلس: جامعة النجاح الوطنية، فلسطين. متاح على: </w:t>
      </w:r>
      <w:r w:rsidRPr="00706B94">
        <w:rPr>
          <w:rFonts w:ascii="Arabic Transparent" w:eastAsia="Calibri" w:hAnsi="Arabic Transparent" w:cs="Arabic Transparent"/>
          <w:sz w:val="26"/>
          <w:szCs w:val="26"/>
          <w:lang w:bidi="ar-JO"/>
        </w:rPr>
        <w:t>https://fatwa.najah.edu/</w:t>
      </w:r>
    </w:p>
    <w:p w14:paraId="0EEF3C98"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المروزي، إسحاق بن منصور بن بهرام(2002)، </w:t>
      </w:r>
      <w:r w:rsidRPr="00706B94">
        <w:rPr>
          <w:rFonts w:ascii="Arabic Transparent" w:eastAsia="Calibri" w:hAnsi="Arabic Transparent" w:cs="Arabic Transparent"/>
          <w:b/>
          <w:bCs/>
          <w:sz w:val="26"/>
          <w:szCs w:val="26"/>
          <w:rtl/>
          <w:lang w:bidi="ar-JO"/>
        </w:rPr>
        <w:t>مسائل الإمام أحمد بن حنبل وإسحاق بن راهويه</w:t>
      </w:r>
      <w:r w:rsidRPr="00706B94">
        <w:rPr>
          <w:rFonts w:ascii="Arabic Transparent" w:eastAsia="Calibri" w:hAnsi="Arabic Transparent" w:cs="Arabic Transparent"/>
          <w:sz w:val="26"/>
          <w:szCs w:val="26"/>
          <w:rtl/>
          <w:lang w:bidi="ar-JO"/>
        </w:rPr>
        <w:t>، ط1، عمادة البحث العلمي، الجامعة الإسلامية بالمدينة المنورة، المملكة العربية السعودية.</w:t>
      </w:r>
    </w:p>
    <w:p w14:paraId="0AF45B14"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المسعودي، محمد(1995) </w:t>
      </w:r>
      <w:r w:rsidRPr="00706B94">
        <w:rPr>
          <w:rFonts w:ascii="Arabic Transparent" w:eastAsia="Calibri" w:hAnsi="Arabic Transparent" w:cs="Arabic Transparent"/>
          <w:b/>
          <w:bCs/>
          <w:sz w:val="26"/>
          <w:szCs w:val="26"/>
          <w:rtl/>
          <w:lang w:bidi="ar-JO"/>
        </w:rPr>
        <w:t>كتاب الحيل</w:t>
      </w:r>
      <w:r w:rsidRPr="00706B94">
        <w:rPr>
          <w:rFonts w:ascii="Arabic Transparent" w:eastAsia="Calibri" w:hAnsi="Arabic Transparent" w:cs="Arabic Transparent"/>
          <w:sz w:val="26"/>
          <w:szCs w:val="26"/>
          <w:rtl/>
          <w:lang w:bidi="ar-JO"/>
        </w:rPr>
        <w:t>، ط1، مطابع الجامعة الإسلامية، السعودية.</w:t>
      </w:r>
    </w:p>
    <w:p w14:paraId="5B56C928"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مسلم، مسلم بن الحجاج، (1955) </w:t>
      </w:r>
      <w:r w:rsidRPr="00706B94">
        <w:rPr>
          <w:rFonts w:ascii="Arabic Transparent" w:eastAsia="Calibri" w:hAnsi="Arabic Transparent" w:cs="Arabic Transparent"/>
          <w:b/>
          <w:bCs/>
          <w:sz w:val="26"/>
          <w:szCs w:val="26"/>
          <w:rtl/>
          <w:lang w:bidi="ar-JO"/>
        </w:rPr>
        <w:t>صحيحُ مسلم= المسند الصحيح المختصر من السنن بنقل العدل عن العدل إلى رسول الله ﷺ،</w:t>
      </w:r>
      <w:r w:rsidRPr="00706B94">
        <w:rPr>
          <w:rFonts w:ascii="Arabic Transparent" w:eastAsia="Calibri" w:hAnsi="Arabic Transparent" w:cs="Arabic Transparent"/>
          <w:sz w:val="26"/>
          <w:szCs w:val="26"/>
          <w:rtl/>
          <w:lang w:bidi="ar-JO"/>
        </w:rPr>
        <w:t xml:space="preserve"> (تحقيق محمد فؤاد عبد الباقي)،ط1، مطبعة عيسى البابي الحلبي وشركاه – القاهرة.</w:t>
      </w:r>
    </w:p>
    <w:p w14:paraId="44587863" w14:textId="58A69F92" w:rsidR="00706B94" w:rsidRPr="00A36EC7" w:rsidRDefault="00706B94" w:rsidP="00E27BD9">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A36EC7">
        <w:rPr>
          <w:rFonts w:ascii="Arabic Transparent" w:eastAsia="Calibri" w:hAnsi="Arabic Transparent" w:cs="Arabic Transparent"/>
          <w:sz w:val="26"/>
          <w:szCs w:val="26"/>
          <w:rtl/>
          <w:lang w:bidi="ar-JO"/>
        </w:rPr>
        <w:t xml:space="preserve">مشوقة، حمزة، </w:t>
      </w:r>
      <w:r w:rsidRPr="00A36EC7">
        <w:rPr>
          <w:rFonts w:ascii="Arabic Transparent" w:eastAsia="Calibri" w:hAnsi="Arabic Transparent" w:cs="Arabic Transparent"/>
          <w:b/>
          <w:bCs/>
          <w:sz w:val="26"/>
          <w:szCs w:val="26"/>
          <w:rtl/>
          <w:lang w:bidi="ar-JO"/>
        </w:rPr>
        <w:t xml:space="preserve">سلسلة من الأبحاث منشورة على مجلة الإفتاء الأردنية تتعلق بالمعاملات المالية </w:t>
      </w:r>
      <w:r w:rsidRPr="00A36EC7">
        <w:rPr>
          <w:rFonts w:ascii="Arabic Transparent" w:eastAsia="Calibri" w:hAnsi="Arabic Transparent" w:cs="Arabic Transparent"/>
          <w:sz w:val="26"/>
          <w:szCs w:val="26"/>
          <w:rtl/>
          <w:lang w:bidi="ar-JO"/>
        </w:rPr>
        <w:t xml:space="preserve">على الرابط: </w:t>
      </w:r>
      <w:r w:rsidRPr="00A36EC7">
        <w:rPr>
          <w:rFonts w:ascii="Arabic Transparent" w:eastAsia="Calibri" w:hAnsi="Arabic Transparent" w:cs="Arabic Transparent"/>
          <w:sz w:val="26"/>
          <w:szCs w:val="26"/>
          <w:lang w:bidi="ar-JO"/>
        </w:rPr>
        <w:t>https://www.aliftaa.jo/Research/250</w:t>
      </w:r>
      <w:r w:rsidRPr="00A36EC7">
        <w:rPr>
          <w:rFonts w:ascii="Arabic Transparent" w:eastAsia="Calibri" w:hAnsi="Arabic Transparent" w:cs="Arabic Transparent"/>
          <w:sz w:val="26"/>
          <w:szCs w:val="26"/>
          <w:rtl/>
          <w:lang w:bidi="ar-JO"/>
        </w:rPr>
        <w:t>، تاريخ الاطلاع 7/10/2025.</w:t>
      </w:r>
    </w:p>
    <w:p w14:paraId="110F365A"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مصطفى نسيم، (2005)، رسالة ماجستير بعنوان: </w:t>
      </w:r>
      <w:r w:rsidRPr="00706B94">
        <w:rPr>
          <w:rFonts w:ascii="Arabic Transparent" w:eastAsia="Calibri" w:hAnsi="Arabic Transparent" w:cs="Arabic Transparent"/>
          <w:b/>
          <w:bCs/>
          <w:sz w:val="26"/>
          <w:szCs w:val="26"/>
          <w:rtl/>
          <w:lang w:bidi="ar-JO"/>
        </w:rPr>
        <w:t>تحقيق المناط وأثره في اختلاف الأحكام الفقهية</w:t>
      </w:r>
      <w:r w:rsidRPr="00706B94">
        <w:rPr>
          <w:rFonts w:ascii="Arabic Transparent" w:eastAsia="Calibri" w:hAnsi="Arabic Transparent" w:cs="Arabic Transparent"/>
          <w:sz w:val="26"/>
          <w:szCs w:val="26"/>
          <w:rtl/>
          <w:lang w:bidi="ar-JO"/>
        </w:rPr>
        <w:t>، كلية العلوم الإنسانية -قسم العلوم الإسلامية، جامعة وهران، الجزائر.</w:t>
      </w:r>
    </w:p>
    <w:p w14:paraId="0FA4D0A6"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المصلح، خالد بن عبدالله، 2015، </w:t>
      </w:r>
      <w:r w:rsidRPr="00706B94">
        <w:rPr>
          <w:rFonts w:ascii="Arabic Transparent" w:eastAsia="Calibri" w:hAnsi="Arabic Transparent" w:cs="Arabic Transparent"/>
          <w:b/>
          <w:bCs/>
          <w:sz w:val="26"/>
          <w:szCs w:val="26"/>
          <w:rtl/>
          <w:lang w:bidi="ar-JO"/>
        </w:rPr>
        <w:t>النوازل الفقهية دراسة تأصيلية تطبيقية</w:t>
      </w:r>
      <w:r w:rsidRPr="00706B94">
        <w:rPr>
          <w:rFonts w:ascii="Arabic Transparent" w:eastAsia="Calibri" w:hAnsi="Arabic Transparent" w:cs="Arabic Transparent"/>
          <w:sz w:val="26"/>
          <w:szCs w:val="26"/>
          <w:rtl/>
          <w:lang w:bidi="ar-JO"/>
        </w:rPr>
        <w:t>، د.ط، الندوة العلمية، جامعة القصيم.</w:t>
      </w:r>
    </w:p>
    <w:p w14:paraId="40E51B64"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مصيلحي، عبد الفتاح بن محمد، (2022)، </w:t>
      </w:r>
      <w:r w:rsidRPr="00706B94">
        <w:rPr>
          <w:rFonts w:ascii="Arabic Transparent" w:eastAsia="Calibri" w:hAnsi="Arabic Transparent" w:cs="Arabic Transparent"/>
          <w:b/>
          <w:bCs/>
          <w:sz w:val="26"/>
          <w:szCs w:val="26"/>
          <w:rtl/>
          <w:lang w:bidi="ar-JO"/>
        </w:rPr>
        <w:t>جامع المسائل والقواعد في علم الأصول والمقاصد</w:t>
      </w:r>
      <w:r w:rsidRPr="00706B94">
        <w:rPr>
          <w:rFonts w:ascii="Arabic Transparent" w:eastAsia="Calibri" w:hAnsi="Arabic Transparent" w:cs="Arabic Transparent"/>
          <w:sz w:val="26"/>
          <w:szCs w:val="26"/>
          <w:rtl/>
          <w:lang w:bidi="ar-JO"/>
        </w:rPr>
        <w:t>، ط1، دار اللؤلؤة للنشر والتوزيع، المنصورة – مصر.</w:t>
      </w:r>
    </w:p>
    <w:p w14:paraId="30588FD0"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المعيدي، عبد الله بن راضي (2017). </w:t>
      </w:r>
      <w:r w:rsidRPr="00706B94">
        <w:rPr>
          <w:rFonts w:ascii="Arabic Transparent" w:eastAsia="Calibri" w:hAnsi="Arabic Transparent" w:cs="Arabic Transparent"/>
          <w:b/>
          <w:bCs/>
          <w:sz w:val="26"/>
          <w:szCs w:val="26"/>
          <w:rtl/>
          <w:lang w:bidi="ar-JO"/>
        </w:rPr>
        <w:t>أحكام عقود التمويل في الفقه الإسلامي</w:t>
      </w:r>
      <w:r w:rsidRPr="00706B94">
        <w:rPr>
          <w:rFonts w:ascii="Arabic Transparent" w:eastAsia="Calibri" w:hAnsi="Arabic Transparent" w:cs="Arabic Transparent"/>
          <w:sz w:val="26"/>
          <w:szCs w:val="26"/>
          <w:rtl/>
          <w:lang w:bidi="ar-JO"/>
        </w:rPr>
        <w:t>، ط1، ص96، دار كنوز إشبيليا للنشر والتوزيع، الرياض.</w:t>
      </w:r>
    </w:p>
    <w:p w14:paraId="5091F926"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المقدسي، عبد الرحمن بن إبراهيم (2003). </w:t>
      </w:r>
      <w:r w:rsidRPr="00706B94">
        <w:rPr>
          <w:rFonts w:ascii="Arabic Transparent" w:eastAsia="Calibri" w:hAnsi="Arabic Transparent" w:cs="Arabic Transparent"/>
          <w:b/>
          <w:bCs/>
          <w:sz w:val="26"/>
          <w:szCs w:val="26"/>
          <w:rtl/>
          <w:lang w:bidi="ar-JO"/>
        </w:rPr>
        <w:t>العدة شرح العمدة</w:t>
      </w:r>
      <w:r w:rsidRPr="00706B94">
        <w:rPr>
          <w:rFonts w:ascii="Arabic Transparent" w:eastAsia="Calibri" w:hAnsi="Arabic Transparent" w:cs="Arabic Transparent"/>
          <w:sz w:val="26"/>
          <w:szCs w:val="26"/>
          <w:rtl/>
          <w:lang w:bidi="ar-JO"/>
        </w:rPr>
        <w:t>، في فقه إمام السنة أحمد بن حنبل. تحقيق أحمد بن علي، دار الحديث، القاهرة.</w:t>
      </w:r>
    </w:p>
    <w:p w14:paraId="0B1017CD"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tl/>
          <w:lang w:bidi="ar-JO"/>
        </w:rPr>
      </w:pPr>
      <w:r w:rsidRPr="00706B94">
        <w:rPr>
          <w:rFonts w:ascii="Arabic Transparent" w:eastAsia="Calibri" w:hAnsi="Arabic Transparent" w:cs="Arabic Transparent"/>
          <w:sz w:val="26"/>
          <w:szCs w:val="26"/>
          <w:rtl/>
          <w:lang w:bidi="ar-JO"/>
        </w:rPr>
        <w:t xml:space="preserve">ابن مفلح، شمس الدين محمد المقدسي،(2003)، </w:t>
      </w:r>
      <w:r w:rsidRPr="00706B94">
        <w:rPr>
          <w:rFonts w:ascii="Arabic Transparent" w:eastAsia="Calibri" w:hAnsi="Arabic Transparent" w:cs="Arabic Transparent"/>
          <w:b/>
          <w:bCs/>
          <w:sz w:val="26"/>
          <w:szCs w:val="26"/>
          <w:rtl/>
          <w:lang w:bidi="ar-JO"/>
        </w:rPr>
        <w:t>الفروع</w:t>
      </w:r>
      <w:r w:rsidRPr="00706B94">
        <w:rPr>
          <w:rFonts w:ascii="Arabic Transparent" w:eastAsia="Calibri" w:hAnsi="Arabic Transparent" w:cs="Arabic Transparent"/>
          <w:sz w:val="26"/>
          <w:szCs w:val="26"/>
          <w:rtl/>
          <w:lang w:bidi="ar-JO"/>
        </w:rPr>
        <w:t>، ومعه: تصحيح الفروع لعلاء الدين المرداوي، تحقيق: عبد الله بن عبد المحسن التركي، ط1، مؤسسة الرسالة، بيروت؛ دار المؤيد، الرياض.</w:t>
      </w:r>
    </w:p>
    <w:p w14:paraId="036DC3A8"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ابن الملقن، سراج الدين أبو حفص عمر بن علي الأنصاري، (2010)، </w:t>
      </w:r>
      <w:r w:rsidRPr="00706B94">
        <w:rPr>
          <w:rFonts w:ascii="Arabic Transparent" w:eastAsia="Calibri" w:hAnsi="Arabic Transparent" w:cs="Arabic Transparent"/>
          <w:b/>
          <w:bCs/>
          <w:sz w:val="26"/>
          <w:szCs w:val="26"/>
          <w:rtl/>
        </w:rPr>
        <w:t>الأشباه والنظائر في قواعد الفقه</w:t>
      </w:r>
      <w:r w:rsidRPr="00706B94">
        <w:rPr>
          <w:rFonts w:ascii="Arabic Transparent" w:eastAsia="Calibri" w:hAnsi="Arabic Transparent" w:cs="Arabic Transparent"/>
          <w:sz w:val="26"/>
          <w:szCs w:val="26"/>
          <w:rtl/>
        </w:rPr>
        <w:t xml:space="preserve"> (تحقيق مصطفى محمود الأزهري)، ط1، دار ابن القيم – الرياض، المملكة العربية السعودية.</w:t>
      </w:r>
    </w:p>
    <w:p w14:paraId="24F7AFA4"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المناوي، عبدالرؤوف بن تاج العارفين، (1990م)، </w:t>
      </w:r>
      <w:r w:rsidRPr="00706B94">
        <w:rPr>
          <w:rFonts w:ascii="Arabic Transparent" w:eastAsia="Calibri" w:hAnsi="Arabic Transparent" w:cs="Arabic Transparent"/>
          <w:b/>
          <w:bCs/>
          <w:sz w:val="26"/>
          <w:szCs w:val="26"/>
          <w:rtl/>
          <w:lang w:bidi="ar-JO"/>
        </w:rPr>
        <w:t>التوقيف على مهمات التعاريف</w:t>
      </w:r>
      <w:r w:rsidRPr="00706B94">
        <w:rPr>
          <w:rFonts w:ascii="Arabic Transparent" w:eastAsia="Calibri" w:hAnsi="Arabic Transparent" w:cs="Arabic Transparent"/>
          <w:sz w:val="26"/>
          <w:szCs w:val="26"/>
          <w:rtl/>
          <w:lang w:bidi="ar-JO"/>
        </w:rPr>
        <w:t>، ط1، دار الفكر، القاهرة.</w:t>
      </w:r>
    </w:p>
    <w:p w14:paraId="4D19F57A"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المناوي، عبد الرؤوف بن تاج العارفين، (1937)، </w:t>
      </w:r>
      <w:r w:rsidRPr="00706B94">
        <w:rPr>
          <w:rFonts w:ascii="Arabic Transparent" w:eastAsia="Calibri" w:hAnsi="Arabic Transparent" w:cs="Arabic Transparent"/>
          <w:b/>
          <w:bCs/>
          <w:sz w:val="26"/>
          <w:szCs w:val="26"/>
          <w:rtl/>
          <w:lang w:bidi="ar-JO"/>
        </w:rPr>
        <w:t>فيض القدير شرح الجامع الصغير</w:t>
      </w:r>
      <w:r w:rsidRPr="00706B94">
        <w:rPr>
          <w:rFonts w:ascii="Arabic Transparent" w:eastAsia="Calibri" w:hAnsi="Arabic Transparent" w:cs="Arabic Transparent"/>
          <w:sz w:val="26"/>
          <w:szCs w:val="26"/>
          <w:rtl/>
          <w:lang w:bidi="ar-JO"/>
        </w:rPr>
        <w:t>، ط1، المكتبة التجارية الكبرى – مصر.</w:t>
      </w:r>
    </w:p>
    <w:p w14:paraId="77EB2D6C"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المنجد، محمد صالح، (2025م). </w:t>
      </w:r>
      <w:r w:rsidRPr="00706B94">
        <w:rPr>
          <w:rFonts w:ascii="Arabic Transparent" w:eastAsia="Calibri" w:hAnsi="Arabic Transparent" w:cs="Arabic Transparent"/>
          <w:b/>
          <w:bCs/>
          <w:sz w:val="26"/>
          <w:szCs w:val="26"/>
          <w:rtl/>
          <w:lang w:bidi="ar-JO"/>
        </w:rPr>
        <w:t>ما حكم المرابحة في المنافع والخدمات كالحج ومصاريف المدارس؟</w:t>
      </w:r>
      <w:r w:rsidRPr="00706B94">
        <w:rPr>
          <w:rFonts w:ascii="Arabic Transparent" w:eastAsia="Calibri" w:hAnsi="Arabic Transparent" w:cs="Arabic Transparent"/>
          <w:sz w:val="26"/>
          <w:szCs w:val="26"/>
          <w:rtl/>
          <w:lang w:bidi="ar-JO"/>
        </w:rPr>
        <w:t xml:space="preserve">، سؤال رقم: 545435، متاح على: </w:t>
      </w:r>
      <w:r w:rsidRPr="00706B94">
        <w:rPr>
          <w:rFonts w:ascii="Arabic Transparent" w:eastAsia="Calibri" w:hAnsi="Arabic Transparent" w:cs="Arabic Transparent"/>
          <w:sz w:val="26"/>
          <w:szCs w:val="26"/>
          <w:lang w:bidi="ar-JO"/>
        </w:rPr>
        <w:t>https://islamqa.info/ar/answers/545435</w:t>
      </w:r>
      <w:r w:rsidRPr="00706B94">
        <w:rPr>
          <w:rFonts w:ascii="Arabic Transparent" w:eastAsia="Calibri" w:hAnsi="Arabic Transparent" w:cs="Arabic Transparent"/>
          <w:sz w:val="26"/>
          <w:szCs w:val="26"/>
          <w:rtl/>
          <w:lang w:bidi="ar-JO"/>
        </w:rPr>
        <w:t>، تاريخ الاطلاع: 11 أبريل 2026م.</w:t>
      </w:r>
    </w:p>
    <w:p w14:paraId="143A7BDA"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lastRenderedPageBreak/>
        <w:t xml:space="preserve">ابن المنذر، أبو بكر محمد بن إبراهيم بن المنذر النيسابوري (2004). </w:t>
      </w:r>
      <w:r w:rsidRPr="00706B94">
        <w:rPr>
          <w:rFonts w:ascii="Arabic Transparent" w:eastAsia="Calibri" w:hAnsi="Arabic Transparent" w:cs="Arabic Transparent"/>
          <w:b/>
          <w:bCs/>
          <w:sz w:val="26"/>
          <w:szCs w:val="26"/>
          <w:rtl/>
        </w:rPr>
        <w:t>الإجماع</w:t>
      </w:r>
      <w:r w:rsidRPr="00706B94">
        <w:rPr>
          <w:rFonts w:ascii="Arabic Transparent" w:eastAsia="Calibri" w:hAnsi="Arabic Transparent" w:cs="Arabic Transparent"/>
          <w:sz w:val="26"/>
          <w:szCs w:val="26"/>
          <w:rtl/>
        </w:rPr>
        <w:t>، تحقيق أبو عبد الأعلى خالد بن محمد بن عثمان. ط1. دار الآثار للنشر والتوزيع، القاهرة.</w:t>
      </w:r>
    </w:p>
    <w:p w14:paraId="22AE182A"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tl/>
          <w:lang w:bidi="ar-JO"/>
        </w:rPr>
      </w:pPr>
      <w:r w:rsidRPr="00706B94">
        <w:rPr>
          <w:rFonts w:ascii="Arabic Transparent" w:eastAsia="Calibri" w:hAnsi="Arabic Transparent" w:cs="Arabic Transparent"/>
          <w:sz w:val="26"/>
          <w:szCs w:val="26"/>
          <w:rtl/>
          <w:lang w:bidi="ar-JO"/>
        </w:rPr>
        <w:t xml:space="preserve">ابن منظور، محمد بن مكرم، أبو الفضل جمال الدين، (1993)، </w:t>
      </w:r>
      <w:r w:rsidRPr="00706B94">
        <w:rPr>
          <w:rFonts w:ascii="Arabic Transparent" w:eastAsia="Calibri" w:hAnsi="Arabic Transparent" w:cs="Arabic Transparent"/>
          <w:b/>
          <w:bCs/>
          <w:sz w:val="26"/>
          <w:szCs w:val="26"/>
          <w:rtl/>
          <w:lang w:bidi="ar-JO"/>
        </w:rPr>
        <w:t>لسان العرب</w:t>
      </w:r>
      <w:r w:rsidRPr="00706B94">
        <w:rPr>
          <w:rFonts w:ascii="Arabic Transparent" w:eastAsia="Calibri" w:hAnsi="Arabic Transparent" w:cs="Arabic Transparent"/>
          <w:sz w:val="26"/>
          <w:szCs w:val="26"/>
          <w:rtl/>
          <w:lang w:bidi="ar-JO"/>
        </w:rPr>
        <w:t>، ط3، دار صادر، بيروت.</w:t>
      </w:r>
    </w:p>
    <w:p w14:paraId="0BE1BF0E"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المنياوي، محمود بن محمد، (2011)، </w:t>
      </w:r>
      <w:r w:rsidRPr="00706B94">
        <w:rPr>
          <w:rFonts w:ascii="Arabic Transparent" w:eastAsia="Calibri" w:hAnsi="Arabic Transparent" w:cs="Arabic Transparent"/>
          <w:b/>
          <w:bCs/>
          <w:sz w:val="26"/>
          <w:szCs w:val="26"/>
          <w:rtl/>
          <w:lang w:bidi="ar-JO"/>
        </w:rPr>
        <w:t>الشرح الكبير لمختصر الأصول من علم الأصول</w:t>
      </w:r>
      <w:r w:rsidRPr="00706B94">
        <w:rPr>
          <w:rFonts w:ascii="Arabic Transparent" w:eastAsia="Calibri" w:hAnsi="Arabic Transparent" w:cs="Arabic Transparent"/>
          <w:sz w:val="26"/>
          <w:szCs w:val="26"/>
          <w:rtl/>
          <w:lang w:bidi="ar-JO"/>
        </w:rPr>
        <w:t>، ط1، المكتبة الشاملة - مصر.</w:t>
      </w:r>
    </w:p>
    <w:p w14:paraId="6E6B2D9C"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tl/>
          <w:lang w:bidi="ar-JO"/>
        </w:rPr>
      </w:pPr>
      <w:r w:rsidRPr="00706B94">
        <w:rPr>
          <w:rFonts w:ascii="Arabic Transparent" w:eastAsia="Calibri" w:hAnsi="Arabic Transparent" w:cs="Arabic Transparent"/>
          <w:sz w:val="26"/>
          <w:szCs w:val="26"/>
          <w:rtl/>
          <w:lang w:bidi="ar-JO"/>
        </w:rPr>
        <w:t xml:space="preserve">الموصلي، عبد الله بن محمود بن مودود (1937). </w:t>
      </w:r>
      <w:r w:rsidRPr="00706B94">
        <w:rPr>
          <w:rFonts w:ascii="Arabic Transparent" w:eastAsia="Calibri" w:hAnsi="Arabic Transparent" w:cs="Arabic Transparent"/>
          <w:b/>
          <w:bCs/>
          <w:sz w:val="26"/>
          <w:szCs w:val="26"/>
          <w:rtl/>
          <w:lang w:bidi="ar-JO"/>
        </w:rPr>
        <w:t>الاختيار لتعليل المختار</w:t>
      </w:r>
      <w:r w:rsidRPr="00706B94">
        <w:rPr>
          <w:rFonts w:ascii="Arabic Transparent" w:eastAsia="Calibri" w:hAnsi="Arabic Transparent" w:cs="Arabic Transparent"/>
          <w:sz w:val="26"/>
          <w:szCs w:val="26"/>
          <w:rtl/>
          <w:lang w:bidi="ar-JO"/>
        </w:rPr>
        <w:t>، تعليق: محمود أبو دقيقة، مطبعة الحلبي، القاهرة.</w:t>
      </w:r>
    </w:p>
    <w:p w14:paraId="20C1BC59"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النجار، أحمد هشام قاسم. (2019</w:t>
      </w:r>
      <w:r w:rsidRPr="00706B94">
        <w:rPr>
          <w:rFonts w:ascii="Arabic Transparent" w:eastAsia="Calibri" w:hAnsi="Arabic Transparent" w:cs="Arabic Transparent"/>
          <w:b/>
          <w:bCs/>
          <w:sz w:val="26"/>
          <w:szCs w:val="26"/>
          <w:rtl/>
          <w:lang w:bidi="ar-JO"/>
        </w:rPr>
        <w:t>). العملات الافتراضية المشفرة: دراسة اقتصادية شرعية محاسبية</w:t>
      </w:r>
      <w:r w:rsidRPr="00706B94">
        <w:rPr>
          <w:rFonts w:ascii="Arabic Transparent" w:eastAsia="Calibri" w:hAnsi="Arabic Transparent" w:cs="Arabic Transparent"/>
          <w:sz w:val="26"/>
          <w:szCs w:val="26"/>
          <w:rtl/>
          <w:lang w:bidi="ar-JO"/>
        </w:rPr>
        <w:t>. ط1. عمان: دار النفائس للنشر والتوزيع، الأردن.</w:t>
      </w:r>
    </w:p>
    <w:p w14:paraId="436373C7"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ابن النجار، محمد بن أحمد، (1997)، </w:t>
      </w:r>
      <w:r w:rsidRPr="00706B94">
        <w:rPr>
          <w:rFonts w:ascii="Arabic Transparent" w:eastAsia="Calibri" w:hAnsi="Arabic Transparent" w:cs="Arabic Transparent"/>
          <w:b/>
          <w:bCs/>
          <w:sz w:val="26"/>
          <w:szCs w:val="26"/>
          <w:rtl/>
        </w:rPr>
        <w:t>شرح الكوكب المنير = المختبر المبتكر شرح المختصر</w:t>
      </w:r>
      <w:r w:rsidRPr="00706B94">
        <w:rPr>
          <w:rFonts w:ascii="Arabic Transparent" w:eastAsia="Calibri" w:hAnsi="Arabic Transparent" w:cs="Arabic Transparent"/>
          <w:sz w:val="26"/>
          <w:szCs w:val="26"/>
          <w:rtl/>
        </w:rPr>
        <w:t xml:space="preserve"> (تحقيق محمد الزحيلي ونزيه حماد) ط2، مكتبة العبيكان - الرياض.</w:t>
      </w:r>
    </w:p>
    <w:p w14:paraId="595D8424"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ابن نجيم، زين الدين بن إبراهيم بن محمد (1999). </w:t>
      </w:r>
      <w:r w:rsidRPr="00706B94">
        <w:rPr>
          <w:rFonts w:ascii="Arabic Transparent" w:eastAsia="Calibri" w:hAnsi="Arabic Transparent" w:cs="Arabic Transparent"/>
          <w:b/>
          <w:bCs/>
          <w:sz w:val="26"/>
          <w:szCs w:val="26"/>
          <w:rtl/>
          <w:lang w:bidi="ar-JO"/>
        </w:rPr>
        <w:t>الأشباه والنظائر على مذهب أبي حنيفة النعمان</w:t>
      </w:r>
      <w:r w:rsidRPr="00706B94">
        <w:rPr>
          <w:rFonts w:ascii="Arabic Transparent" w:eastAsia="Calibri" w:hAnsi="Arabic Transparent" w:cs="Arabic Transparent"/>
          <w:sz w:val="26"/>
          <w:szCs w:val="26"/>
          <w:rtl/>
          <w:lang w:bidi="ar-JO"/>
        </w:rPr>
        <w:t>، وضع حواشيه: زكريا عميرات، ط1، دار الكتب العلمية، بيروت.</w:t>
      </w:r>
    </w:p>
    <w:p w14:paraId="73A333AA"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tl/>
          <w:lang w:bidi="ar-JO"/>
        </w:rPr>
      </w:pPr>
      <w:r w:rsidRPr="00706B94">
        <w:rPr>
          <w:rFonts w:ascii="Arabic Transparent" w:eastAsia="Calibri" w:hAnsi="Arabic Transparent" w:cs="Arabic Transparent"/>
          <w:sz w:val="26"/>
          <w:szCs w:val="26"/>
          <w:rtl/>
          <w:lang w:bidi="ar-JO"/>
        </w:rPr>
        <w:t xml:space="preserve">ابن نجيم، زين الدين بن إبراهيم، (د.ت)، </w:t>
      </w:r>
      <w:r w:rsidRPr="00706B94">
        <w:rPr>
          <w:rFonts w:ascii="Arabic Transparent" w:eastAsia="Calibri" w:hAnsi="Arabic Transparent" w:cs="Arabic Transparent"/>
          <w:b/>
          <w:bCs/>
          <w:sz w:val="26"/>
          <w:szCs w:val="26"/>
          <w:rtl/>
          <w:lang w:bidi="ar-JO"/>
        </w:rPr>
        <w:t>البحر الرائق شرح كنز الدقائق</w:t>
      </w:r>
      <w:r w:rsidRPr="00706B94">
        <w:rPr>
          <w:rFonts w:ascii="Arabic Transparent" w:eastAsia="Calibri" w:hAnsi="Arabic Transparent" w:cs="Arabic Transparent"/>
          <w:sz w:val="26"/>
          <w:szCs w:val="26"/>
          <w:rtl/>
          <w:lang w:bidi="ar-JO"/>
        </w:rPr>
        <w:t>، ط2، دار الكتاب الإسلامي – القاهرة.</w:t>
      </w:r>
    </w:p>
    <w:p w14:paraId="5701F1C0"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النسفي، أبو البركات عبد الله بن أحمد بن محمود حافظ الدين (1998). </w:t>
      </w:r>
      <w:r w:rsidRPr="00706B94">
        <w:rPr>
          <w:rFonts w:ascii="Arabic Transparent" w:eastAsia="Calibri" w:hAnsi="Arabic Transparent" w:cs="Arabic Transparent"/>
          <w:b/>
          <w:bCs/>
          <w:sz w:val="26"/>
          <w:szCs w:val="26"/>
          <w:rtl/>
          <w:lang w:bidi="ar-JO"/>
        </w:rPr>
        <w:t>مدارك التنزيل وحقائق التأويل</w:t>
      </w:r>
      <w:r w:rsidRPr="00706B94">
        <w:rPr>
          <w:rFonts w:ascii="Arabic Transparent" w:eastAsia="Calibri" w:hAnsi="Arabic Transparent" w:cs="Arabic Transparent"/>
          <w:sz w:val="26"/>
          <w:szCs w:val="26"/>
          <w:rtl/>
          <w:lang w:bidi="ar-JO"/>
        </w:rPr>
        <w:t>. حققه يوسف علي بديوي، راجعه محيي الدين ديب مستو. ط1. دار الكلم الطيب، بيروت.</w:t>
      </w:r>
    </w:p>
    <w:p w14:paraId="00A4294C"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النملة، عبد الكريم علي، (2005)، </w:t>
      </w:r>
      <w:r w:rsidRPr="00706B94">
        <w:rPr>
          <w:rFonts w:ascii="Arabic Transparent" w:eastAsia="Calibri" w:hAnsi="Arabic Transparent" w:cs="Arabic Transparent"/>
          <w:b/>
          <w:bCs/>
          <w:sz w:val="26"/>
          <w:szCs w:val="26"/>
          <w:rtl/>
          <w:lang w:bidi="ar-JO"/>
        </w:rPr>
        <w:t>تيسير مسائل الفقه شرح الروض المربع</w:t>
      </w:r>
      <w:r w:rsidRPr="00706B94">
        <w:rPr>
          <w:rFonts w:ascii="Arabic Transparent" w:eastAsia="Calibri" w:hAnsi="Arabic Transparent" w:cs="Arabic Transparent"/>
          <w:sz w:val="26"/>
          <w:szCs w:val="26"/>
          <w:rtl/>
          <w:lang w:bidi="ar-JO"/>
        </w:rPr>
        <w:t>، ط1، مكتبة الرشد - الرياض، السعودية.</w:t>
      </w:r>
    </w:p>
    <w:p w14:paraId="34D0F438"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النووي، يحيى بن شرف (1988م). </w:t>
      </w:r>
      <w:r w:rsidRPr="00706B94">
        <w:rPr>
          <w:rFonts w:ascii="Arabic Transparent" w:eastAsia="Calibri" w:hAnsi="Arabic Transparent" w:cs="Arabic Transparent"/>
          <w:b/>
          <w:bCs/>
          <w:sz w:val="26"/>
          <w:szCs w:val="26"/>
          <w:rtl/>
          <w:lang w:bidi="ar-JO"/>
        </w:rPr>
        <w:t>آداب الفتوى والمفتي والمستفتي</w:t>
      </w:r>
      <w:r w:rsidRPr="00706B94">
        <w:rPr>
          <w:rFonts w:ascii="Arabic Transparent" w:eastAsia="Calibri" w:hAnsi="Arabic Transparent" w:cs="Arabic Transparent"/>
          <w:sz w:val="26"/>
          <w:szCs w:val="26"/>
          <w:rtl/>
          <w:lang w:bidi="ar-JO"/>
        </w:rPr>
        <w:t xml:space="preserve"> (تحقيق: بسام عبد الوهاب الجابي). ط1، دار الفكر، دمشق.</w:t>
      </w:r>
    </w:p>
    <w:p w14:paraId="4F35D73E"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 xml:space="preserve">النووي، أبو زكريا محيي الدين يحيى بن شرف (1991). </w:t>
      </w:r>
      <w:r w:rsidRPr="00706B94">
        <w:rPr>
          <w:rFonts w:ascii="Arabic Transparent" w:eastAsia="Calibri" w:hAnsi="Arabic Transparent" w:cs="Arabic Transparent"/>
          <w:b/>
          <w:bCs/>
          <w:sz w:val="26"/>
          <w:szCs w:val="26"/>
          <w:rtl/>
          <w:lang w:bidi="ar-JO"/>
        </w:rPr>
        <w:t>روضة الطالبين وعمدة المفتين</w:t>
      </w:r>
      <w:r w:rsidRPr="00706B94">
        <w:rPr>
          <w:rFonts w:ascii="Arabic Transparent" w:eastAsia="Calibri" w:hAnsi="Arabic Transparent" w:cs="Arabic Transparent"/>
          <w:sz w:val="26"/>
          <w:szCs w:val="26"/>
          <w:rtl/>
          <w:lang w:bidi="ar-JO"/>
        </w:rPr>
        <w:t>، تحقيق: زهير الشاويش، ط3، المكتب الإسلامي، بيروت - دمشق - عمان.</w:t>
      </w:r>
    </w:p>
    <w:p w14:paraId="5F8F5521"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tl/>
          <w:lang w:bidi="ar-JO"/>
        </w:rPr>
      </w:pPr>
      <w:r w:rsidRPr="00706B94">
        <w:rPr>
          <w:rFonts w:ascii="Arabic Transparent" w:eastAsia="Calibri" w:hAnsi="Arabic Transparent" w:cs="Arabic Transparent"/>
          <w:sz w:val="26"/>
          <w:szCs w:val="26"/>
          <w:rtl/>
          <w:lang w:bidi="ar-JO"/>
        </w:rPr>
        <w:t>النووي، يحيى بن شرف، أبو زكريا محيي الدين (1935–1926)،</w:t>
      </w:r>
      <w:r w:rsidRPr="00706B94">
        <w:rPr>
          <w:rFonts w:ascii="Arabic Transparent" w:eastAsia="Calibri" w:hAnsi="Arabic Transparent" w:cs="Arabic Transparent"/>
          <w:b/>
          <w:bCs/>
          <w:sz w:val="26"/>
          <w:szCs w:val="26"/>
          <w:rtl/>
          <w:lang w:bidi="ar-JO"/>
        </w:rPr>
        <w:t xml:space="preserve"> المجموع شرح المهذب</w:t>
      </w:r>
      <w:r w:rsidRPr="00706B94">
        <w:rPr>
          <w:rFonts w:ascii="Arabic Transparent" w:eastAsia="Calibri" w:hAnsi="Arabic Transparent" w:cs="Arabic Transparent"/>
          <w:sz w:val="26"/>
          <w:szCs w:val="26"/>
          <w:rtl/>
          <w:lang w:bidi="ar-JO"/>
        </w:rPr>
        <w:t>، باشر تصحيحه لجنة من العلماء، إدارة الطباعة المنيرية – مطبعة التضامن الأخوي، القاهرة.</w:t>
      </w:r>
    </w:p>
    <w:p w14:paraId="18C1AEDA"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lang w:bidi="ar-JO"/>
        </w:rPr>
      </w:pPr>
      <w:r w:rsidRPr="00706B94">
        <w:rPr>
          <w:rFonts w:ascii="Arabic Transparent" w:eastAsia="Calibri" w:hAnsi="Arabic Transparent" w:cs="Arabic Transparent"/>
          <w:sz w:val="26"/>
          <w:szCs w:val="26"/>
          <w:rtl/>
          <w:lang w:bidi="ar-JO"/>
        </w:rPr>
        <w:t>النووي، يحيى بن شرف (1972م</w:t>
      </w:r>
      <w:r w:rsidRPr="00706B94">
        <w:rPr>
          <w:rFonts w:ascii="Arabic Transparent" w:eastAsia="Calibri" w:hAnsi="Arabic Transparent" w:cs="Arabic Transparent"/>
          <w:b/>
          <w:bCs/>
          <w:sz w:val="26"/>
          <w:szCs w:val="26"/>
          <w:rtl/>
          <w:lang w:bidi="ar-JO"/>
        </w:rPr>
        <w:t>). المنهاج شرح صحيح مسلم بن الحجاج</w:t>
      </w:r>
      <w:r w:rsidRPr="00706B94">
        <w:rPr>
          <w:rFonts w:ascii="Arabic Transparent" w:eastAsia="Calibri" w:hAnsi="Arabic Transparent" w:cs="Arabic Transparent"/>
          <w:sz w:val="26"/>
          <w:szCs w:val="26"/>
          <w:rtl/>
          <w:lang w:bidi="ar-JO"/>
        </w:rPr>
        <w:t>. ط2، دار إحياء التراث العربي، بيروت.</w:t>
      </w:r>
    </w:p>
    <w:p w14:paraId="595DAF32"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tl/>
        </w:rPr>
      </w:pPr>
      <w:r w:rsidRPr="00706B94">
        <w:rPr>
          <w:rFonts w:ascii="Arabic Transparent" w:eastAsia="Calibri" w:hAnsi="Arabic Transparent" w:cs="Arabic Transparent"/>
          <w:sz w:val="26"/>
          <w:szCs w:val="26"/>
          <w:rtl/>
        </w:rPr>
        <w:t xml:space="preserve">ابن هادي، وليد (2011م). </w:t>
      </w:r>
      <w:r w:rsidRPr="00706B94">
        <w:rPr>
          <w:rFonts w:ascii="Arabic Transparent" w:eastAsia="Calibri" w:hAnsi="Arabic Transparent" w:cs="Arabic Transparent"/>
          <w:b/>
          <w:bCs/>
          <w:sz w:val="26"/>
          <w:szCs w:val="26"/>
          <w:rtl/>
        </w:rPr>
        <w:t>أصول ضبط المعاملات المعاصرة</w:t>
      </w:r>
      <w:r w:rsidRPr="00706B94">
        <w:rPr>
          <w:rFonts w:ascii="Arabic Transparent" w:eastAsia="Calibri" w:hAnsi="Arabic Transparent" w:cs="Arabic Transparent"/>
          <w:sz w:val="26"/>
          <w:szCs w:val="26"/>
          <w:rtl/>
        </w:rPr>
        <w:t>، ط1، مركز الكتاب للنشر، القاهرة.</w:t>
      </w:r>
    </w:p>
    <w:p w14:paraId="7A16EE5F"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tl/>
        </w:rPr>
      </w:pPr>
      <w:r w:rsidRPr="00706B94">
        <w:rPr>
          <w:rFonts w:ascii="Arabic Transparent" w:eastAsia="Calibri" w:hAnsi="Arabic Transparent" w:cs="Arabic Transparent"/>
          <w:sz w:val="26"/>
          <w:szCs w:val="26"/>
          <w:rtl/>
        </w:rPr>
        <w:t xml:space="preserve">ابن الهمام، كمال الدين محمد بن عبد الواحد السيواسي السكندري (1970)، </w:t>
      </w:r>
      <w:r w:rsidRPr="00706B94">
        <w:rPr>
          <w:rFonts w:ascii="Arabic Transparent" w:eastAsia="Calibri" w:hAnsi="Arabic Transparent" w:cs="Arabic Transparent"/>
          <w:b/>
          <w:bCs/>
          <w:sz w:val="26"/>
          <w:szCs w:val="26"/>
          <w:rtl/>
        </w:rPr>
        <w:t>فتح القدير شرح الهداية</w:t>
      </w:r>
      <w:r w:rsidRPr="00706B94">
        <w:rPr>
          <w:rFonts w:ascii="Arabic Transparent" w:eastAsia="Calibri" w:hAnsi="Arabic Transparent" w:cs="Arabic Transparent"/>
          <w:sz w:val="26"/>
          <w:szCs w:val="26"/>
          <w:rtl/>
        </w:rPr>
        <w:t>، ط1، شركة مكتبة ومطبعة مصطفى البابي الحلبي وأولاده، القاهرة.</w:t>
      </w:r>
    </w:p>
    <w:p w14:paraId="5CC3B137"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هنية، مازن، وبركة، إيمان، (2019) دراسة بعنوان: </w:t>
      </w:r>
      <w:r w:rsidRPr="00706B94">
        <w:rPr>
          <w:rFonts w:ascii="Arabic Transparent" w:eastAsia="Calibri" w:hAnsi="Arabic Transparent" w:cs="Arabic Transparent"/>
          <w:b/>
          <w:bCs/>
          <w:sz w:val="26"/>
          <w:szCs w:val="26"/>
          <w:rtl/>
        </w:rPr>
        <w:t>التكييف الفقهي في الاجتهاد ودور العلم فيه،</w:t>
      </w:r>
      <w:r w:rsidRPr="00706B94">
        <w:rPr>
          <w:rFonts w:ascii="Arabic Transparent" w:eastAsia="Calibri" w:hAnsi="Arabic Transparent" w:cs="Arabic Transparent"/>
          <w:sz w:val="26"/>
          <w:szCs w:val="26"/>
          <w:rtl/>
        </w:rPr>
        <w:t xml:space="preserve"> مجلة الجامعة الإسلامية للدراسات الإسلامية والقانونية -غزة.</w:t>
      </w:r>
    </w:p>
    <w:p w14:paraId="5A726AD0"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Pr>
      </w:pPr>
      <w:r w:rsidRPr="00706B94">
        <w:rPr>
          <w:rFonts w:ascii="Arabic Transparent" w:eastAsia="Calibri" w:hAnsi="Arabic Transparent" w:cs="Arabic Transparent"/>
          <w:sz w:val="26"/>
          <w:szCs w:val="26"/>
          <w:rtl/>
        </w:rPr>
        <w:t xml:space="preserve">هيئة الرقابة الشرعية للبنك الإسلامي الأردني (2024م). </w:t>
      </w:r>
      <w:r w:rsidRPr="00706B94">
        <w:rPr>
          <w:rFonts w:ascii="Arabic Transparent" w:eastAsia="Calibri" w:hAnsi="Arabic Transparent" w:cs="Arabic Transparent"/>
          <w:b/>
          <w:bCs/>
          <w:sz w:val="26"/>
          <w:szCs w:val="26"/>
          <w:rtl/>
        </w:rPr>
        <w:t>الفتاوى الشرعية</w:t>
      </w:r>
      <w:r w:rsidRPr="00706B94">
        <w:rPr>
          <w:rFonts w:ascii="Arabic Transparent" w:eastAsia="Calibri" w:hAnsi="Arabic Transparent" w:cs="Arabic Transparent"/>
          <w:sz w:val="26"/>
          <w:szCs w:val="26"/>
          <w:rtl/>
        </w:rPr>
        <w:t xml:space="preserve"> 2024م، حكم مرابحة الأسهم، قرار الهيئة رقم 5/1/2024، عمان.</w:t>
      </w:r>
    </w:p>
    <w:p w14:paraId="7278939D"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tl/>
        </w:rPr>
      </w:pPr>
      <w:r w:rsidRPr="00706B94">
        <w:rPr>
          <w:rFonts w:ascii="Arabic Transparent" w:eastAsia="Calibri" w:hAnsi="Arabic Transparent" w:cs="Arabic Transparent"/>
          <w:sz w:val="26"/>
          <w:szCs w:val="26"/>
          <w:rtl/>
        </w:rPr>
        <w:lastRenderedPageBreak/>
        <w:t xml:space="preserve">هيئة المحاسبة والمراجعة للمؤسسات المالية الإسلامية – أيوفي (2015). </w:t>
      </w:r>
      <w:r w:rsidRPr="00706B94">
        <w:rPr>
          <w:rFonts w:ascii="Arabic Transparent" w:eastAsia="Calibri" w:hAnsi="Arabic Transparent" w:cs="Arabic Transparent"/>
          <w:b/>
          <w:bCs/>
          <w:sz w:val="26"/>
          <w:szCs w:val="26"/>
          <w:rtl/>
        </w:rPr>
        <w:t>المعايير الشرعية</w:t>
      </w:r>
      <w:r w:rsidRPr="00706B94">
        <w:rPr>
          <w:rFonts w:ascii="Arabic Transparent" w:eastAsia="Calibri" w:hAnsi="Arabic Transparent" w:cs="Arabic Transparent"/>
          <w:sz w:val="26"/>
          <w:szCs w:val="26"/>
          <w:rtl/>
        </w:rPr>
        <w:t>، ط2، المنامة، البحرين.</w:t>
      </w:r>
    </w:p>
    <w:p w14:paraId="16C3D703" w14:textId="77777777" w:rsidR="00706B94" w:rsidRPr="00706B94" w:rsidRDefault="00706B94" w:rsidP="00706B94">
      <w:pPr>
        <w:numPr>
          <w:ilvl w:val="0"/>
          <w:numId w:val="21"/>
        </w:numPr>
        <w:spacing w:after="160" w:line="312" w:lineRule="auto"/>
        <w:ind w:left="566" w:hanging="567"/>
        <w:contextualSpacing/>
        <w:jc w:val="both"/>
        <w:rPr>
          <w:rFonts w:ascii="Arabic Transparent" w:eastAsia="Calibri" w:hAnsi="Arabic Transparent" w:cs="Arabic Transparent"/>
          <w:sz w:val="26"/>
          <w:szCs w:val="26"/>
          <w:rtl/>
        </w:rPr>
      </w:pPr>
      <w:r w:rsidRPr="00706B94">
        <w:rPr>
          <w:rFonts w:ascii="Arabic Transparent" w:eastAsia="Calibri" w:hAnsi="Arabic Transparent" w:cs="Arabic Transparent"/>
          <w:sz w:val="26"/>
          <w:szCs w:val="26"/>
          <w:rtl/>
        </w:rPr>
        <w:t xml:space="preserve">الوائلي، محمد بن حمود (2019). </w:t>
      </w:r>
      <w:r w:rsidRPr="00706B94">
        <w:rPr>
          <w:rFonts w:ascii="Arabic Transparent" w:eastAsia="Calibri" w:hAnsi="Arabic Transparent" w:cs="Arabic Transparent"/>
          <w:b/>
          <w:bCs/>
          <w:sz w:val="26"/>
          <w:szCs w:val="26"/>
          <w:rtl/>
        </w:rPr>
        <w:t>بغية المقتصد شرح بداية المجتهد لابن رشد الحفيد</w:t>
      </w:r>
      <w:r w:rsidRPr="00706B94">
        <w:rPr>
          <w:rFonts w:ascii="Arabic Transparent" w:eastAsia="Calibri" w:hAnsi="Arabic Transparent" w:cs="Arabic Transparent"/>
          <w:sz w:val="26"/>
          <w:szCs w:val="26"/>
          <w:rtl/>
        </w:rPr>
        <w:t>، ط1، دار ابن حزم، بيروت - لبنان.</w:t>
      </w:r>
    </w:p>
    <w:p w14:paraId="721C53FF" w14:textId="3B217A33" w:rsidR="00AE6766" w:rsidRDefault="00AE6766">
      <w:pPr>
        <w:bidi w:val="0"/>
        <w:spacing w:after="0" w:line="240" w:lineRule="auto"/>
        <w:rPr>
          <w:rFonts w:ascii="Arabic Transparent" w:eastAsia="Calibri" w:hAnsi="Arabic Transparent" w:cs="Arabic Transparent"/>
          <w:sz w:val="26"/>
          <w:szCs w:val="26"/>
          <w:rtl/>
          <w:lang w:bidi="ar-JO"/>
        </w:rPr>
      </w:pPr>
      <w:r>
        <w:rPr>
          <w:rFonts w:ascii="Arabic Transparent" w:eastAsia="Calibri" w:hAnsi="Arabic Transparent" w:cs="Arabic Transparent"/>
          <w:sz w:val="26"/>
          <w:szCs w:val="26"/>
          <w:rtl/>
          <w:lang w:bidi="ar-JO"/>
        </w:rPr>
        <w:br w:type="page"/>
      </w:r>
    </w:p>
    <w:sectPr w:rsidR="00AE6766" w:rsidSect="00AA05F5">
      <w:headerReference w:type="default" r:id="rId21"/>
      <w:footnotePr>
        <w:numRestart w:val="eachPage"/>
      </w:footnotePr>
      <w:pgSz w:w="11907" w:h="16840" w:code="9"/>
      <w:pgMar w:top="1418" w:right="1985" w:bottom="1418" w:left="141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130F64" w14:textId="77777777" w:rsidR="00140A94" w:rsidRDefault="00140A94" w:rsidP="00AA7778">
      <w:pPr>
        <w:spacing w:after="0" w:line="240" w:lineRule="auto"/>
      </w:pPr>
      <w:r>
        <w:separator/>
      </w:r>
    </w:p>
  </w:endnote>
  <w:endnote w:type="continuationSeparator" w:id="0">
    <w:p w14:paraId="1551248C" w14:textId="77777777" w:rsidR="00140A94" w:rsidRDefault="00140A94" w:rsidP="00AA77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abic Transparent">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Aptos">
    <w:altName w:val="Arial"/>
    <w:charset w:val="00"/>
    <w:family w:val="swiss"/>
    <w:pitch w:val="variable"/>
    <w:sig w:usb0="00000001" w:usb1="00000003" w:usb2="00000000" w:usb3="00000000" w:csb0="0000019F" w:csb1="00000000"/>
  </w:font>
  <w:font w:name="AGA Arabesque">
    <w:altName w:val="Symbol"/>
    <w:charset w:val="02"/>
    <w:family w:val="auto"/>
    <w:pitch w:val="variable"/>
    <w:sig w:usb0="00000000" w:usb1="10000000" w:usb2="00000000" w:usb3="00000000" w:csb0="80000000" w:csb1="00000000"/>
  </w:font>
  <w:font w:name="Segoe UI Semibold">
    <w:panose1 w:val="020B0702040204020203"/>
    <w:charset w:val="00"/>
    <w:family w:val="swiss"/>
    <w:pitch w:val="variable"/>
    <w:sig w:usb0="E4002EFF" w:usb1="C000E47F" w:usb2="00000009" w:usb3="00000000" w:csb0="000001FF" w:csb1="00000000"/>
  </w:font>
  <w:font w:name="DecoType Naskh Variants">
    <w:panose1 w:val="00000000000000000000"/>
    <w:charset w:val="B2"/>
    <w:family w:val="auto"/>
    <w:pitch w:val="variable"/>
    <w:sig w:usb0="00002001" w:usb1="80000000" w:usb2="00000008" w:usb3="00000000" w:csb0="00000040" w:csb1="00000000"/>
  </w:font>
  <w:font w:name="KFGQPC HAFS Uthmanic Script">
    <w:altName w:val="Times New Roman"/>
    <w:charset w:val="B2"/>
    <w:family w:val="auto"/>
    <w:pitch w:val="variable"/>
    <w:sig w:usb0="00002000" w:usb1="80000000" w:usb2="00000000" w:usb3="00000000" w:csb0="0000004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FA45D1" w14:textId="77777777" w:rsidR="00140A94" w:rsidRDefault="00140A94" w:rsidP="00AA7778">
      <w:pPr>
        <w:spacing w:after="0" w:line="240" w:lineRule="auto"/>
      </w:pPr>
      <w:r>
        <w:separator/>
      </w:r>
    </w:p>
  </w:footnote>
  <w:footnote w:type="continuationSeparator" w:id="0">
    <w:p w14:paraId="19D30D60" w14:textId="77777777" w:rsidR="00140A94" w:rsidRDefault="00140A94" w:rsidP="00AA7778">
      <w:pPr>
        <w:spacing w:after="0" w:line="240" w:lineRule="auto"/>
      </w:pPr>
      <w:r>
        <w:continuationSeparator/>
      </w:r>
    </w:p>
  </w:footnote>
  <w:footnote w:id="1">
    <w:p w14:paraId="260C7C9D" w14:textId="17CA4EE3" w:rsidR="002A283D" w:rsidRPr="002273BC" w:rsidRDefault="002A283D" w:rsidP="00EA3738">
      <w:pPr>
        <w:pStyle w:val="FootnoteText"/>
        <w:spacing w:line="312"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الزبيدي، محمد مرتضى الحسيني، (1965-2001)، </w:t>
      </w:r>
      <w:r w:rsidRPr="002273BC">
        <w:rPr>
          <w:rFonts w:ascii="Arabic Transparent" w:hAnsi="Arabic Transparent" w:cs="Arabic Transparent" w:hint="cs"/>
          <w:b/>
          <w:bCs/>
          <w:sz w:val="24"/>
          <w:szCs w:val="24"/>
          <w:rtl/>
          <w:lang w:bidi="ar-JO"/>
        </w:rPr>
        <w:t>تاج العروس من جواهر القاموس</w:t>
      </w:r>
      <w:r w:rsidR="000768A4" w:rsidRPr="002273BC">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sz w:val="24"/>
          <w:szCs w:val="24"/>
          <w:rtl/>
          <w:lang w:bidi="ar-JO"/>
        </w:rPr>
        <w:t xml:space="preserve">مج 40، ج25، ص166، وزارة الإرشاد والأنباء </w:t>
      </w:r>
      <w:r w:rsidR="000768A4" w:rsidRPr="002273BC">
        <w:rPr>
          <w:rFonts w:ascii="Arabic Transparent" w:hAnsi="Arabic Transparent" w:cs="Arabic Transparent" w:hint="cs"/>
          <w:sz w:val="24"/>
          <w:szCs w:val="24"/>
          <w:rtl/>
          <w:lang w:bidi="ar-JO"/>
        </w:rPr>
        <w:t>–</w:t>
      </w:r>
      <w:r w:rsidRPr="002273BC">
        <w:rPr>
          <w:rFonts w:ascii="Arabic Transparent" w:hAnsi="Arabic Transparent" w:cs="Arabic Transparent" w:hint="cs"/>
          <w:sz w:val="24"/>
          <w:szCs w:val="24"/>
          <w:rtl/>
          <w:lang w:bidi="ar-JO"/>
        </w:rPr>
        <w:t xml:space="preserve"> الكويت</w:t>
      </w:r>
      <w:r w:rsidR="000768A4" w:rsidRPr="002273BC">
        <w:rPr>
          <w:rFonts w:ascii="Arabic Transparent" w:hAnsi="Arabic Transparent" w:cs="Arabic Transparent" w:hint="cs"/>
          <w:sz w:val="24"/>
          <w:szCs w:val="24"/>
          <w:rtl/>
          <w:lang w:bidi="ar-JO"/>
        </w:rPr>
        <w:t>.</w:t>
      </w:r>
    </w:p>
  </w:footnote>
  <w:footnote w:id="2">
    <w:p w14:paraId="51C86638" w14:textId="6A65C280" w:rsidR="002A283D" w:rsidRPr="002273BC" w:rsidRDefault="002A283D" w:rsidP="00EA3738">
      <w:pPr>
        <w:pStyle w:val="FootnoteText"/>
        <w:spacing w:line="312"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009F60EC" w:rsidRPr="002273BC">
        <w:rPr>
          <w:rFonts w:ascii="Arabic Transparent" w:hAnsi="Arabic Transparent" w:cs="Arabic Transparent" w:hint="cs"/>
          <w:sz w:val="24"/>
          <w:szCs w:val="24"/>
          <w:rtl/>
          <w:lang w:bidi="ar-JO"/>
        </w:rPr>
        <w:t xml:space="preserve">ابن فارس، أبو الحسين أحمد بن فارس بن زكريا (1979م)، </w:t>
      </w:r>
      <w:r w:rsidR="009F60EC" w:rsidRPr="002273BC">
        <w:rPr>
          <w:rFonts w:ascii="Arabic Transparent" w:hAnsi="Arabic Transparent" w:cs="Arabic Transparent" w:hint="cs"/>
          <w:b/>
          <w:bCs/>
          <w:sz w:val="24"/>
          <w:szCs w:val="24"/>
          <w:rtl/>
          <w:lang w:bidi="ar-JO"/>
        </w:rPr>
        <w:t>معجم مقاييس اللغة</w:t>
      </w:r>
      <w:r w:rsidR="009F60EC" w:rsidRPr="002273BC">
        <w:rPr>
          <w:rFonts w:ascii="Arabic Transparent" w:hAnsi="Arabic Transparent" w:cs="Arabic Transparent" w:hint="cs"/>
          <w:sz w:val="24"/>
          <w:szCs w:val="24"/>
          <w:rtl/>
          <w:lang w:bidi="ar-JO"/>
        </w:rPr>
        <w:t xml:space="preserve">، تحقيق: عبد السلام محمد هارون، ط1، </w:t>
      </w:r>
      <w:r w:rsidRPr="002273BC">
        <w:rPr>
          <w:rFonts w:ascii="Arabic Transparent" w:hAnsi="Arabic Transparent" w:cs="Arabic Transparent" w:hint="cs"/>
          <w:sz w:val="24"/>
          <w:szCs w:val="24"/>
          <w:rtl/>
          <w:lang w:bidi="ar-JO"/>
        </w:rPr>
        <w:t>ج2، ص14-16،</w:t>
      </w:r>
      <w:r w:rsidR="009F60EC" w:rsidRPr="002273BC">
        <w:rPr>
          <w:rFonts w:ascii="Arabic Transparent" w:hAnsi="Arabic Transparent" w:cs="Arabic Transparent" w:hint="cs"/>
          <w:sz w:val="24"/>
          <w:szCs w:val="24"/>
          <w:rtl/>
          <w:lang w:bidi="ar-JO"/>
        </w:rPr>
        <w:t xml:space="preserve"> دار الفكر، القاهرة، مصر</w:t>
      </w:r>
      <w:r w:rsidR="00B12D01">
        <w:rPr>
          <w:rFonts w:ascii="Arabic Transparent" w:hAnsi="Arabic Transparent" w:cs="Arabic Transparent" w:hint="cs"/>
          <w:sz w:val="24"/>
          <w:szCs w:val="24"/>
          <w:rtl/>
          <w:lang w:bidi="ar-JO"/>
        </w:rPr>
        <w:t>، و</w:t>
      </w:r>
      <w:r w:rsidRPr="002273BC">
        <w:rPr>
          <w:rFonts w:ascii="Arabic Transparent" w:hAnsi="Arabic Transparent" w:cs="Arabic Transparent" w:hint="cs"/>
          <w:sz w:val="24"/>
          <w:szCs w:val="24"/>
          <w:rtl/>
          <w:lang w:bidi="ar-JO"/>
        </w:rPr>
        <w:t xml:space="preserve">الرازي، </w:t>
      </w:r>
      <w:r w:rsidR="009F60EC" w:rsidRPr="002273BC">
        <w:rPr>
          <w:rFonts w:ascii="Arabic Transparent" w:hAnsi="Arabic Transparent" w:cs="Arabic Transparent" w:hint="cs"/>
          <w:sz w:val="24"/>
          <w:szCs w:val="24"/>
          <w:rtl/>
          <w:lang w:bidi="ar-JO"/>
        </w:rPr>
        <w:t>زين الدين أبو عبد الله محمد بن</w:t>
      </w:r>
      <w:r w:rsidR="009F60EC" w:rsidRPr="002273BC">
        <w:rPr>
          <w:rFonts w:ascii="Arabic Transparent" w:hAnsi="Arabic Transparent" w:cs="Arabic Transparent" w:hint="cs"/>
          <w:b/>
          <w:bCs/>
          <w:sz w:val="24"/>
          <w:szCs w:val="24"/>
          <w:rtl/>
          <w:lang w:bidi="ar-JO"/>
        </w:rPr>
        <w:t xml:space="preserve"> </w:t>
      </w:r>
      <w:r w:rsidR="009F60EC" w:rsidRPr="002273BC">
        <w:rPr>
          <w:rFonts w:ascii="Arabic Transparent" w:hAnsi="Arabic Transparent" w:cs="Arabic Transparent" w:hint="cs"/>
          <w:sz w:val="24"/>
          <w:szCs w:val="24"/>
          <w:rtl/>
          <w:lang w:bidi="ar-JO"/>
        </w:rPr>
        <w:t>أبي بكر بن عبد القادر الحنفي</w:t>
      </w:r>
      <w:r w:rsidR="009F60EC" w:rsidRPr="002273BC">
        <w:rPr>
          <w:rFonts w:ascii="Arabic Transparent" w:hAnsi="Arabic Transparent" w:cs="Arabic Transparent" w:hint="cs"/>
          <w:b/>
          <w:bCs/>
          <w:sz w:val="24"/>
          <w:szCs w:val="24"/>
          <w:rtl/>
          <w:lang w:bidi="ar-JO"/>
        </w:rPr>
        <w:t xml:space="preserve">، </w:t>
      </w:r>
      <w:r w:rsidR="009F60EC" w:rsidRPr="002273BC">
        <w:rPr>
          <w:rFonts w:ascii="Arabic Transparent" w:hAnsi="Arabic Transparent" w:cs="Arabic Transparent" w:hint="cs"/>
          <w:sz w:val="24"/>
          <w:szCs w:val="24"/>
          <w:rtl/>
          <w:lang w:bidi="ar-JO"/>
        </w:rPr>
        <w:t>(1999)</w:t>
      </w:r>
      <w:r w:rsidR="009F60EC" w:rsidRPr="002273BC">
        <w:rPr>
          <w:rFonts w:ascii="Arabic Transparent" w:hAnsi="Arabic Transparent" w:cs="Arabic Transparent" w:hint="cs"/>
          <w:b/>
          <w:bCs/>
          <w:sz w:val="24"/>
          <w:szCs w:val="24"/>
          <w:rtl/>
          <w:lang w:bidi="ar-JO"/>
        </w:rPr>
        <w:t xml:space="preserve">، مختار الصحاح، </w:t>
      </w:r>
      <w:r w:rsidR="009F60EC" w:rsidRPr="002273BC">
        <w:rPr>
          <w:rFonts w:ascii="Arabic Transparent" w:hAnsi="Arabic Transparent" w:cs="Arabic Transparent" w:hint="cs"/>
          <w:sz w:val="24"/>
          <w:szCs w:val="24"/>
          <w:rtl/>
          <w:lang w:bidi="ar-JO"/>
        </w:rPr>
        <w:t>تحقيق: يوسف الشيخ محمد</w:t>
      </w:r>
      <w:r w:rsidR="009F60EC" w:rsidRPr="002273BC">
        <w:rPr>
          <w:rFonts w:ascii="Arabic Transparent" w:hAnsi="Arabic Transparent" w:cs="Arabic Transparent" w:hint="cs"/>
          <w:b/>
          <w:bCs/>
          <w:sz w:val="24"/>
          <w:szCs w:val="24"/>
          <w:rtl/>
          <w:lang w:bidi="ar-JO"/>
        </w:rPr>
        <w:t>،</w:t>
      </w:r>
      <w:r w:rsidR="009F60EC" w:rsidRPr="002273BC">
        <w:rPr>
          <w:rFonts w:ascii="Arabic Transparent" w:hAnsi="Arabic Transparent" w:cs="Arabic Transparent" w:hint="cs"/>
          <w:sz w:val="24"/>
          <w:szCs w:val="24"/>
          <w:rtl/>
          <w:lang w:bidi="ar-JO"/>
        </w:rPr>
        <w:t xml:space="preserve"> ط5، ص77، المكتبة العصرية - الدار النموذجية، بيروت - صيدا</w:t>
      </w:r>
      <w:r w:rsidRPr="002273BC">
        <w:rPr>
          <w:rFonts w:ascii="Arabic Transparent" w:hAnsi="Arabic Transparent" w:cs="Arabic Transparent" w:hint="cs"/>
          <w:sz w:val="24"/>
          <w:szCs w:val="24"/>
          <w:rtl/>
          <w:lang w:bidi="ar-JO"/>
        </w:rPr>
        <w:t xml:space="preserve">، </w:t>
      </w:r>
      <w:r w:rsidR="00B12D01">
        <w:rPr>
          <w:rFonts w:ascii="Arabic Transparent" w:hAnsi="Arabic Transparent" w:cs="Arabic Transparent" w:hint="cs"/>
          <w:sz w:val="24"/>
          <w:szCs w:val="24"/>
          <w:rtl/>
          <w:lang w:bidi="ar-JO"/>
        </w:rPr>
        <w:t>و</w:t>
      </w:r>
      <w:r w:rsidR="00B12D01" w:rsidRPr="00B12D01">
        <w:rPr>
          <w:rFonts w:ascii="Arabic Transparent" w:hAnsi="Arabic Transparent" w:cs="Arabic Transparent"/>
          <w:sz w:val="24"/>
          <w:szCs w:val="24"/>
          <w:rtl/>
          <w:lang w:bidi="ar-JO"/>
        </w:rPr>
        <w:t xml:space="preserve">مجموعة الؤلفين، (1972)، </w:t>
      </w:r>
      <w:r w:rsidR="00B12D01" w:rsidRPr="00B12D01">
        <w:rPr>
          <w:rFonts w:ascii="Arabic Transparent" w:hAnsi="Arabic Transparent" w:cs="Arabic Transparent"/>
          <w:b/>
          <w:bCs/>
          <w:sz w:val="24"/>
          <w:szCs w:val="24"/>
          <w:rtl/>
          <w:lang w:bidi="ar-JO"/>
        </w:rPr>
        <w:t>المعجم الوسيط</w:t>
      </w:r>
      <w:r w:rsidR="00B12D01" w:rsidRPr="00B12D01">
        <w:rPr>
          <w:rFonts w:ascii="Arabic Transparent" w:hAnsi="Arabic Transparent" w:cs="Arabic Transparent"/>
          <w:sz w:val="24"/>
          <w:szCs w:val="24"/>
          <w:rtl/>
          <w:lang w:bidi="ar-JO"/>
        </w:rPr>
        <w:t>، ط2، ج1، ص187</w:t>
      </w:r>
      <w:r w:rsidR="00B12D01">
        <w:rPr>
          <w:rFonts w:ascii="Arabic Transparent" w:hAnsi="Arabic Transparent" w:cs="Arabic Transparent" w:hint="cs"/>
          <w:sz w:val="24"/>
          <w:szCs w:val="24"/>
          <w:rtl/>
          <w:lang w:bidi="ar-JO"/>
        </w:rPr>
        <w:t>،</w:t>
      </w:r>
      <w:r w:rsidR="00B12D01" w:rsidRPr="00B12D01">
        <w:rPr>
          <w:rFonts w:ascii="Arabic Transparent" w:hAnsi="Arabic Transparent" w:cs="Arabic Transparent"/>
          <w:sz w:val="24"/>
          <w:szCs w:val="24"/>
          <w:rtl/>
          <w:lang w:bidi="ar-JO"/>
        </w:rPr>
        <w:t xml:space="preserve"> مجمع اللغة العربية، القاهرة </w:t>
      </w:r>
    </w:p>
  </w:footnote>
  <w:footnote w:id="3">
    <w:p w14:paraId="5400769D" w14:textId="7D6D0AB0" w:rsidR="0075222B" w:rsidRPr="002273BC" w:rsidRDefault="0075222B" w:rsidP="00EA3738">
      <w:pPr>
        <w:pStyle w:val="FootnoteText"/>
        <w:spacing w:line="312"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جبل، محمد حسن، (2010)، </w:t>
      </w:r>
      <w:r w:rsidRPr="002273BC">
        <w:rPr>
          <w:rFonts w:ascii="Arabic Transparent" w:hAnsi="Arabic Transparent" w:cs="Arabic Transparent" w:hint="cs"/>
          <w:b/>
          <w:bCs/>
          <w:sz w:val="24"/>
          <w:szCs w:val="24"/>
          <w:rtl/>
          <w:lang w:bidi="ar-JO"/>
        </w:rPr>
        <w:t>المعجم الاشتقاقي المؤصل لألفاظ القرآن الكريم</w:t>
      </w:r>
      <w:r w:rsidRPr="002273BC">
        <w:rPr>
          <w:rFonts w:ascii="Arabic Transparent" w:hAnsi="Arabic Transparent" w:cs="Arabic Transparent" w:hint="cs"/>
          <w:sz w:val="24"/>
          <w:szCs w:val="24"/>
          <w:rtl/>
          <w:lang w:bidi="ar-JO"/>
        </w:rPr>
        <w:t xml:space="preserve">، ط1، ج1، </w:t>
      </w:r>
      <w:r w:rsidR="00660939">
        <w:rPr>
          <w:rFonts w:ascii="Arabic Transparent" w:hAnsi="Arabic Transparent" w:cs="Arabic Transparent" w:hint="cs"/>
          <w:sz w:val="24"/>
          <w:szCs w:val="24"/>
          <w:rtl/>
          <w:lang w:bidi="ar-JO"/>
        </w:rPr>
        <w:t>ص</w:t>
      </w:r>
      <w:r w:rsidR="000768A4" w:rsidRPr="002273BC">
        <w:rPr>
          <w:rFonts w:ascii="Arabic Transparent" w:hAnsi="Arabic Transparent" w:cs="Arabic Transparent" w:hint="cs"/>
          <w:sz w:val="24"/>
          <w:szCs w:val="24"/>
          <w:rtl/>
          <w:lang w:bidi="ar-JO"/>
        </w:rPr>
        <w:t>468</w:t>
      </w:r>
      <w:r w:rsidR="00660939">
        <w:rPr>
          <w:rFonts w:ascii="Arabic Transparent" w:hAnsi="Arabic Transparent" w:cs="Arabic Transparent" w:hint="cs"/>
          <w:sz w:val="24"/>
          <w:szCs w:val="24"/>
          <w:rtl/>
          <w:lang w:bidi="ar-JO"/>
        </w:rPr>
        <w:t xml:space="preserve">، </w:t>
      </w:r>
      <w:r w:rsidR="000768A4" w:rsidRPr="002273BC">
        <w:rPr>
          <w:rFonts w:ascii="Arabic Transparent" w:hAnsi="Arabic Transparent" w:cs="Arabic Transparent" w:hint="cs"/>
          <w:sz w:val="24"/>
          <w:szCs w:val="24"/>
          <w:rtl/>
          <w:lang w:bidi="ar-JO"/>
        </w:rPr>
        <w:t>مكت</w:t>
      </w:r>
      <w:r w:rsidR="00305834" w:rsidRPr="002273BC">
        <w:rPr>
          <w:rFonts w:ascii="Arabic Transparent" w:hAnsi="Arabic Transparent" w:cs="Arabic Transparent" w:hint="cs"/>
          <w:sz w:val="24"/>
          <w:szCs w:val="24"/>
          <w:rtl/>
          <w:lang w:bidi="ar-JO"/>
        </w:rPr>
        <w:t>بة</w:t>
      </w:r>
      <w:r w:rsidR="000768A4" w:rsidRPr="002273BC">
        <w:rPr>
          <w:rFonts w:ascii="Arabic Transparent" w:hAnsi="Arabic Transparent" w:cs="Arabic Transparent" w:hint="cs"/>
          <w:sz w:val="24"/>
          <w:szCs w:val="24"/>
          <w:rtl/>
          <w:lang w:bidi="ar-JO"/>
        </w:rPr>
        <w:t xml:space="preserve"> الآداب- القاهرة.</w:t>
      </w:r>
    </w:p>
  </w:footnote>
  <w:footnote w:id="4">
    <w:p w14:paraId="73EE899D" w14:textId="631BC35F" w:rsidR="004A3AAA" w:rsidRPr="002273BC" w:rsidRDefault="004A3AAA" w:rsidP="00EA3738">
      <w:pPr>
        <w:pStyle w:val="FootnoteText"/>
        <w:spacing w:line="312"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w:t>
      </w:r>
      <w:r w:rsidR="00971943" w:rsidRPr="002273BC">
        <w:rPr>
          <w:rFonts w:ascii="Arabic Transparent" w:hAnsi="Arabic Transparent" w:cs="Arabic Transparent"/>
          <w:sz w:val="24"/>
          <w:szCs w:val="24"/>
          <w:rtl/>
          <w:lang w:bidi="ar-JO"/>
        </w:rPr>
        <w:t xml:space="preserve">الجرجاني، علي بن محمد بن علي الزين الشريف، (1983)، </w:t>
      </w:r>
      <w:r w:rsidR="00971943" w:rsidRPr="002273BC">
        <w:rPr>
          <w:rFonts w:ascii="Arabic Transparent" w:hAnsi="Arabic Transparent" w:cs="Arabic Transparent"/>
          <w:b/>
          <w:bCs/>
          <w:sz w:val="24"/>
          <w:szCs w:val="24"/>
          <w:rtl/>
          <w:lang w:bidi="ar-JO"/>
        </w:rPr>
        <w:t>التعريفات</w:t>
      </w:r>
      <w:r w:rsidR="00971943" w:rsidRPr="002273BC">
        <w:rPr>
          <w:rFonts w:ascii="Arabic Transparent" w:hAnsi="Arabic Transparent" w:cs="Arabic Transparent"/>
          <w:sz w:val="24"/>
          <w:szCs w:val="24"/>
          <w:rtl/>
          <w:lang w:bidi="ar-JO"/>
        </w:rPr>
        <w:t xml:space="preserve"> ، ط1،</w:t>
      </w:r>
      <w:r w:rsidR="00971943" w:rsidRPr="002273BC">
        <w:rPr>
          <w:rFonts w:ascii="Arabic Transparent" w:hAnsi="Arabic Transparent" w:cs="Arabic Transparent" w:hint="cs"/>
          <w:sz w:val="24"/>
          <w:szCs w:val="24"/>
          <w:rtl/>
          <w:lang w:bidi="ar-JO"/>
        </w:rPr>
        <w:t xml:space="preserve"> ص89،</w:t>
      </w:r>
      <w:r w:rsidR="00971943" w:rsidRPr="002273BC">
        <w:rPr>
          <w:rFonts w:ascii="Arabic Transparent" w:hAnsi="Arabic Transparent" w:cs="Arabic Transparent"/>
          <w:sz w:val="24"/>
          <w:szCs w:val="24"/>
          <w:rtl/>
          <w:lang w:bidi="ar-JO"/>
        </w:rPr>
        <w:t xml:space="preserve"> دار الكتب العلمية - بيروت، لبنان </w:t>
      </w:r>
      <w:r w:rsidR="00A2065F" w:rsidRPr="002273BC">
        <w:rPr>
          <w:rFonts w:ascii="Arabic Transparent" w:hAnsi="Arabic Transparent" w:cs="Arabic Transparent" w:hint="cs"/>
          <w:sz w:val="24"/>
          <w:szCs w:val="24"/>
          <w:rtl/>
          <w:lang w:bidi="ar-JO"/>
        </w:rPr>
        <w:t>، و</w:t>
      </w:r>
      <w:r w:rsidR="001E0356" w:rsidRPr="002273BC">
        <w:rPr>
          <w:rFonts w:ascii="Arabic Transparent" w:hAnsi="Arabic Transparent" w:cs="Arabic Transparent" w:hint="cs"/>
          <w:sz w:val="24"/>
          <w:szCs w:val="24"/>
          <w:rtl/>
          <w:lang w:bidi="ar-JO"/>
        </w:rPr>
        <w:t>انظر:</w:t>
      </w:r>
      <w:r w:rsidR="00A2065F" w:rsidRPr="002273BC">
        <w:rPr>
          <w:rFonts w:ascii="Arabic Transparent" w:hAnsi="Arabic Transparent" w:cs="Arabic Transparent" w:hint="cs"/>
          <w:sz w:val="24"/>
          <w:szCs w:val="24"/>
          <w:rtl/>
          <w:lang w:bidi="ar-JO"/>
        </w:rPr>
        <w:t xml:space="preserve"> الزبيدي، </w:t>
      </w:r>
      <w:r w:rsidR="00A2065F" w:rsidRPr="002273BC">
        <w:rPr>
          <w:rFonts w:ascii="Arabic Transparent" w:hAnsi="Arabic Transparent" w:cs="Arabic Transparent" w:hint="cs"/>
          <w:b/>
          <w:bCs/>
          <w:sz w:val="24"/>
          <w:szCs w:val="24"/>
          <w:rtl/>
          <w:lang w:bidi="ar-JO"/>
        </w:rPr>
        <w:t>تاج العروس من جواهر القاموس</w:t>
      </w:r>
      <w:r w:rsidR="00A2065F" w:rsidRPr="002273BC">
        <w:rPr>
          <w:rFonts w:ascii="Arabic Transparent" w:hAnsi="Arabic Transparent" w:cs="Arabic Transparent" w:hint="cs"/>
          <w:sz w:val="24"/>
          <w:szCs w:val="24"/>
          <w:rtl/>
          <w:lang w:bidi="ar-JO"/>
        </w:rPr>
        <w:t xml:space="preserve">، </w:t>
      </w:r>
      <w:r w:rsidR="00971943" w:rsidRPr="002273BC">
        <w:rPr>
          <w:rFonts w:ascii="Arabic Transparent" w:hAnsi="Arabic Transparent" w:cs="Arabic Transparent" w:hint="cs"/>
          <w:sz w:val="24"/>
          <w:szCs w:val="24"/>
          <w:rtl/>
          <w:lang w:bidi="ar-JO"/>
        </w:rPr>
        <w:t xml:space="preserve">مصدر سابق، </w:t>
      </w:r>
      <w:r w:rsidR="00A2065F" w:rsidRPr="002273BC">
        <w:rPr>
          <w:rFonts w:ascii="Arabic Transparent" w:hAnsi="Arabic Transparent" w:cs="Arabic Transparent" w:hint="cs"/>
          <w:sz w:val="24"/>
          <w:szCs w:val="24"/>
          <w:rtl/>
          <w:lang w:bidi="ar-JO"/>
        </w:rPr>
        <w:t>ج25، ص166-167.</w:t>
      </w:r>
    </w:p>
  </w:footnote>
  <w:footnote w:id="5">
    <w:p w14:paraId="37EE1EB5" w14:textId="77777777" w:rsidR="00144046" w:rsidRPr="002273BC" w:rsidRDefault="00144046" w:rsidP="00EA3738">
      <w:pPr>
        <w:pStyle w:val="FootnoteText"/>
        <w:spacing w:line="312"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الجوهري، أبو نصر إسماعيل بن حماد الفارابي، (1987)، </w:t>
      </w:r>
      <w:r w:rsidRPr="002273BC">
        <w:rPr>
          <w:rFonts w:ascii="Arabic Transparent" w:hAnsi="Arabic Transparent" w:cs="Arabic Transparent" w:hint="cs"/>
          <w:b/>
          <w:bCs/>
          <w:sz w:val="24"/>
          <w:szCs w:val="24"/>
          <w:rtl/>
          <w:lang w:bidi="ar-JO"/>
        </w:rPr>
        <w:t>الصحاح تاج اللغة وصحاح العربية</w:t>
      </w:r>
      <w:r w:rsidRPr="002273BC">
        <w:rPr>
          <w:rFonts w:ascii="Arabic Transparent" w:hAnsi="Arabic Transparent" w:cs="Arabic Transparent" w:hint="cs"/>
          <w:sz w:val="24"/>
          <w:szCs w:val="24"/>
          <w:rtl/>
          <w:lang w:bidi="ar-JO"/>
        </w:rPr>
        <w:t>، تحقيق: أحمد عبد الغفور عطار، ط4، ج4، ص1460-1461، دار العلم للملايين – بيروت.</w:t>
      </w:r>
    </w:p>
  </w:footnote>
  <w:footnote w:id="6">
    <w:p w14:paraId="013EAA70" w14:textId="2FF0AE5A" w:rsidR="00202FEB" w:rsidRPr="002273BC" w:rsidRDefault="00202FEB" w:rsidP="00EA3738">
      <w:pPr>
        <w:pStyle w:val="FootnoteText"/>
        <w:spacing w:line="336"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001E0356" w:rsidRPr="002273BC">
        <w:rPr>
          <w:rFonts w:ascii="Arabic Transparent" w:hAnsi="Arabic Transparent" w:cs="Arabic Transparent" w:hint="cs"/>
          <w:sz w:val="24"/>
          <w:szCs w:val="24"/>
          <w:rtl/>
          <w:lang w:bidi="ar-JO"/>
        </w:rPr>
        <w:t>انظر:</w:t>
      </w:r>
      <w:r w:rsidR="008F2166" w:rsidRPr="002273BC">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sz w:val="24"/>
          <w:szCs w:val="24"/>
          <w:rtl/>
          <w:lang w:bidi="ar-JO"/>
        </w:rPr>
        <w:t xml:space="preserve">الكفوي، أبو البقاء أيوب بن موسى الحسيني القريمي الحنفي، (د.ت)، </w:t>
      </w:r>
      <w:r w:rsidRPr="002273BC">
        <w:rPr>
          <w:rFonts w:ascii="Arabic Transparent" w:hAnsi="Arabic Transparent" w:cs="Arabic Transparent" w:hint="cs"/>
          <w:b/>
          <w:bCs/>
          <w:sz w:val="24"/>
          <w:szCs w:val="24"/>
          <w:rtl/>
          <w:lang w:bidi="ar-JO"/>
        </w:rPr>
        <w:t>الكليات: معجم في المصطلحات والفروق اللغوية،</w:t>
      </w:r>
      <w:r w:rsidRPr="002273BC">
        <w:rPr>
          <w:rFonts w:ascii="Arabic Transparent" w:hAnsi="Arabic Transparent" w:cs="Arabic Transparent" w:hint="cs"/>
          <w:sz w:val="24"/>
          <w:szCs w:val="24"/>
          <w:rtl/>
          <w:lang w:bidi="ar-JO"/>
        </w:rPr>
        <w:t xml:space="preserve"> تحقيق: عدنان درويش ومحمد المصري، د.ط، ص296، مؤسسة الرسالة – بيروت.</w:t>
      </w:r>
    </w:p>
  </w:footnote>
  <w:footnote w:id="7">
    <w:p w14:paraId="5DBC4787" w14:textId="77777777" w:rsidR="00A802AC" w:rsidRPr="002273BC" w:rsidRDefault="00A802AC" w:rsidP="00EA3738">
      <w:pPr>
        <w:pStyle w:val="FootnoteText"/>
        <w:spacing w:line="336"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ابن عابدين، محمد أمين بن عمر، (1966</w:t>
      </w:r>
      <w:r w:rsidRPr="002273BC">
        <w:rPr>
          <w:rFonts w:ascii="Arabic Transparent" w:hAnsi="Arabic Transparent" w:cs="Arabic Transparent" w:hint="cs"/>
          <w:b/>
          <w:bCs/>
          <w:sz w:val="24"/>
          <w:szCs w:val="24"/>
          <w:rtl/>
          <w:lang w:bidi="ar-JO"/>
        </w:rPr>
        <w:t>)، رد المحتار على الدر المختار في شرح تنوير الأبصار</w:t>
      </w:r>
      <w:r w:rsidRPr="002273BC">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b/>
          <w:bCs/>
          <w:sz w:val="24"/>
          <w:szCs w:val="24"/>
          <w:rtl/>
          <w:lang w:bidi="ar-JO"/>
        </w:rPr>
        <w:t>(حاشية ابن عابدين)</w:t>
      </w:r>
      <w:r w:rsidRPr="002273BC">
        <w:rPr>
          <w:rFonts w:ascii="Arabic Transparent" w:hAnsi="Arabic Transparent" w:cs="Arabic Transparent" w:hint="cs"/>
          <w:sz w:val="24"/>
          <w:szCs w:val="24"/>
          <w:rtl/>
          <w:lang w:bidi="ar-JO"/>
        </w:rPr>
        <w:t>، ط2، ج1، ص18، مصطفى البابي الحلبي وأولاده - مصر.</w:t>
      </w:r>
    </w:p>
  </w:footnote>
  <w:footnote w:id="8">
    <w:p w14:paraId="02EA0075" w14:textId="45191C0F" w:rsidR="00922845" w:rsidRPr="002273BC" w:rsidRDefault="00922845" w:rsidP="00EA3738">
      <w:pPr>
        <w:pStyle w:val="FootnoteText"/>
        <w:spacing w:line="336"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الكفوي، </w:t>
      </w:r>
      <w:r w:rsidRPr="00B12D01">
        <w:rPr>
          <w:rFonts w:ascii="Arabic Transparent" w:hAnsi="Arabic Transparent" w:cs="Arabic Transparent" w:hint="cs"/>
          <w:b/>
          <w:bCs/>
          <w:sz w:val="24"/>
          <w:szCs w:val="24"/>
          <w:rtl/>
          <w:lang w:bidi="ar-JO"/>
        </w:rPr>
        <w:t>الكليات:</w:t>
      </w:r>
      <w:r w:rsidRPr="002273BC">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b/>
          <w:bCs/>
          <w:sz w:val="24"/>
          <w:szCs w:val="24"/>
          <w:rtl/>
          <w:lang w:bidi="ar-JO"/>
        </w:rPr>
        <w:t>معجم في المصطلحات والفروق اللغوية</w:t>
      </w:r>
      <w:r w:rsidRPr="002273BC">
        <w:rPr>
          <w:rFonts w:ascii="Arabic Transparent" w:hAnsi="Arabic Transparent" w:cs="Arabic Transparent" w:hint="cs"/>
          <w:sz w:val="24"/>
          <w:szCs w:val="24"/>
          <w:rtl/>
          <w:lang w:bidi="ar-JO"/>
        </w:rPr>
        <w:t>، مصدر سابق، ص296.</w:t>
      </w:r>
    </w:p>
  </w:footnote>
  <w:footnote w:id="9">
    <w:p w14:paraId="38915B8F" w14:textId="52B161FB" w:rsidR="00A802AC" w:rsidRPr="002273BC" w:rsidRDefault="00A802AC" w:rsidP="00EA3738">
      <w:pPr>
        <w:pStyle w:val="FootnoteText"/>
        <w:spacing w:line="336"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الخرشي، محمد بن عبد الله، (</w:t>
      </w:r>
      <w:r w:rsidR="00660939">
        <w:rPr>
          <w:rFonts w:ascii="Arabic Transparent" w:hAnsi="Arabic Transparent" w:cs="Arabic Transparent" w:hint="cs"/>
          <w:sz w:val="24"/>
          <w:szCs w:val="24"/>
          <w:rtl/>
          <w:lang w:bidi="ar-JO"/>
        </w:rPr>
        <w:t>1900</w:t>
      </w:r>
      <w:r w:rsidRPr="002273BC">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b/>
          <w:bCs/>
          <w:sz w:val="24"/>
          <w:szCs w:val="24"/>
          <w:rtl/>
          <w:lang w:bidi="ar-JO"/>
        </w:rPr>
        <w:t>شرح مختصر خليل وبهامشه حاشية العدوي</w:t>
      </w:r>
      <w:r w:rsidRPr="002273BC">
        <w:rPr>
          <w:rFonts w:ascii="Arabic Transparent" w:hAnsi="Arabic Transparent" w:cs="Arabic Transparent" w:hint="cs"/>
          <w:sz w:val="24"/>
          <w:szCs w:val="24"/>
          <w:rtl/>
          <w:lang w:bidi="ar-JO"/>
        </w:rPr>
        <w:t>، ط2، ج1، ص32، المطبعة الكبرى الأميرية - بولاق، مصر، والتعريف المذكور في المتن نقله العدوي في الحاشية عن الجوهري.</w:t>
      </w:r>
    </w:p>
  </w:footnote>
  <w:footnote w:id="10">
    <w:p w14:paraId="1128FA14" w14:textId="49DD61A4" w:rsidR="00922845" w:rsidRPr="002273BC" w:rsidRDefault="00922845" w:rsidP="00EA3738">
      <w:pPr>
        <w:pStyle w:val="FootnoteText"/>
        <w:spacing w:line="336"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001E0356" w:rsidRPr="002273BC">
        <w:rPr>
          <w:rFonts w:ascii="Arabic Transparent" w:hAnsi="Arabic Transparent" w:cs="Arabic Transparent" w:hint="cs"/>
          <w:sz w:val="24"/>
          <w:szCs w:val="24"/>
          <w:rtl/>
          <w:lang w:bidi="ar-JO"/>
        </w:rPr>
        <w:t>انظر:</w:t>
      </w:r>
      <w:r w:rsidRPr="002273BC">
        <w:rPr>
          <w:rFonts w:ascii="Arabic Transparent" w:hAnsi="Arabic Transparent" w:cs="Arabic Transparent" w:hint="cs"/>
          <w:sz w:val="24"/>
          <w:szCs w:val="24"/>
          <w:rtl/>
          <w:lang w:bidi="ar-JO"/>
        </w:rPr>
        <w:t xml:space="preserve"> </w:t>
      </w:r>
      <w:r w:rsidR="00C8140B" w:rsidRPr="002273BC">
        <w:rPr>
          <w:rFonts w:ascii="Arabic Transparent" w:hAnsi="Arabic Transparent" w:cs="Arabic Transparent"/>
          <w:sz w:val="24"/>
          <w:szCs w:val="24"/>
          <w:rtl/>
          <w:lang w:bidi="ar-JO"/>
        </w:rPr>
        <w:t xml:space="preserve">الدردير، أحمد بن محمد،(دت)، </w:t>
      </w:r>
      <w:r w:rsidR="00C8140B" w:rsidRPr="002273BC">
        <w:rPr>
          <w:rFonts w:ascii="Arabic Transparent" w:hAnsi="Arabic Transparent" w:cs="Arabic Transparent"/>
          <w:b/>
          <w:bCs/>
          <w:sz w:val="24"/>
          <w:szCs w:val="24"/>
          <w:rtl/>
          <w:lang w:bidi="ar-JO"/>
        </w:rPr>
        <w:t>الشرح الكبير على مختصر خليل</w:t>
      </w:r>
      <w:r w:rsidR="00660939">
        <w:rPr>
          <w:rFonts w:ascii="Arabic Transparent" w:hAnsi="Arabic Transparent" w:cs="Arabic Transparent" w:hint="cs"/>
          <w:sz w:val="24"/>
          <w:szCs w:val="24"/>
          <w:rtl/>
          <w:lang w:bidi="ar-JO"/>
        </w:rPr>
        <w:t xml:space="preserve">، </w:t>
      </w:r>
      <w:r w:rsidR="00C8140B" w:rsidRPr="000B35AC">
        <w:rPr>
          <w:rFonts w:ascii="Arabic Transparent" w:hAnsi="Arabic Transparent" w:cs="Arabic Transparent"/>
          <w:b/>
          <w:bCs/>
          <w:sz w:val="24"/>
          <w:szCs w:val="24"/>
          <w:rtl/>
          <w:lang w:bidi="ar-JO"/>
        </w:rPr>
        <w:t>وبهامشه حاشية الدسوقي</w:t>
      </w:r>
      <w:r w:rsidR="00C8140B" w:rsidRPr="002273BC">
        <w:rPr>
          <w:rFonts w:ascii="Arabic Transparent" w:hAnsi="Arabic Transparent" w:cs="Arabic Transparent"/>
          <w:sz w:val="24"/>
          <w:szCs w:val="24"/>
          <w:rtl/>
          <w:lang w:bidi="ar-JO"/>
        </w:rPr>
        <w:t>، ج1، ص18، د.ط، دار الفكر – بيروت.</w:t>
      </w:r>
    </w:p>
  </w:footnote>
  <w:footnote w:id="11">
    <w:p w14:paraId="337F18C9" w14:textId="5589FBA6" w:rsidR="00922845" w:rsidRPr="002273BC" w:rsidRDefault="00922845" w:rsidP="00EA3738">
      <w:pPr>
        <w:pStyle w:val="FootnoteText"/>
        <w:spacing w:line="336"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00C8140B" w:rsidRPr="002273BC">
        <w:rPr>
          <w:rFonts w:ascii="Arabic Transparent" w:hAnsi="Arabic Transparent" w:cs="Arabic Transparent" w:hint="cs"/>
          <w:sz w:val="24"/>
          <w:szCs w:val="24"/>
          <w:rtl/>
          <w:lang w:bidi="ar-JO"/>
        </w:rPr>
        <w:t>ابن حجر</w:t>
      </w:r>
      <w:r w:rsidRPr="002273BC">
        <w:rPr>
          <w:rFonts w:ascii="Arabic Transparent" w:hAnsi="Arabic Transparent" w:cs="Arabic Transparent" w:hint="cs"/>
          <w:sz w:val="24"/>
          <w:szCs w:val="24"/>
          <w:rtl/>
          <w:lang w:bidi="ar-JO"/>
        </w:rPr>
        <w:t>، أحمد بن محمد بن علي</w:t>
      </w:r>
      <w:r w:rsidR="004E27B5" w:rsidRPr="002273BC">
        <w:rPr>
          <w:rFonts w:ascii="Arabic Transparent" w:hAnsi="Arabic Transparent" w:cs="Arabic Transparent" w:hint="cs"/>
          <w:sz w:val="24"/>
          <w:szCs w:val="24"/>
          <w:rtl/>
          <w:lang w:bidi="ar-JO"/>
        </w:rPr>
        <w:t xml:space="preserve"> الهيتمي</w:t>
      </w:r>
      <w:r w:rsidRPr="002273BC">
        <w:rPr>
          <w:rFonts w:ascii="Arabic Transparent" w:hAnsi="Arabic Transparent" w:cs="Arabic Transparent" w:hint="cs"/>
          <w:sz w:val="24"/>
          <w:szCs w:val="24"/>
          <w:rtl/>
          <w:lang w:bidi="ar-JO"/>
        </w:rPr>
        <w:t xml:space="preserve">، (1983)، </w:t>
      </w:r>
      <w:r w:rsidRPr="002273BC">
        <w:rPr>
          <w:rFonts w:ascii="Arabic Transparent" w:hAnsi="Arabic Transparent" w:cs="Arabic Transparent" w:hint="cs"/>
          <w:b/>
          <w:bCs/>
          <w:sz w:val="24"/>
          <w:szCs w:val="24"/>
          <w:rtl/>
          <w:lang w:bidi="ar-JO"/>
        </w:rPr>
        <w:t>تحفة المحتاج في شرح المنهاج مع حاشية الشرواني والعبادي</w:t>
      </w:r>
      <w:r w:rsidRPr="002273BC">
        <w:rPr>
          <w:rFonts w:ascii="Arabic Transparent" w:hAnsi="Arabic Transparent" w:cs="Arabic Transparent" w:hint="cs"/>
          <w:sz w:val="24"/>
          <w:szCs w:val="24"/>
          <w:rtl/>
          <w:lang w:bidi="ar-JO"/>
        </w:rPr>
        <w:t>، ط1، ج1، 36، المكتبة التجارية الكبرى - مصر.</w:t>
      </w:r>
    </w:p>
  </w:footnote>
  <w:footnote w:id="12">
    <w:p w14:paraId="658892C2" w14:textId="3FC6B568" w:rsidR="00AA3A43" w:rsidRPr="002273BC" w:rsidRDefault="00AA3A43" w:rsidP="00EA3738">
      <w:pPr>
        <w:pStyle w:val="FootnoteText"/>
        <w:spacing w:line="336"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الديري، عدنان، والكيلاني، عبدا</w:t>
      </w:r>
      <w:r w:rsidR="002916C9" w:rsidRPr="002273BC">
        <w:rPr>
          <w:rFonts w:ascii="Arabic Transparent" w:hAnsi="Arabic Transparent" w:cs="Arabic Transparent" w:hint="cs"/>
          <w:sz w:val="24"/>
          <w:szCs w:val="24"/>
          <w:rtl/>
          <w:lang w:bidi="ar-JO"/>
        </w:rPr>
        <w:t>ل</w:t>
      </w:r>
      <w:r w:rsidRPr="002273BC">
        <w:rPr>
          <w:rFonts w:ascii="Arabic Transparent" w:hAnsi="Arabic Transparent" w:cs="Arabic Transparent" w:hint="cs"/>
          <w:sz w:val="24"/>
          <w:szCs w:val="24"/>
          <w:rtl/>
          <w:lang w:bidi="ar-JO"/>
        </w:rPr>
        <w:t xml:space="preserve">رحمن،(2022) </w:t>
      </w:r>
      <w:r w:rsidRPr="002273BC">
        <w:rPr>
          <w:rFonts w:ascii="Arabic Transparent" w:hAnsi="Arabic Transparent" w:cs="Arabic Transparent" w:hint="cs"/>
          <w:b/>
          <w:bCs/>
          <w:sz w:val="24"/>
          <w:szCs w:val="24"/>
          <w:rtl/>
          <w:lang w:bidi="ar-JO"/>
        </w:rPr>
        <w:t>بعنوان: منهج التحقيق الأصولي: مفهومه وأهميته وضوابطه،</w:t>
      </w:r>
      <w:r w:rsidRPr="002273BC">
        <w:rPr>
          <w:rFonts w:ascii="Arabic Transparent" w:hAnsi="Arabic Transparent" w:cs="Arabic Transparent" w:hint="cs"/>
          <w:sz w:val="24"/>
          <w:szCs w:val="24"/>
          <w:rtl/>
          <w:lang w:bidi="ar-JO"/>
        </w:rPr>
        <w:t xml:space="preserve"> </w:t>
      </w:r>
      <w:r w:rsidR="004E27B5" w:rsidRPr="002273BC">
        <w:rPr>
          <w:rFonts w:ascii="Arabic Transparent" w:hAnsi="Arabic Transparent" w:cs="Arabic Transparent"/>
          <w:sz w:val="24"/>
          <w:szCs w:val="24"/>
          <w:rtl/>
          <w:lang w:bidi="ar-JO"/>
        </w:rPr>
        <w:t xml:space="preserve">مج31، ع3، </w:t>
      </w:r>
      <w:r w:rsidR="004E27B5" w:rsidRPr="002273BC">
        <w:rPr>
          <w:rFonts w:ascii="Arabic Transparent" w:hAnsi="Arabic Transparent" w:cs="Arabic Transparent" w:hint="cs"/>
          <w:sz w:val="24"/>
          <w:szCs w:val="24"/>
          <w:rtl/>
          <w:lang w:bidi="ar-JO"/>
        </w:rPr>
        <w:t xml:space="preserve">ص23، </w:t>
      </w:r>
      <w:r w:rsidRPr="002273BC">
        <w:rPr>
          <w:rFonts w:ascii="Arabic Transparent" w:hAnsi="Arabic Transparent" w:cs="Arabic Transparent" w:hint="cs"/>
          <w:sz w:val="24"/>
          <w:szCs w:val="24"/>
          <w:rtl/>
          <w:lang w:bidi="ar-JO"/>
        </w:rPr>
        <w:t xml:space="preserve">الجامعة الإسلامية -غزة، </w:t>
      </w:r>
    </w:p>
  </w:footnote>
  <w:footnote w:id="13">
    <w:p w14:paraId="43730FA4" w14:textId="3E74FBD5" w:rsidR="00333540" w:rsidRPr="002273BC" w:rsidRDefault="00333540"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001E0356" w:rsidRPr="002273BC">
        <w:rPr>
          <w:rFonts w:ascii="Arabic Transparent" w:hAnsi="Arabic Transparent" w:cs="Arabic Transparent" w:hint="cs"/>
          <w:sz w:val="24"/>
          <w:szCs w:val="24"/>
          <w:rtl/>
          <w:lang w:bidi="ar-JO"/>
        </w:rPr>
        <w:t>انظر:</w:t>
      </w:r>
      <w:r w:rsidRPr="002273BC">
        <w:rPr>
          <w:rFonts w:ascii="Arabic Transparent" w:hAnsi="Arabic Transparent" w:cs="Arabic Transparent" w:hint="cs"/>
          <w:sz w:val="24"/>
          <w:szCs w:val="24"/>
          <w:rtl/>
          <w:lang w:bidi="ar-JO"/>
        </w:rPr>
        <w:t xml:space="preserve"> ابن فارس، </w:t>
      </w:r>
      <w:r w:rsidRPr="002273BC">
        <w:rPr>
          <w:rFonts w:ascii="Arabic Transparent" w:hAnsi="Arabic Transparent" w:cs="Arabic Transparent" w:hint="cs"/>
          <w:b/>
          <w:bCs/>
          <w:sz w:val="24"/>
          <w:szCs w:val="24"/>
          <w:rtl/>
          <w:lang w:bidi="ar-JO"/>
        </w:rPr>
        <w:t>معجم مقاييس اللغة</w:t>
      </w:r>
      <w:r w:rsidRPr="002273BC">
        <w:rPr>
          <w:rFonts w:ascii="Arabic Transparent" w:hAnsi="Arabic Transparent" w:cs="Arabic Transparent" w:hint="cs"/>
          <w:sz w:val="24"/>
          <w:szCs w:val="24"/>
          <w:rtl/>
          <w:lang w:bidi="ar-JO"/>
        </w:rPr>
        <w:t xml:space="preserve">، </w:t>
      </w:r>
      <w:r w:rsidR="004E27B5" w:rsidRPr="002273BC">
        <w:rPr>
          <w:rFonts w:ascii="Arabic Transparent" w:hAnsi="Arabic Transparent" w:cs="Arabic Transparent" w:hint="cs"/>
          <w:sz w:val="24"/>
          <w:szCs w:val="24"/>
          <w:rtl/>
          <w:lang w:bidi="ar-JO"/>
        </w:rPr>
        <w:t xml:space="preserve">مصدر سابق، </w:t>
      </w:r>
      <w:r w:rsidRPr="002273BC">
        <w:rPr>
          <w:rFonts w:ascii="Arabic Transparent" w:hAnsi="Arabic Transparent" w:cs="Arabic Transparent" w:hint="cs"/>
          <w:sz w:val="24"/>
          <w:szCs w:val="24"/>
          <w:rtl/>
          <w:lang w:bidi="ar-JO"/>
        </w:rPr>
        <w:t xml:space="preserve">ج1، ص399. </w:t>
      </w:r>
    </w:p>
  </w:footnote>
  <w:footnote w:id="14">
    <w:p w14:paraId="302BE763" w14:textId="77777777" w:rsidR="0057584B" w:rsidRPr="002273BC" w:rsidRDefault="0057584B"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التهانوي، محمد أعلى بن علي بن محمد حامد الفاروقي الحنفي، (1996)، </w:t>
      </w:r>
      <w:r w:rsidRPr="002273BC">
        <w:rPr>
          <w:rFonts w:ascii="Arabic Transparent" w:hAnsi="Arabic Transparent" w:cs="Arabic Transparent" w:hint="cs"/>
          <w:b/>
          <w:bCs/>
          <w:sz w:val="24"/>
          <w:szCs w:val="24"/>
          <w:rtl/>
          <w:lang w:bidi="ar-JO"/>
        </w:rPr>
        <w:t>كشاف اصطلاحات الفنون والعلوم</w:t>
      </w:r>
      <w:r w:rsidRPr="002273BC">
        <w:rPr>
          <w:rFonts w:ascii="Arabic Transparent" w:hAnsi="Arabic Transparent" w:cs="Arabic Transparent" w:hint="cs"/>
          <w:sz w:val="24"/>
          <w:szCs w:val="24"/>
          <w:rtl/>
          <w:lang w:bidi="ar-JO"/>
        </w:rPr>
        <w:t>، تحقيق: علي دحروج، تقديم وإشراف: رفيق العجم، ط1، ج1، ص1047، مكتبة لبنان ناشرون – بيروت.</w:t>
      </w:r>
    </w:p>
  </w:footnote>
  <w:footnote w:id="15">
    <w:p w14:paraId="1F588E85" w14:textId="4E4BC349" w:rsidR="0057584B" w:rsidRPr="002273BC" w:rsidRDefault="0057584B"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000408A5" w:rsidRPr="002273BC">
        <w:rPr>
          <w:rFonts w:ascii="Arabic Transparent" w:hAnsi="Arabic Transparent" w:cs="Arabic Transparent" w:hint="cs"/>
          <w:sz w:val="24"/>
          <w:szCs w:val="24"/>
          <w:rtl/>
          <w:lang w:bidi="ar-JO"/>
        </w:rPr>
        <w:t xml:space="preserve">ابن عابدين، </w:t>
      </w:r>
      <w:r w:rsidR="004E27B5" w:rsidRPr="002273BC">
        <w:rPr>
          <w:rFonts w:ascii="Arabic Transparent" w:hAnsi="Arabic Transparent" w:cs="Arabic Transparent" w:hint="cs"/>
          <w:b/>
          <w:bCs/>
          <w:sz w:val="24"/>
          <w:szCs w:val="24"/>
          <w:rtl/>
          <w:lang w:bidi="ar-JO"/>
        </w:rPr>
        <w:t>حاشية ابن عابدين</w:t>
      </w:r>
      <w:r w:rsidR="000408A5" w:rsidRPr="002273BC">
        <w:rPr>
          <w:rFonts w:ascii="Arabic Transparent" w:hAnsi="Arabic Transparent" w:cs="Arabic Transparent" w:hint="cs"/>
          <w:b/>
          <w:bCs/>
          <w:sz w:val="24"/>
          <w:szCs w:val="24"/>
          <w:rtl/>
          <w:lang w:bidi="ar-JO"/>
        </w:rPr>
        <w:t>،</w:t>
      </w:r>
      <w:r w:rsidR="000408A5" w:rsidRPr="002273BC">
        <w:rPr>
          <w:rFonts w:ascii="Arabic Transparent" w:hAnsi="Arabic Transparent" w:cs="Arabic Transparent" w:hint="cs"/>
          <w:sz w:val="24"/>
          <w:szCs w:val="24"/>
          <w:rtl/>
          <w:lang w:bidi="ar-JO"/>
        </w:rPr>
        <w:t xml:space="preserve"> </w:t>
      </w:r>
      <w:r w:rsidR="004E27B5" w:rsidRPr="002273BC">
        <w:rPr>
          <w:rFonts w:ascii="Arabic Transparent" w:hAnsi="Arabic Transparent" w:cs="Arabic Transparent" w:hint="cs"/>
          <w:sz w:val="24"/>
          <w:szCs w:val="24"/>
          <w:rtl/>
          <w:lang w:bidi="ar-JO"/>
        </w:rPr>
        <w:t xml:space="preserve">مصدر سابق، </w:t>
      </w:r>
      <w:r w:rsidR="000408A5" w:rsidRPr="002273BC">
        <w:rPr>
          <w:rFonts w:ascii="Arabic Transparent" w:hAnsi="Arabic Transparent" w:cs="Arabic Transparent" w:hint="cs"/>
          <w:sz w:val="24"/>
          <w:szCs w:val="24"/>
          <w:rtl/>
          <w:lang w:bidi="ar-JO"/>
        </w:rPr>
        <w:t>ج1، ص18.</w:t>
      </w:r>
    </w:p>
  </w:footnote>
  <w:footnote w:id="16">
    <w:p w14:paraId="236037B8" w14:textId="0B5616C8" w:rsidR="004636B3" w:rsidRPr="002273BC" w:rsidRDefault="004636B3"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004E27B5" w:rsidRPr="002273BC">
        <w:rPr>
          <w:rFonts w:ascii="Arabic Transparent" w:hAnsi="Arabic Transparent" w:cs="Arabic Transparent" w:hint="cs"/>
          <w:sz w:val="24"/>
          <w:szCs w:val="24"/>
          <w:rtl/>
          <w:lang w:bidi="ar-JO"/>
        </w:rPr>
        <w:t xml:space="preserve">انظر: </w:t>
      </w:r>
      <w:r w:rsidR="00CB1FEC" w:rsidRPr="002273BC">
        <w:rPr>
          <w:rFonts w:ascii="Arabic Transparent" w:hAnsi="Arabic Transparent" w:cs="Arabic Transparent" w:hint="cs"/>
          <w:sz w:val="24"/>
          <w:szCs w:val="24"/>
          <w:rtl/>
          <w:lang w:bidi="ar-JO"/>
        </w:rPr>
        <w:t>الجوهري،</w:t>
      </w:r>
      <w:r w:rsidR="00D532AF" w:rsidRPr="002273BC">
        <w:rPr>
          <w:rFonts w:ascii="Arabic Transparent" w:hAnsi="Arabic Transparent" w:cs="Arabic Transparent" w:hint="cs"/>
          <w:sz w:val="24"/>
          <w:szCs w:val="24"/>
          <w:rtl/>
          <w:lang w:bidi="ar-JO"/>
        </w:rPr>
        <w:t xml:space="preserve"> إسماعيل ابن غنيم (2010م)، </w:t>
      </w:r>
      <w:r w:rsidR="00CB1FEC" w:rsidRPr="002273BC">
        <w:rPr>
          <w:rFonts w:ascii="Arabic Transparent" w:hAnsi="Arabic Transparent" w:cs="Arabic Transparent" w:hint="cs"/>
          <w:b/>
          <w:bCs/>
          <w:sz w:val="24"/>
          <w:szCs w:val="24"/>
          <w:rtl/>
          <w:lang w:bidi="ar-JO"/>
        </w:rPr>
        <w:t>إجراز السعد بإنجاز الوعد بمسائل أما بعد</w:t>
      </w:r>
      <w:r w:rsidR="00CB1FEC" w:rsidRPr="002273BC">
        <w:rPr>
          <w:rFonts w:ascii="Arabic Transparent" w:hAnsi="Arabic Transparent" w:cs="Arabic Transparent" w:hint="cs"/>
          <w:sz w:val="24"/>
          <w:szCs w:val="24"/>
          <w:rtl/>
          <w:lang w:bidi="ar-JO"/>
        </w:rPr>
        <w:t xml:space="preserve">، </w:t>
      </w:r>
      <w:r w:rsidR="00D532AF" w:rsidRPr="002273BC">
        <w:rPr>
          <w:rFonts w:ascii="Arabic Transparent" w:hAnsi="Arabic Transparent" w:cs="Arabic Transparent" w:hint="cs"/>
          <w:sz w:val="24"/>
          <w:szCs w:val="24"/>
          <w:rtl/>
          <w:lang w:bidi="ar-JO"/>
        </w:rPr>
        <w:t>تحقيق: د. جميل عبدالله عويضة، د</w:t>
      </w:r>
      <w:r w:rsidR="00B277DB" w:rsidRPr="002273BC">
        <w:rPr>
          <w:rFonts w:ascii="Arabic Transparent" w:hAnsi="Arabic Transparent" w:cs="Arabic Transparent" w:hint="cs"/>
          <w:sz w:val="24"/>
          <w:szCs w:val="24"/>
          <w:rtl/>
          <w:lang w:bidi="ar-JO"/>
        </w:rPr>
        <w:t>.</w:t>
      </w:r>
      <w:r w:rsidR="00D532AF" w:rsidRPr="002273BC">
        <w:rPr>
          <w:rFonts w:ascii="Arabic Transparent" w:hAnsi="Arabic Transparent" w:cs="Arabic Transparent" w:hint="cs"/>
          <w:sz w:val="24"/>
          <w:szCs w:val="24"/>
          <w:rtl/>
          <w:lang w:bidi="ar-JO"/>
        </w:rPr>
        <w:t xml:space="preserve">ط، </w:t>
      </w:r>
      <w:r w:rsidR="00CB1FEC" w:rsidRPr="002273BC">
        <w:rPr>
          <w:rFonts w:ascii="Arabic Transparent" w:hAnsi="Arabic Transparent" w:cs="Arabic Transparent" w:hint="cs"/>
          <w:sz w:val="24"/>
          <w:szCs w:val="24"/>
          <w:rtl/>
          <w:lang w:bidi="ar-JO"/>
        </w:rPr>
        <w:t>ص9</w:t>
      </w:r>
      <w:r w:rsidR="00D532AF" w:rsidRPr="002273BC">
        <w:rPr>
          <w:rFonts w:ascii="Arabic Transparent" w:hAnsi="Arabic Transparent" w:cs="Arabic Transparent" w:hint="cs"/>
          <w:sz w:val="24"/>
          <w:szCs w:val="24"/>
          <w:rtl/>
          <w:lang w:bidi="ar-JO"/>
        </w:rPr>
        <w:t xml:space="preserve">، </w:t>
      </w:r>
      <w:r w:rsidR="004E27B5" w:rsidRPr="002273BC">
        <w:rPr>
          <w:rFonts w:ascii="Arabic Transparent" w:hAnsi="Arabic Transparent" w:cs="Arabic Transparent" w:hint="cs"/>
          <w:sz w:val="24"/>
          <w:szCs w:val="24"/>
          <w:rtl/>
          <w:lang w:bidi="ar-JO"/>
        </w:rPr>
        <w:t xml:space="preserve">المكتبة العصرية </w:t>
      </w:r>
      <w:r w:rsidR="004E27B5" w:rsidRPr="002273BC">
        <w:rPr>
          <w:rFonts w:ascii="Arabic Transparent" w:hAnsi="Arabic Transparent" w:cs="Arabic Transparent"/>
          <w:sz w:val="24"/>
          <w:szCs w:val="24"/>
          <w:rtl/>
          <w:lang w:bidi="ar-JO"/>
        </w:rPr>
        <w:t>–</w:t>
      </w:r>
      <w:r w:rsidR="004E27B5" w:rsidRPr="002273BC">
        <w:rPr>
          <w:rFonts w:ascii="Arabic Transparent" w:hAnsi="Arabic Transparent" w:cs="Arabic Transparent" w:hint="cs"/>
          <w:sz w:val="24"/>
          <w:szCs w:val="24"/>
          <w:rtl/>
          <w:lang w:bidi="ar-JO"/>
        </w:rPr>
        <w:t xml:space="preserve"> بيروت.</w:t>
      </w:r>
    </w:p>
  </w:footnote>
  <w:footnote w:id="17">
    <w:p w14:paraId="3D46588C" w14:textId="0083555C" w:rsidR="004636B3" w:rsidRPr="002273BC" w:rsidRDefault="004636B3"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001E0356" w:rsidRPr="002273BC">
        <w:rPr>
          <w:rFonts w:ascii="Arabic Transparent" w:hAnsi="Arabic Transparent" w:cs="Arabic Transparent" w:hint="cs"/>
          <w:sz w:val="24"/>
          <w:szCs w:val="24"/>
          <w:rtl/>
          <w:lang w:bidi="ar-JO"/>
        </w:rPr>
        <w:t>انظر:</w:t>
      </w:r>
      <w:r w:rsidR="00CB1FEC" w:rsidRPr="002273BC">
        <w:rPr>
          <w:rFonts w:ascii="Arabic Transparent" w:hAnsi="Arabic Transparent" w:cs="Arabic Transparent" w:hint="cs"/>
          <w:sz w:val="24"/>
          <w:szCs w:val="24"/>
          <w:rtl/>
          <w:lang w:bidi="ar-JO"/>
        </w:rPr>
        <w:t xml:space="preserve"> التفتازاني، </w:t>
      </w:r>
      <w:r w:rsidR="00D532AF" w:rsidRPr="002273BC">
        <w:rPr>
          <w:rFonts w:ascii="Arabic Transparent" w:hAnsi="Arabic Transparent" w:cs="Arabic Transparent" w:hint="cs"/>
          <w:sz w:val="24"/>
          <w:szCs w:val="24"/>
          <w:rtl/>
          <w:lang w:bidi="ar-JO"/>
        </w:rPr>
        <w:t xml:space="preserve">سعد الدين مسعود بن عمر، (1998م)، </w:t>
      </w:r>
      <w:r w:rsidR="00CB1FEC" w:rsidRPr="002273BC">
        <w:rPr>
          <w:rFonts w:ascii="Arabic Transparent" w:hAnsi="Arabic Transparent" w:cs="Arabic Transparent" w:hint="cs"/>
          <w:b/>
          <w:bCs/>
          <w:sz w:val="24"/>
          <w:szCs w:val="24"/>
          <w:rtl/>
          <w:lang w:bidi="ar-JO"/>
        </w:rPr>
        <w:t>شرح المقاصد في علم الكلام</w:t>
      </w:r>
      <w:r w:rsidR="00CB1FEC" w:rsidRPr="002273BC">
        <w:rPr>
          <w:rFonts w:ascii="Arabic Transparent" w:hAnsi="Arabic Transparent" w:cs="Arabic Transparent" w:hint="cs"/>
          <w:sz w:val="24"/>
          <w:szCs w:val="24"/>
          <w:rtl/>
          <w:lang w:bidi="ar-JO"/>
        </w:rPr>
        <w:t xml:space="preserve">، </w:t>
      </w:r>
      <w:r w:rsidR="00D532AF" w:rsidRPr="002273BC">
        <w:rPr>
          <w:rFonts w:ascii="Arabic Transparent" w:hAnsi="Arabic Transparent" w:cs="Arabic Transparent" w:hint="cs"/>
          <w:sz w:val="24"/>
          <w:szCs w:val="24"/>
          <w:rtl/>
          <w:lang w:bidi="ar-JO"/>
        </w:rPr>
        <w:t>،</w:t>
      </w:r>
      <w:r w:rsidR="00D532AF" w:rsidRPr="002273BC">
        <w:rPr>
          <w:rFonts w:ascii="Arabic Transparent" w:hAnsi="Arabic Transparent" w:cs="Arabic Transparent" w:hint="cs"/>
          <w:sz w:val="24"/>
          <w:szCs w:val="24"/>
          <w:rtl/>
        </w:rPr>
        <w:t xml:space="preserve"> </w:t>
      </w:r>
      <w:r w:rsidR="00D532AF" w:rsidRPr="002273BC">
        <w:rPr>
          <w:rFonts w:ascii="Arabic Transparent" w:hAnsi="Arabic Transparent" w:cs="Arabic Transparent" w:hint="cs"/>
          <w:sz w:val="24"/>
          <w:szCs w:val="24"/>
          <w:rtl/>
          <w:lang w:bidi="ar-JO"/>
        </w:rPr>
        <w:t xml:space="preserve">ط1، </w:t>
      </w:r>
      <w:r w:rsidR="00FF1F64" w:rsidRPr="002273BC">
        <w:rPr>
          <w:rFonts w:ascii="Arabic Transparent" w:hAnsi="Arabic Transparent" w:cs="Arabic Transparent"/>
          <w:sz w:val="24"/>
          <w:szCs w:val="24"/>
          <w:rtl/>
          <w:lang w:bidi="ar-JO"/>
        </w:rPr>
        <w:t>ج1، ص392</w:t>
      </w:r>
      <w:r w:rsidR="00D532AF" w:rsidRPr="002273BC">
        <w:rPr>
          <w:rFonts w:ascii="Arabic Transparent" w:hAnsi="Arabic Transparent" w:cs="Arabic Transparent" w:hint="cs"/>
          <w:sz w:val="24"/>
          <w:szCs w:val="24"/>
          <w:rtl/>
          <w:lang w:bidi="ar-JO"/>
        </w:rPr>
        <w:t>، دار الكتب للطباعة والنشر والتوزيع- بيروت.</w:t>
      </w:r>
    </w:p>
  </w:footnote>
  <w:footnote w:id="18">
    <w:p w14:paraId="4EBFD05F" w14:textId="7AA63550" w:rsidR="00D532AF" w:rsidRPr="002273BC" w:rsidRDefault="00D532AF"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البابرتي، </w:t>
      </w:r>
      <w:r w:rsidR="005B572D" w:rsidRPr="002273BC">
        <w:rPr>
          <w:rFonts w:ascii="Arabic Transparent" w:hAnsi="Arabic Transparent" w:cs="Arabic Transparent" w:hint="cs"/>
          <w:sz w:val="24"/>
          <w:szCs w:val="24"/>
          <w:rtl/>
          <w:lang w:bidi="ar-JO"/>
        </w:rPr>
        <w:t xml:space="preserve">محمد بن محمود بن أحمد، (2005م)، </w:t>
      </w:r>
      <w:r w:rsidRPr="002273BC">
        <w:rPr>
          <w:rFonts w:ascii="Arabic Transparent" w:hAnsi="Arabic Transparent" w:cs="Arabic Transparent" w:hint="cs"/>
          <w:b/>
          <w:bCs/>
          <w:sz w:val="24"/>
          <w:szCs w:val="24"/>
          <w:rtl/>
          <w:lang w:bidi="ar-JO"/>
        </w:rPr>
        <w:t>الردود والنقود شرح مخصر ابن الحاجب</w:t>
      </w:r>
      <w:r w:rsidRPr="002273BC">
        <w:rPr>
          <w:rFonts w:ascii="Arabic Transparent" w:hAnsi="Arabic Transparent" w:cs="Arabic Transparent" w:hint="cs"/>
          <w:sz w:val="24"/>
          <w:szCs w:val="24"/>
          <w:rtl/>
          <w:lang w:bidi="ar-JO"/>
        </w:rPr>
        <w:t xml:space="preserve">، </w:t>
      </w:r>
      <w:r w:rsidR="005B572D" w:rsidRPr="002273BC">
        <w:rPr>
          <w:rFonts w:ascii="Arabic Transparent" w:hAnsi="Arabic Transparent" w:cs="Arabic Transparent" w:hint="cs"/>
          <w:sz w:val="24"/>
          <w:szCs w:val="24"/>
          <w:rtl/>
          <w:lang w:bidi="ar-JO"/>
        </w:rPr>
        <w:t xml:space="preserve">تحقيق: ضيف الله العمري </w:t>
      </w:r>
      <w:r w:rsidR="00FF1F64" w:rsidRPr="002273BC">
        <w:rPr>
          <w:rFonts w:ascii="Arabic Transparent" w:hAnsi="Arabic Transparent" w:cs="Arabic Transparent" w:hint="cs"/>
          <w:sz w:val="24"/>
          <w:szCs w:val="24"/>
          <w:rtl/>
          <w:lang w:bidi="ar-JO"/>
        </w:rPr>
        <w:t xml:space="preserve">ط1، </w:t>
      </w:r>
      <w:r w:rsidRPr="002273BC">
        <w:rPr>
          <w:rFonts w:ascii="Arabic Transparent" w:hAnsi="Arabic Transparent" w:cs="Arabic Transparent" w:hint="cs"/>
          <w:sz w:val="24"/>
          <w:szCs w:val="24"/>
          <w:rtl/>
          <w:lang w:bidi="ar-JO"/>
        </w:rPr>
        <w:t>ج1، ص426</w:t>
      </w:r>
      <w:r w:rsidR="00E16397" w:rsidRPr="002273BC">
        <w:rPr>
          <w:rFonts w:ascii="Arabic Transparent" w:hAnsi="Arabic Transparent" w:cs="Arabic Transparent" w:hint="cs"/>
          <w:sz w:val="24"/>
          <w:szCs w:val="24"/>
          <w:rtl/>
          <w:lang w:bidi="ar-JO"/>
        </w:rPr>
        <w:t>، مكتبة الرشد، السعودية.</w:t>
      </w:r>
    </w:p>
  </w:footnote>
  <w:footnote w:id="19">
    <w:p w14:paraId="2FA99A5D" w14:textId="46C94F14" w:rsidR="00C07B63" w:rsidRPr="002273BC" w:rsidRDefault="00C07B63" w:rsidP="00EA3738">
      <w:pPr>
        <w:pStyle w:val="FootnoteText"/>
        <w:spacing w:line="312"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003A63F5" w:rsidRPr="002273BC">
        <w:rPr>
          <w:rFonts w:ascii="Arabic Transparent" w:hAnsi="Arabic Transparent" w:cs="Arabic Transparent" w:hint="cs"/>
          <w:sz w:val="24"/>
          <w:szCs w:val="24"/>
          <w:rtl/>
          <w:lang w:bidi="ar-JO"/>
        </w:rPr>
        <w:t xml:space="preserve">الكفوي، </w:t>
      </w:r>
      <w:r w:rsidR="003A63F5" w:rsidRPr="002273BC">
        <w:rPr>
          <w:rFonts w:ascii="Arabic Transparent" w:hAnsi="Arabic Transparent" w:cs="Arabic Transparent" w:hint="cs"/>
          <w:b/>
          <w:bCs/>
          <w:sz w:val="24"/>
          <w:szCs w:val="24"/>
          <w:rtl/>
          <w:lang w:bidi="ar-JO"/>
        </w:rPr>
        <w:t>الكليات،</w:t>
      </w:r>
      <w:r w:rsidR="003A63F5" w:rsidRPr="002273BC">
        <w:rPr>
          <w:rFonts w:ascii="Arabic Transparent" w:hAnsi="Arabic Transparent" w:cs="Arabic Transparent" w:hint="cs"/>
          <w:sz w:val="24"/>
          <w:szCs w:val="24"/>
          <w:rtl/>
          <w:lang w:bidi="ar-JO"/>
        </w:rPr>
        <w:t xml:space="preserve"> </w:t>
      </w:r>
      <w:r w:rsidR="00023529" w:rsidRPr="002273BC">
        <w:rPr>
          <w:rFonts w:ascii="Arabic Transparent" w:hAnsi="Arabic Transparent" w:cs="Arabic Transparent" w:hint="cs"/>
          <w:sz w:val="24"/>
          <w:szCs w:val="24"/>
          <w:rtl/>
          <w:lang w:bidi="ar-JO"/>
        </w:rPr>
        <w:t xml:space="preserve">مصدر سابق، </w:t>
      </w:r>
      <w:r w:rsidR="003A63F5" w:rsidRPr="002273BC">
        <w:rPr>
          <w:rFonts w:ascii="Arabic Transparent" w:hAnsi="Arabic Transparent" w:cs="Arabic Transparent" w:hint="cs"/>
          <w:sz w:val="24"/>
          <w:szCs w:val="24"/>
          <w:rtl/>
          <w:lang w:bidi="ar-JO"/>
        </w:rPr>
        <w:t>ص873، و</w:t>
      </w:r>
      <w:r w:rsidR="001E0356" w:rsidRPr="002273BC">
        <w:rPr>
          <w:rFonts w:ascii="Arabic Transparent" w:hAnsi="Arabic Transparent" w:cs="Arabic Transparent" w:hint="cs"/>
          <w:sz w:val="24"/>
          <w:szCs w:val="24"/>
          <w:rtl/>
          <w:lang w:bidi="ar-JO"/>
        </w:rPr>
        <w:t>انظر:</w:t>
      </w:r>
      <w:r w:rsidR="003A63F5" w:rsidRPr="002273BC">
        <w:rPr>
          <w:rFonts w:ascii="Arabic Transparent" w:hAnsi="Arabic Transparent" w:cs="Arabic Transparent" w:hint="cs"/>
          <w:sz w:val="24"/>
          <w:szCs w:val="24"/>
          <w:rtl/>
          <w:lang w:bidi="ar-JO"/>
        </w:rPr>
        <w:t xml:space="preserve"> رضا، أحمد، (1958–1960)، </w:t>
      </w:r>
      <w:r w:rsidR="003A63F5" w:rsidRPr="002273BC">
        <w:rPr>
          <w:rFonts w:ascii="Arabic Transparent" w:hAnsi="Arabic Transparent" w:cs="Arabic Transparent" w:hint="cs"/>
          <w:b/>
          <w:bCs/>
          <w:sz w:val="24"/>
          <w:szCs w:val="24"/>
          <w:rtl/>
          <w:lang w:bidi="ar-JO"/>
        </w:rPr>
        <w:t>معجم متن اللغة</w:t>
      </w:r>
      <w:r w:rsidR="003A63F5" w:rsidRPr="002273BC">
        <w:rPr>
          <w:rFonts w:ascii="Arabic Transparent" w:hAnsi="Arabic Transparent" w:cs="Arabic Transparent" w:hint="cs"/>
          <w:sz w:val="24"/>
          <w:szCs w:val="24"/>
          <w:rtl/>
          <w:lang w:bidi="ar-JO"/>
        </w:rPr>
        <w:t>، ط1، ج5، ص577، دار مكتبة الحياة – بيرو</w:t>
      </w:r>
      <w:r w:rsidR="00D06CF7" w:rsidRPr="002273BC">
        <w:rPr>
          <w:rFonts w:ascii="Arabic Transparent" w:hAnsi="Arabic Transparent" w:cs="Arabic Transparent" w:hint="cs"/>
          <w:sz w:val="24"/>
          <w:szCs w:val="24"/>
          <w:rtl/>
          <w:lang w:bidi="ar-JO"/>
        </w:rPr>
        <w:t>ت</w:t>
      </w:r>
      <w:r w:rsidR="003A63F5" w:rsidRPr="002273BC">
        <w:rPr>
          <w:rFonts w:ascii="Arabic Transparent" w:hAnsi="Arabic Transparent" w:cs="Arabic Transparent" w:hint="cs"/>
          <w:sz w:val="24"/>
          <w:szCs w:val="24"/>
          <w:rtl/>
          <w:lang w:bidi="ar-JO"/>
        </w:rPr>
        <w:t>.</w:t>
      </w:r>
    </w:p>
  </w:footnote>
  <w:footnote w:id="20">
    <w:p w14:paraId="0A15151C" w14:textId="50C729FE" w:rsidR="00D06CF7" w:rsidRPr="002273BC" w:rsidRDefault="00D06CF7" w:rsidP="00EA3738">
      <w:pPr>
        <w:pStyle w:val="FootnoteText"/>
        <w:spacing w:line="312"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009F60EC" w:rsidRPr="002273BC">
        <w:rPr>
          <w:rFonts w:ascii="Arabic Transparent" w:hAnsi="Arabic Transparent" w:cs="Arabic Transparent" w:hint="cs"/>
          <w:sz w:val="24"/>
          <w:szCs w:val="24"/>
          <w:rtl/>
          <w:lang w:bidi="ar-JO"/>
        </w:rPr>
        <w:t>ابن منظور، محمد بن مكرم، أبو الفضل جمال الدين، (</w:t>
      </w:r>
      <w:r w:rsidR="00AB0CAA">
        <w:rPr>
          <w:rFonts w:ascii="Arabic Transparent" w:hAnsi="Arabic Transparent" w:cs="Arabic Transparent" w:hint="cs"/>
          <w:sz w:val="24"/>
          <w:szCs w:val="24"/>
          <w:rtl/>
          <w:lang w:bidi="ar-JO"/>
        </w:rPr>
        <w:t>1993</w:t>
      </w:r>
      <w:r w:rsidR="009F60EC" w:rsidRPr="002273BC">
        <w:rPr>
          <w:rFonts w:ascii="Arabic Transparent" w:hAnsi="Arabic Transparent" w:cs="Arabic Transparent" w:hint="cs"/>
          <w:sz w:val="24"/>
          <w:szCs w:val="24"/>
          <w:rtl/>
          <w:lang w:bidi="ar-JO"/>
        </w:rPr>
        <w:t xml:space="preserve">)، </w:t>
      </w:r>
      <w:r w:rsidR="009F60EC" w:rsidRPr="002273BC">
        <w:rPr>
          <w:rFonts w:ascii="Arabic Transparent" w:hAnsi="Arabic Transparent" w:cs="Arabic Transparent" w:hint="cs"/>
          <w:b/>
          <w:bCs/>
          <w:sz w:val="24"/>
          <w:szCs w:val="24"/>
          <w:rtl/>
          <w:lang w:bidi="ar-JO"/>
        </w:rPr>
        <w:t>لسان العرب</w:t>
      </w:r>
      <w:r w:rsidR="009F60EC" w:rsidRPr="002273BC">
        <w:rPr>
          <w:rFonts w:ascii="Arabic Transparent" w:hAnsi="Arabic Transparent" w:cs="Arabic Transparent" w:hint="cs"/>
          <w:sz w:val="24"/>
          <w:szCs w:val="24"/>
          <w:rtl/>
          <w:lang w:bidi="ar-JO"/>
        </w:rPr>
        <w:t xml:space="preserve">، ط3، </w:t>
      </w:r>
      <w:r w:rsidRPr="002273BC">
        <w:rPr>
          <w:rFonts w:ascii="Arabic Transparent" w:hAnsi="Arabic Transparent" w:cs="Arabic Transparent" w:hint="cs"/>
          <w:sz w:val="24"/>
          <w:szCs w:val="24"/>
          <w:rtl/>
          <w:lang w:bidi="ar-JO"/>
        </w:rPr>
        <w:t>ج7، ص418</w:t>
      </w:r>
      <w:r w:rsidR="00D129CA" w:rsidRPr="002273BC">
        <w:rPr>
          <w:rFonts w:ascii="Arabic Transparent" w:hAnsi="Arabic Transparent" w:cs="Arabic Transparent" w:hint="cs"/>
          <w:sz w:val="24"/>
          <w:szCs w:val="24"/>
          <w:rtl/>
          <w:lang w:bidi="ar-JO"/>
        </w:rPr>
        <w:t xml:space="preserve">، </w:t>
      </w:r>
      <w:r w:rsidR="009F60EC" w:rsidRPr="002273BC">
        <w:rPr>
          <w:rFonts w:ascii="Arabic Transparent" w:hAnsi="Arabic Transparent" w:cs="Arabic Transparent" w:hint="cs"/>
          <w:sz w:val="24"/>
          <w:szCs w:val="24"/>
          <w:rtl/>
          <w:lang w:bidi="ar-JO"/>
        </w:rPr>
        <w:t xml:space="preserve">دار صادر، بيروت، البركتي، محمد عميم الإحسان المجددي، (2003)، </w:t>
      </w:r>
      <w:r w:rsidR="009F60EC" w:rsidRPr="002273BC">
        <w:rPr>
          <w:rFonts w:ascii="Arabic Transparent" w:hAnsi="Arabic Transparent" w:cs="Arabic Transparent" w:hint="cs"/>
          <w:b/>
          <w:bCs/>
          <w:sz w:val="24"/>
          <w:szCs w:val="24"/>
          <w:rtl/>
          <w:lang w:bidi="ar-JO"/>
        </w:rPr>
        <w:t>التعريفات الفقهية</w:t>
      </w:r>
      <w:r w:rsidR="009F60EC" w:rsidRPr="002273BC">
        <w:rPr>
          <w:rFonts w:ascii="Arabic Transparent" w:hAnsi="Arabic Transparent" w:cs="Arabic Transparent" w:hint="cs"/>
          <w:sz w:val="24"/>
          <w:szCs w:val="24"/>
          <w:rtl/>
          <w:lang w:bidi="ar-JO"/>
        </w:rPr>
        <w:t xml:space="preserve">، ط1، </w:t>
      </w:r>
      <w:r w:rsidR="00D129CA" w:rsidRPr="002273BC">
        <w:rPr>
          <w:rFonts w:ascii="Arabic Transparent" w:hAnsi="Arabic Transparent" w:cs="Arabic Transparent" w:hint="cs"/>
          <w:sz w:val="24"/>
          <w:szCs w:val="24"/>
          <w:rtl/>
          <w:lang w:bidi="ar-JO"/>
        </w:rPr>
        <w:t>ص218</w:t>
      </w:r>
      <w:r w:rsidR="009F60EC" w:rsidRPr="002273BC">
        <w:rPr>
          <w:rFonts w:ascii="Arabic Transparent" w:hAnsi="Arabic Transparent" w:cs="Arabic Transparent" w:hint="cs"/>
          <w:sz w:val="24"/>
          <w:szCs w:val="24"/>
          <w:rtl/>
          <w:lang w:bidi="ar-JO"/>
        </w:rPr>
        <w:t>، دار الكتب العلمية، بيروت</w:t>
      </w:r>
      <w:r w:rsidR="00E16397" w:rsidRPr="002273BC">
        <w:rPr>
          <w:rFonts w:ascii="Arabic Transparent" w:hAnsi="Arabic Transparent" w:cs="Arabic Transparent" w:hint="cs"/>
          <w:sz w:val="24"/>
          <w:szCs w:val="24"/>
          <w:rtl/>
          <w:lang w:bidi="ar-JO"/>
        </w:rPr>
        <w:t>.</w:t>
      </w:r>
    </w:p>
  </w:footnote>
  <w:footnote w:id="21">
    <w:p w14:paraId="1893B110" w14:textId="3FBFD42D" w:rsidR="00C07B63" w:rsidRPr="002273BC" w:rsidRDefault="00C07B63" w:rsidP="00EA3738">
      <w:pPr>
        <w:pStyle w:val="FootnoteText"/>
        <w:spacing w:line="312"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مجموعة من المؤلفين، </w:t>
      </w:r>
      <w:r w:rsidRPr="002273BC">
        <w:rPr>
          <w:rFonts w:ascii="Arabic Transparent" w:hAnsi="Arabic Transparent" w:cs="Arabic Transparent" w:hint="cs"/>
          <w:b/>
          <w:bCs/>
          <w:sz w:val="24"/>
          <w:szCs w:val="24"/>
          <w:rtl/>
          <w:lang w:bidi="ar-JO"/>
        </w:rPr>
        <w:t>المعجم الوسيط</w:t>
      </w:r>
      <w:r w:rsidR="009F60EC" w:rsidRPr="002273BC">
        <w:rPr>
          <w:rFonts w:ascii="Arabic Transparent" w:hAnsi="Arabic Transparent" w:cs="Arabic Transparent" w:hint="cs"/>
          <w:b/>
          <w:bCs/>
          <w:sz w:val="24"/>
          <w:szCs w:val="24"/>
          <w:rtl/>
          <w:lang w:bidi="ar-JO"/>
        </w:rPr>
        <w:t xml:space="preserve"> </w:t>
      </w:r>
      <w:r w:rsidR="009F60EC" w:rsidRPr="002273BC">
        <w:rPr>
          <w:rFonts w:ascii="Arabic Transparent" w:hAnsi="Arabic Transparent" w:cs="Arabic Transparent" w:hint="cs"/>
          <w:sz w:val="24"/>
          <w:szCs w:val="24"/>
          <w:rtl/>
          <w:lang w:bidi="ar-JO"/>
        </w:rPr>
        <w:t>(1972)</w:t>
      </w:r>
      <w:r w:rsidRPr="002273BC">
        <w:rPr>
          <w:rFonts w:ascii="Arabic Transparent" w:hAnsi="Arabic Transparent" w:cs="Arabic Transparent" w:hint="cs"/>
          <w:sz w:val="24"/>
          <w:szCs w:val="24"/>
          <w:rtl/>
          <w:lang w:bidi="ar-JO"/>
        </w:rPr>
        <w:t xml:space="preserve">، </w:t>
      </w:r>
      <w:r w:rsidR="00E16397" w:rsidRPr="002273BC">
        <w:rPr>
          <w:rFonts w:ascii="Arabic Transparent" w:hAnsi="Arabic Transparent" w:cs="Arabic Transparent" w:hint="cs"/>
          <w:sz w:val="24"/>
          <w:szCs w:val="24"/>
          <w:rtl/>
          <w:lang w:bidi="ar-JO"/>
        </w:rPr>
        <w:t>مصدر سابق،</w:t>
      </w:r>
      <w:r w:rsidR="009F60EC" w:rsidRPr="002273BC">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sz w:val="24"/>
          <w:szCs w:val="24"/>
          <w:rtl/>
          <w:lang w:bidi="ar-JO"/>
        </w:rPr>
        <w:t>ج2، ص963</w:t>
      </w:r>
      <w:r w:rsidR="00E16397" w:rsidRPr="002273BC">
        <w:rPr>
          <w:rFonts w:ascii="Arabic Transparent" w:hAnsi="Arabic Transparent" w:cs="Arabic Transparent" w:hint="cs"/>
          <w:sz w:val="24"/>
          <w:szCs w:val="24"/>
          <w:rtl/>
          <w:lang w:bidi="ar-JO"/>
        </w:rPr>
        <w:t>.</w:t>
      </w:r>
    </w:p>
  </w:footnote>
  <w:footnote w:id="22">
    <w:p w14:paraId="12EFAAEB" w14:textId="6E0A0823" w:rsidR="00A00E64" w:rsidRPr="002273BC" w:rsidRDefault="00A00E64" w:rsidP="00EA3738">
      <w:pPr>
        <w:pStyle w:val="FootnoteText"/>
        <w:spacing w:line="312" w:lineRule="auto"/>
        <w:jc w:val="both"/>
        <w:rPr>
          <w:rFonts w:ascii="Arabic Transparent" w:hAnsi="Arabic Transparent" w:cs="Arabic Transparent"/>
          <w:sz w:val="24"/>
          <w:szCs w:val="24"/>
          <w:rtl/>
        </w:rPr>
      </w:pP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Pr>
        <w:footnoteRef/>
      </w:r>
      <w:r w:rsidRPr="002273BC">
        <w:rPr>
          <w:rFonts w:ascii="Arabic Transparent" w:hAnsi="Arabic Transparent" w:cs="Arabic Transparent" w:hint="cs"/>
          <w:sz w:val="24"/>
          <w:szCs w:val="24"/>
        </w:rPr>
        <w:t>)</w:t>
      </w:r>
      <w:r w:rsidR="00552489">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rPr>
        <w:t xml:space="preserve">عبد المنعم، محمود عبد الرحمن، (1999)، </w:t>
      </w:r>
      <w:r w:rsidRPr="002273BC">
        <w:rPr>
          <w:rFonts w:ascii="Arabic Transparent" w:hAnsi="Arabic Transparent" w:cs="Arabic Transparent" w:hint="cs"/>
          <w:b/>
          <w:bCs/>
          <w:sz w:val="24"/>
          <w:szCs w:val="24"/>
          <w:rtl/>
        </w:rPr>
        <w:t>معجم المصطلحات والألفاظ الفقهية</w:t>
      </w:r>
      <w:r w:rsidRPr="002273BC">
        <w:rPr>
          <w:rFonts w:ascii="Arabic Transparent" w:hAnsi="Arabic Transparent" w:cs="Arabic Transparent" w:hint="cs"/>
          <w:sz w:val="24"/>
          <w:szCs w:val="24"/>
          <w:rtl/>
        </w:rPr>
        <w:t>، ط1،</w:t>
      </w:r>
      <w:r w:rsidR="008D4D46" w:rsidRPr="002273BC">
        <w:rPr>
          <w:rFonts w:ascii="Arabic Transparent" w:hAnsi="Arabic Transparent" w:cs="Arabic Transparent" w:hint="cs"/>
          <w:sz w:val="24"/>
          <w:szCs w:val="24"/>
          <w:rtl/>
        </w:rPr>
        <w:t xml:space="preserve"> ج1، ص443،</w:t>
      </w:r>
      <w:r w:rsidRPr="002273BC">
        <w:rPr>
          <w:rFonts w:ascii="Arabic Transparent" w:hAnsi="Arabic Transparent" w:cs="Arabic Transparent" w:hint="cs"/>
          <w:sz w:val="24"/>
          <w:szCs w:val="24"/>
          <w:rtl/>
        </w:rPr>
        <w:t xml:space="preserve"> دار الفضيلة – القاهرة.</w:t>
      </w:r>
    </w:p>
  </w:footnote>
  <w:footnote w:id="23">
    <w:p w14:paraId="34FD07BD" w14:textId="18CAC39D" w:rsidR="00DB5A1B" w:rsidRPr="002273BC" w:rsidRDefault="00DB5A1B" w:rsidP="00EA3738">
      <w:pPr>
        <w:pStyle w:val="FootnoteText"/>
        <w:spacing w:line="360" w:lineRule="auto"/>
        <w:jc w:val="both"/>
        <w:rPr>
          <w:rFonts w:ascii="Arabic Transparent" w:hAnsi="Arabic Transparent" w:cs="Arabic Transparent"/>
          <w:sz w:val="24"/>
          <w:szCs w:val="24"/>
          <w:rtl/>
        </w:rPr>
      </w:pP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الغزالي، محمد بن محمد الطوسي، (1993)، </w:t>
      </w:r>
      <w:r w:rsidRPr="002273BC">
        <w:rPr>
          <w:rFonts w:ascii="Arabic Transparent" w:hAnsi="Arabic Transparent" w:cs="Arabic Transparent" w:hint="cs"/>
          <w:b/>
          <w:bCs/>
          <w:sz w:val="24"/>
          <w:szCs w:val="24"/>
          <w:rtl/>
        </w:rPr>
        <w:t>المستصفى في علم الأصول</w:t>
      </w:r>
      <w:r w:rsidRPr="002273BC">
        <w:rPr>
          <w:rFonts w:ascii="Arabic Transparent" w:hAnsi="Arabic Transparent" w:cs="Arabic Transparent" w:hint="cs"/>
          <w:sz w:val="24"/>
          <w:szCs w:val="24"/>
          <w:rtl/>
        </w:rPr>
        <w:t xml:space="preserve"> (تحقيق محمد عبد السلام عبد الشافي)، ط1، ج1، 281، دار الكتب العلمية – بيروت، وهناك كلاماً شبيهاً لما قاله الغزالي، انظر: الإسنوي، عبد الرحيم بن الحسن، (1999)، </w:t>
      </w:r>
      <w:r w:rsidRPr="002273BC">
        <w:rPr>
          <w:rFonts w:ascii="Arabic Transparent" w:hAnsi="Arabic Transparent" w:cs="Arabic Transparent" w:hint="cs"/>
          <w:b/>
          <w:bCs/>
          <w:sz w:val="24"/>
          <w:szCs w:val="24"/>
          <w:rtl/>
        </w:rPr>
        <w:t>نهاية السول شرح منهاج الوصول في علم الأصول</w:t>
      </w:r>
      <w:r w:rsidRPr="002273BC">
        <w:rPr>
          <w:rFonts w:ascii="Arabic Transparent" w:hAnsi="Arabic Transparent" w:cs="Arabic Transparent" w:hint="cs"/>
          <w:sz w:val="24"/>
          <w:szCs w:val="24"/>
          <w:rtl/>
        </w:rPr>
        <w:t>، ضبطه وصححه ووضع حواشيه عبد القادر محمد علي، ط1، ص335، دار الكتب العلمية – بيروت.</w:t>
      </w:r>
    </w:p>
  </w:footnote>
  <w:footnote w:id="24">
    <w:p w14:paraId="45DA6CF6" w14:textId="77777777" w:rsidR="005112EE" w:rsidRPr="002273BC" w:rsidRDefault="005112EE" w:rsidP="00EA3738">
      <w:pPr>
        <w:spacing w:line="360" w:lineRule="auto"/>
        <w:jc w:val="both"/>
        <w:rPr>
          <w:rFonts w:ascii="Arabic Transparent" w:hAnsi="Arabic Transparent" w:cs="Arabic Transparent"/>
          <w:sz w:val="24"/>
          <w:szCs w:val="24"/>
          <w:rtl/>
        </w:rPr>
      </w:pP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الشوكاني، محمد بن علي، (1999)، </w:t>
      </w:r>
      <w:r w:rsidRPr="002273BC">
        <w:rPr>
          <w:rFonts w:ascii="Arabic Transparent" w:hAnsi="Arabic Transparent" w:cs="Arabic Transparent" w:hint="cs"/>
          <w:b/>
          <w:bCs/>
          <w:sz w:val="24"/>
          <w:szCs w:val="24"/>
          <w:rtl/>
        </w:rPr>
        <w:t>إرشاد الفحول إلى تحقيق الحق من علم الأصول</w:t>
      </w:r>
      <w:r>
        <w:rPr>
          <w:rFonts w:ascii="Arabic Transparent" w:hAnsi="Arabic Transparent" w:cs="Arabic Transparent" w:hint="cs"/>
          <w:b/>
          <w:bCs/>
          <w:sz w:val="24"/>
          <w:szCs w:val="24"/>
          <w:rtl/>
        </w:rPr>
        <w:t>،</w:t>
      </w:r>
      <w:r w:rsidRPr="002273BC">
        <w:rPr>
          <w:rFonts w:ascii="Arabic Transparent" w:hAnsi="Arabic Transparent" w:cs="Arabic Transparent" w:hint="cs"/>
          <w:b/>
          <w:bCs/>
          <w:sz w:val="24"/>
          <w:szCs w:val="24"/>
          <w:rtl/>
        </w:rPr>
        <w:t xml:space="preserve"> </w:t>
      </w:r>
      <w:r w:rsidRPr="00552489">
        <w:rPr>
          <w:rFonts w:ascii="Arabic Transparent" w:hAnsi="Arabic Transparent" w:cs="Arabic Transparent" w:hint="cs"/>
          <w:sz w:val="24"/>
          <w:szCs w:val="24"/>
          <w:rtl/>
        </w:rPr>
        <w:t>تحقيق أحمد عزو عناية</w:t>
      </w:r>
      <w:r w:rsidRPr="002273BC">
        <w:rPr>
          <w:rFonts w:ascii="Arabic Transparent" w:hAnsi="Arabic Transparent" w:cs="Arabic Transparent" w:hint="cs"/>
          <w:sz w:val="24"/>
          <w:szCs w:val="24"/>
          <w:rtl/>
        </w:rPr>
        <w:t>، تقديم خليل الميس ووليدين فرفور، ط1، ج2، ص141، دار الكتاب العربي – بيروت.</w:t>
      </w:r>
    </w:p>
  </w:footnote>
  <w:footnote w:id="25">
    <w:p w14:paraId="28D8063C" w14:textId="5DE75188" w:rsidR="00166A36" w:rsidRPr="002273BC" w:rsidRDefault="00166A36" w:rsidP="00EA3738">
      <w:pPr>
        <w:pStyle w:val="FootnoteText"/>
        <w:spacing w:line="360" w:lineRule="auto"/>
        <w:jc w:val="both"/>
        <w:rPr>
          <w:rFonts w:ascii="Arabic Transparent" w:hAnsi="Arabic Transparent" w:cs="Arabic Transparent"/>
          <w:sz w:val="24"/>
          <w:szCs w:val="24"/>
          <w:rtl/>
        </w:rPr>
      </w:pP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الرازي، محمد بن عمر، (1997)، </w:t>
      </w:r>
      <w:r w:rsidRPr="002273BC">
        <w:rPr>
          <w:rFonts w:ascii="Arabic Transparent" w:hAnsi="Arabic Transparent" w:cs="Arabic Transparent" w:hint="cs"/>
          <w:b/>
          <w:bCs/>
          <w:sz w:val="24"/>
          <w:szCs w:val="24"/>
          <w:rtl/>
        </w:rPr>
        <w:t>المحصول</w:t>
      </w:r>
      <w:r w:rsidR="00552489">
        <w:rPr>
          <w:rFonts w:ascii="Arabic Transparent" w:hAnsi="Arabic Transparent" w:cs="Arabic Transparent" w:hint="cs"/>
          <w:sz w:val="24"/>
          <w:szCs w:val="24"/>
          <w:rtl/>
        </w:rPr>
        <w:t>،</w:t>
      </w:r>
      <w:r w:rsidRPr="002273BC">
        <w:rPr>
          <w:rFonts w:ascii="Arabic Transparent" w:hAnsi="Arabic Transparent" w:cs="Arabic Transparent" w:hint="cs"/>
          <w:sz w:val="24"/>
          <w:szCs w:val="24"/>
          <w:rtl/>
        </w:rPr>
        <w:t xml:space="preserve"> (تحقيق طه جابر فياض العلواني)، ط3، ج5، ص307، مؤسسة الرسالة، بيروت – لبنان.</w:t>
      </w:r>
    </w:p>
  </w:footnote>
  <w:footnote w:id="26">
    <w:p w14:paraId="0F6EE60F" w14:textId="51DF9C5B" w:rsidR="001B4DB2" w:rsidRPr="002273BC" w:rsidRDefault="001B4DB2" w:rsidP="00EA3738">
      <w:pPr>
        <w:pStyle w:val="FootnoteText"/>
        <w:spacing w:line="360" w:lineRule="auto"/>
        <w:jc w:val="both"/>
        <w:rPr>
          <w:rFonts w:ascii="Arabic Transparent" w:hAnsi="Arabic Transparent" w:cs="Arabic Transparent"/>
          <w:sz w:val="24"/>
          <w:szCs w:val="24"/>
          <w:rtl/>
        </w:rPr>
      </w:pP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الغزالي، محمد بن محمد، (1971)، </w:t>
      </w:r>
      <w:r w:rsidRPr="002273BC">
        <w:rPr>
          <w:rFonts w:ascii="Arabic Transparent" w:hAnsi="Arabic Transparent" w:cs="Arabic Transparent" w:hint="cs"/>
          <w:b/>
          <w:bCs/>
          <w:sz w:val="24"/>
          <w:szCs w:val="24"/>
          <w:rtl/>
        </w:rPr>
        <w:t>شفاء الغليل في بيان الشبه والمخيل ومسالك التعليل</w:t>
      </w:r>
      <w:r w:rsidRPr="002273BC">
        <w:rPr>
          <w:rFonts w:ascii="Arabic Transparent" w:hAnsi="Arabic Transparent" w:cs="Arabic Transparent" w:hint="cs"/>
          <w:sz w:val="24"/>
          <w:szCs w:val="24"/>
          <w:rtl/>
        </w:rPr>
        <w:t xml:space="preserve"> (تحقيق حمد الكبيسي)، ط1، ص</w:t>
      </w:r>
      <w:r w:rsidR="00AB0CAA">
        <w:rPr>
          <w:rFonts w:ascii="Arabic Transparent" w:hAnsi="Arabic Transparent" w:cs="Arabic Transparent" w:hint="cs"/>
          <w:sz w:val="24"/>
          <w:szCs w:val="24"/>
          <w:rtl/>
        </w:rPr>
        <w:t>20</w:t>
      </w:r>
      <w:r w:rsidRPr="002273BC">
        <w:rPr>
          <w:rFonts w:ascii="Arabic Transparent" w:hAnsi="Arabic Transparent" w:cs="Arabic Transparent" w:hint="cs"/>
          <w:sz w:val="24"/>
          <w:szCs w:val="24"/>
          <w:rtl/>
        </w:rPr>
        <w:t xml:space="preserve"> مطبعة الإرشاد، بغداد – العراق.</w:t>
      </w:r>
    </w:p>
  </w:footnote>
  <w:footnote w:id="27">
    <w:p w14:paraId="339B0614" w14:textId="0E288BAA" w:rsidR="00AA23C0" w:rsidRPr="002273BC" w:rsidRDefault="00AA23C0" w:rsidP="00EA3738">
      <w:pPr>
        <w:pStyle w:val="FootnoteText"/>
        <w:spacing w:line="360" w:lineRule="auto"/>
        <w:jc w:val="both"/>
        <w:rPr>
          <w:rFonts w:ascii="Arabic Transparent" w:hAnsi="Arabic Transparent" w:cs="Arabic Transparent"/>
          <w:sz w:val="24"/>
          <w:szCs w:val="24"/>
          <w:rtl/>
        </w:rPr>
      </w:pP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الطوفي، سليمان بن عبد القوي، (1987م)، </w:t>
      </w:r>
      <w:r w:rsidRPr="002273BC">
        <w:rPr>
          <w:rFonts w:ascii="Arabic Transparent" w:hAnsi="Arabic Transparent" w:cs="Arabic Transparent" w:hint="cs"/>
          <w:b/>
          <w:bCs/>
          <w:sz w:val="24"/>
          <w:szCs w:val="24"/>
          <w:rtl/>
        </w:rPr>
        <w:t>شرح مختصر الروضة</w:t>
      </w:r>
      <w:r w:rsidRPr="002273BC">
        <w:rPr>
          <w:rFonts w:ascii="Arabic Transparent" w:hAnsi="Arabic Transparent" w:cs="Arabic Transparent" w:hint="cs"/>
          <w:sz w:val="24"/>
          <w:szCs w:val="24"/>
          <w:rtl/>
        </w:rPr>
        <w:t xml:space="preserve"> (تحقيق عبد الله بن عبد المحسن التركي)، ط1، ج3، ص322، مؤسسة الرسالة، بيروت.</w:t>
      </w:r>
    </w:p>
  </w:footnote>
  <w:footnote w:id="28">
    <w:p w14:paraId="6067DBE5" w14:textId="77777777" w:rsidR="00166A36" w:rsidRPr="002273BC" w:rsidRDefault="00166A36" w:rsidP="00EA3738">
      <w:pPr>
        <w:pStyle w:val="FootnoteText"/>
        <w:spacing w:line="360" w:lineRule="auto"/>
        <w:jc w:val="both"/>
        <w:rPr>
          <w:rFonts w:ascii="Arabic Transparent" w:hAnsi="Arabic Transparent" w:cs="Arabic Transparent"/>
          <w:sz w:val="24"/>
          <w:szCs w:val="24"/>
          <w:rtl/>
        </w:rPr>
      </w:pP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الشاطبي، إبراهيم بن موسى، (1997)، </w:t>
      </w:r>
      <w:r w:rsidRPr="002273BC">
        <w:rPr>
          <w:rFonts w:ascii="Arabic Transparent" w:hAnsi="Arabic Transparent" w:cs="Arabic Transparent" w:hint="cs"/>
          <w:b/>
          <w:bCs/>
          <w:sz w:val="24"/>
          <w:szCs w:val="24"/>
          <w:rtl/>
        </w:rPr>
        <w:t>الموافقات</w:t>
      </w:r>
      <w:r w:rsidRPr="002273BC">
        <w:rPr>
          <w:rFonts w:ascii="Arabic Transparent" w:hAnsi="Arabic Transparent" w:cs="Arabic Transparent" w:hint="cs"/>
          <w:sz w:val="24"/>
          <w:szCs w:val="24"/>
          <w:rtl/>
        </w:rPr>
        <w:t>، (تحقيق: أبو عبيدة مشهور بن حسن آل سلمان)، ط1، ج5، ص12، دار ابن عفان - السعودية.</w:t>
      </w:r>
    </w:p>
  </w:footnote>
  <w:footnote w:id="29">
    <w:p w14:paraId="70CEFD0C" w14:textId="731511A3" w:rsidR="008F214C" w:rsidRPr="002273BC" w:rsidRDefault="008F214C"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00E16397" w:rsidRPr="002273BC">
        <w:rPr>
          <w:rFonts w:ascii="Arabic Transparent" w:hAnsi="Arabic Transparent" w:cs="Arabic Transparent" w:hint="cs"/>
          <w:sz w:val="24"/>
          <w:szCs w:val="24"/>
          <w:rtl/>
          <w:lang w:bidi="ar-JO"/>
        </w:rPr>
        <w:t>ابن قدامة</w:t>
      </w:r>
      <w:r w:rsidRPr="002273BC">
        <w:rPr>
          <w:rFonts w:ascii="Arabic Transparent" w:hAnsi="Arabic Transparent" w:cs="Arabic Transparent" w:hint="cs"/>
          <w:sz w:val="24"/>
          <w:szCs w:val="24"/>
          <w:rtl/>
          <w:lang w:bidi="ar-JO"/>
        </w:rPr>
        <w:t xml:space="preserve">، عبد الله بن أحمد بن محمد، موفق الدين، (2002)، </w:t>
      </w:r>
      <w:r w:rsidRPr="002273BC">
        <w:rPr>
          <w:rFonts w:ascii="Arabic Transparent" w:hAnsi="Arabic Transparent" w:cs="Arabic Transparent" w:hint="cs"/>
          <w:b/>
          <w:bCs/>
          <w:sz w:val="24"/>
          <w:szCs w:val="24"/>
          <w:rtl/>
          <w:lang w:bidi="ar-JO"/>
        </w:rPr>
        <w:t>روضة الناظر وجنة المناظر في أصول الفقه على مذهب أحمد بن حنبل</w:t>
      </w:r>
      <w:r w:rsidRPr="002273BC">
        <w:rPr>
          <w:rFonts w:ascii="Arabic Transparent" w:hAnsi="Arabic Transparent" w:cs="Arabic Transparent" w:hint="cs"/>
          <w:sz w:val="24"/>
          <w:szCs w:val="24"/>
          <w:rtl/>
          <w:lang w:bidi="ar-JO"/>
        </w:rPr>
        <w:t>، ط2، ج2، ص144، مؤسسة الريان للطباعة والنشر والتوزيع، بيروت.</w:t>
      </w:r>
    </w:p>
  </w:footnote>
  <w:footnote w:id="30">
    <w:p w14:paraId="1E81909A" w14:textId="7F459AF7" w:rsidR="00FE72BA" w:rsidRPr="002273BC" w:rsidRDefault="00FE72BA" w:rsidP="00EA3738">
      <w:pPr>
        <w:pStyle w:val="FootnoteText"/>
        <w:spacing w:line="360" w:lineRule="auto"/>
        <w:jc w:val="both"/>
        <w:rPr>
          <w:rFonts w:ascii="Arabic Transparent" w:hAnsi="Arabic Transparent" w:cs="Arabic Transparent"/>
          <w:sz w:val="24"/>
          <w:szCs w:val="24"/>
          <w:rtl/>
        </w:rPr>
      </w:pP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Pr>
        <w:footnoteRef/>
      </w:r>
      <w:r w:rsidRPr="002273BC">
        <w:rPr>
          <w:rFonts w:ascii="Arabic Transparent" w:hAnsi="Arabic Transparent" w:cs="Arabic Transparent" w:hint="cs"/>
          <w:sz w:val="24"/>
          <w:szCs w:val="24"/>
        </w:rPr>
        <w:t>)</w:t>
      </w:r>
      <w:r w:rsidR="00FD4461">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rPr>
        <w:t>ابن منظور</w:t>
      </w:r>
      <w:r w:rsidRPr="002273BC">
        <w:rPr>
          <w:rFonts w:ascii="Arabic Transparent" w:hAnsi="Arabic Transparent" w:cs="Arabic Transparent" w:hint="cs"/>
          <w:b/>
          <w:bCs/>
          <w:sz w:val="24"/>
          <w:szCs w:val="24"/>
          <w:rtl/>
        </w:rPr>
        <w:t>، لسان العرب</w:t>
      </w:r>
      <w:r w:rsidRPr="002273BC">
        <w:rPr>
          <w:rFonts w:ascii="Arabic Transparent" w:hAnsi="Arabic Transparent" w:cs="Arabic Transparent" w:hint="cs"/>
          <w:sz w:val="24"/>
          <w:szCs w:val="24"/>
          <w:rtl/>
        </w:rPr>
        <w:t>،</w:t>
      </w:r>
      <w:r w:rsidR="00E16397" w:rsidRPr="002273BC">
        <w:rPr>
          <w:rFonts w:ascii="Arabic Transparent" w:hAnsi="Arabic Transparent" w:cs="Arabic Transparent" w:hint="cs"/>
          <w:sz w:val="24"/>
          <w:szCs w:val="24"/>
          <w:rtl/>
        </w:rPr>
        <w:t xml:space="preserve"> مصدر سابق</w:t>
      </w:r>
      <w:r w:rsidRPr="002273BC">
        <w:rPr>
          <w:rFonts w:ascii="Arabic Transparent" w:hAnsi="Arabic Transparent" w:cs="Arabic Transparent" w:hint="cs"/>
          <w:sz w:val="24"/>
          <w:szCs w:val="24"/>
          <w:rtl/>
        </w:rPr>
        <w:t xml:space="preserve"> ج24، ص7. </w:t>
      </w:r>
    </w:p>
  </w:footnote>
  <w:footnote w:id="31">
    <w:p w14:paraId="29F37729" w14:textId="77777777" w:rsidR="00FD4461" w:rsidRPr="002273BC" w:rsidRDefault="00FD4461" w:rsidP="00EA3738">
      <w:pPr>
        <w:pStyle w:val="FootnoteText"/>
        <w:spacing w:line="360" w:lineRule="auto"/>
        <w:jc w:val="both"/>
        <w:rPr>
          <w:rFonts w:ascii="Arabic Transparent" w:hAnsi="Arabic Transparent" w:cs="Arabic Transparent"/>
          <w:sz w:val="24"/>
          <w:szCs w:val="24"/>
          <w:rtl/>
        </w:rPr>
      </w:pP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الزمخشري، محمود بن عمر، (1998)، </w:t>
      </w:r>
      <w:r w:rsidRPr="002273BC">
        <w:rPr>
          <w:rFonts w:ascii="Arabic Transparent" w:hAnsi="Arabic Transparent" w:cs="Arabic Transparent" w:hint="cs"/>
          <w:b/>
          <w:bCs/>
          <w:sz w:val="24"/>
          <w:szCs w:val="24"/>
          <w:rtl/>
        </w:rPr>
        <w:t>أساس البلاغة</w:t>
      </w:r>
      <w:r w:rsidRPr="002273BC">
        <w:rPr>
          <w:rFonts w:ascii="Arabic Transparent" w:hAnsi="Arabic Transparent" w:cs="Arabic Transparent" w:hint="cs"/>
          <w:sz w:val="24"/>
          <w:szCs w:val="24"/>
          <w:rtl/>
        </w:rPr>
        <w:t>، (تحقيق: محمد باسل عيون السود)، ط1، ج1، ص250، دار الكتب العلمية - بيروت، لبنان.</w:t>
      </w:r>
    </w:p>
  </w:footnote>
  <w:footnote w:id="32">
    <w:p w14:paraId="555971BF" w14:textId="2D6F538C" w:rsidR="00E20114" w:rsidRPr="002273BC" w:rsidRDefault="00E20114" w:rsidP="00EA3738">
      <w:pPr>
        <w:pStyle w:val="FootnoteText"/>
        <w:spacing w:line="360" w:lineRule="auto"/>
        <w:jc w:val="both"/>
        <w:rPr>
          <w:rFonts w:ascii="Arabic Transparent" w:hAnsi="Arabic Transparent" w:cs="Arabic Transparent"/>
          <w:sz w:val="24"/>
          <w:szCs w:val="24"/>
          <w:rtl/>
        </w:rPr>
      </w:pP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السِّغْنَاقي، حسين بن علي، (2001</w:t>
      </w:r>
      <w:r w:rsidRPr="002273BC">
        <w:rPr>
          <w:rFonts w:ascii="Arabic Transparent" w:hAnsi="Arabic Transparent" w:cs="Arabic Transparent" w:hint="cs"/>
          <w:b/>
          <w:bCs/>
          <w:sz w:val="24"/>
          <w:szCs w:val="24"/>
          <w:rtl/>
        </w:rPr>
        <w:t>)، الكافي شرح أصول البزدوي</w:t>
      </w:r>
      <w:r w:rsidRPr="002273BC">
        <w:rPr>
          <w:rFonts w:ascii="Arabic Transparent" w:hAnsi="Arabic Transparent" w:cs="Arabic Transparent" w:hint="cs"/>
          <w:sz w:val="24"/>
          <w:szCs w:val="24"/>
          <w:rtl/>
        </w:rPr>
        <w:t xml:space="preserve">، (دراسة وتحقيق: فخر الدين سيد محمد قانت)، ط1، ج1، ص203، مكتبة الرشد للنشر والتوزيع </w:t>
      </w:r>
      <w:r w:rsidR="004C7319" w:rsidRPr="002273BC">
        <w:rPr>
          <w:rFonts w:ascii="Arabic Transparent" w:hAnsi="Arabic Transparent" w:cs="Arabic Transparent" w:hint="cs"/>
          <w:sz w:val="24"/>
          <w:szCs w:val="24"/>
          <w:rtl/>
        </w:rPr>
        <w:t>–</w:t>
      </w:r>
      <w:r w:rsidRPr="002273BC">
        <w:rPr>
          <w:rFonts w:ascii="Arabic Transparent" w:hAnsi="Arabic Transparent" w:cs="Arabic Transparent" w:hint="cs"/>
          <w:sz w:val="24"/>
          <w:szCs w:val="24"/>
          <w:rtl/>
        </w:rPr>
        <w:t xml:space="preserve"> السعودية</w:t>
      </w:r>
      <w:r w:rsidR="004C7319" w:rsidRPr="002273BC">
        <w:rPr>
          <w:rFonts w:ascii="Arabic Transparent" w:hAnsi="Arabic Transparent" w:cs="Arabic Transparent" w:hint="cs"/>
          <w:sz w:val="24"/>
          <w:szCs w:val="24"/>
          <w:rtl/>
        </w:rPr>
        <w:t xml:space="preserve">، </w:t>
      </w:r>
      <w:r w:rsidR="00C81EB7" w:rsidRPr="002273BC">
        <w:rPr>
          <w:rFonts w:ascii="Arabic Transparent" w:hAnsi="Arabic Transparent" w:cs="Arabic Transparent" w:hint="cs"/>
          <w:sz w:val="24"/>
          <w:szCs w:val="24"/>
          <w:rtl/>
        </w:rPr>
        <w:t>وأضاف بعضهم</w:t>
      </w:r>
      <w:r w:rsidR="00151AED" w:rsidRPr="002273BC">
        <w:rPr>
          <w:rFonts w:ascii="Arabic Transparent" w:hAnsi="Arabic Transparent" w:cs="Arabic Transparent" w:hint="cs"/>
          <w:sz w:val="24"/>
          <w:szCs w:val="24"/>
          <w:rtl/>
        </w:rPr>
        <w:t xml:space="preserve"> </w:t>
      </w:r>
      <w:r w:rsidR="00151AED" w:rsidRPr="002273BC">
        <w:rPr>
          <w:rFonts w:ascii="Arabic Transparent" w:hAnsi="Arabic Transparent" w:cs="Arabic Transparent"/>
          <w:sz w:val="24"/>
          <w:szCs w:val="24"/>
          <w:rtl/>
        </w:rPr>
        <w:t>"</w:t>
      </w:r>
      <w:r w:rsidR="00C81EB7" w:rsidRPr="002273BC">
        <w:rPr>
          <w:rFonts w:ascii="Arabic Transparent" w:hAnsi="Arabic Transparent" w:cs="Arabic Transparent" w:hint="cs"/>
          <w:sz w:val="24"/>
          <w:szCs w:val="24"/>
          <w:rtl/>
        </w:rPr>
        <w:t>أو على كثير محصور"</w:t>
      </w:r>
      <w:r w:rsidR="00A46287">
        <w:rPr>
          <w:rFonts w:ascii="Arabic Transparent" w:hAnsi="Arabic Transparent" w:cs="Arabic Transparent" w:hint="cs"/>
          <w:sz w:val="24"/>
          <w:szCs w:val="24"/>
          <w:rtl/>
        </w:rPr>
        <w:t xml:space="preserve">، </w:t>
      </w:r>
      <w:r w:rsidR="00C81EB7" w:rsidRPr="002273BC">
        <w:rPr>
          <w:rFonts w:ascii="Arabic Transparent" w:hAnsi="Arabic Transparent" w:cs="Arabic Transparent" w:hint="cs"/>
          <w:sz w:val="24"/>
          <w:szCs w:val="24"/>
          <w:rtl/>
        </w:rPr>
        <w:t xml:space="preserve">الصالح، محمد أديب، (2008)، </w:t>
      </w:r>
      <w:r w:rsidR="00C81EB7" w:rsidRPr="002273BC">
        <w:rPr>
          <w:rFonts w:ascii="Arabic Transparent" w:hAnsi="Arabic Transparent" w:cs="Arabic Transparent" w:hint="cs"/>
          <w:b/>
          <w:bCs/>
          <w:sz w:val="24"/>
          <w:szCs w:val="24"/>
          <w:rtl/>
        </w:rPr>
        <w:t>تفسير النصوص في الفقه الإسلامي</w:t>
      </w:r>
      <w:r w:rsidR="000F026C" w:rsidRPr="002273BC">
        <w:rPr>
          <w:rFonts w:ascii="Arabic Transparent" w:hAnsi="Arabic Transparent" w:cs="Arabic Transparent" w:hint="cs"/>
          <w:sz w:val="24"/>
          <w:szCs w:val="24"/>
          <w:rtl/>
        </w:rPr>
        <w:t xml:space="preserve">، </w:t>
      </w:r>
      <w:r w:rsidR="00C81EB7" w:rsidRPr="002273BC">
        <w:rPr>
          <w:rFonts w:ascii="Arabic Transparent" w:hAnsi="Arabic Transparent" w:cs="Arabic Transparent" w:hint="cs"/>
          <w:sz w:val="24"/>
          <w:szCs w:val="24"/>
          <w:rtl/>
        </w:rPr>
        <w:t>ط5، ج2، ص136، المكتب الإسلامي - بيروت، لبنان.</w:t>
      </w:r>
    </w:p>
  </w:footnote>
  <w:footnote w:id="33">
    <w:p w14:paraId="636D8506" w14:textId="58C7B29D" w:rsidR="00E20114" w:rsidRPr="002273BC" w:rsidRDefault="00E20114" w:rsidP="00EA3738">
      <w:pPr>
        <w:pStyle w:val="FootnoteText"/>
        <w:spacing w:line="360" w:lineRule="auto"/>
        <w:jc w:val="both"/>
        <w:rPr>
          <w:rFonts w:ascii="Arabic Transparent" w:hAnsi="Arabic Transparent" w:cs="Arabic Transparent"/>
          <w:sz w:val="24"/>
          <w:szCs w:val="24"/>
          <w:rtl/>
        </w:rPr>
      </w:pP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الطوفي، </w:t>
      </w:r>
      <w:r w:rsidRPr="002273BC">
        <w:rPr>
          <w:rFonts w:ascii="Arabic Transparent" w:hAnsi="Arabic Transparent" w:cs="Arabic Transparent" w:hint="cs"/>
          <w:b/>
          <w:bCs/>
          <w:sz w:val="24"/>
          <w:szCs w:val="24"/>
          <w:rtl/>
        </w:rPr>
        <w:t>شرح مختصر الروضة</w:t>
      </w:r>
      <w:r w:rsidRPr="002273BC">
        <w:rPr>
          <w:rFonts w:ascii="Arabic Transparent" w:hAnsi="Arabic Transparent" w:cs="Arabic Transparent" w:hint="cs"/>
          <w:sz w:val="24"/>
          <w:szCs w:val="24"/>
          <w:rtl/>
        </w:rPr>
        <w:t>،</w:t>
      </w:r>
      <w:r w:rsidR="00E16397" w:rsidRPr="002273BC">
        <w:rPr>
          <w:rFonts w:ascii="Arabic Transparent" w:hAnsi="Arabic Transparent" w:cs="Arabic Transparent" w:hint="cs"/>
          <w:sz w:val="24"/>
          <w:szCs w:val="24"/>
          <w:rtl/>
        </w:rPr>
        <w:t xml:space="preserve"> مصدر سابق،</w:t>
      </w:r>
      <w:r w:rsidRPr="002273BC">
        <w:rPr>
          <w:rFonts w:ascii="Arabic Transparent" w:hAnsi="Arabic Transparent" w:cs="Arabic Transparent" w:hint="cs"/>
          <w:sz w:val="24"/>
          <w:szCs w:val="24"/>
          <w:rtl/>
        </w:rPr>
        <w:t xml:space="preserve"> ج2، ص460.</w:t>
      </w:r>
    </w:p>
  </w:footnote>
  <w:footnote w:id="34">
    <w:p w14:paraId="7B9532CF" w14:textId="37BC7FDB" w:rsidR="006421F6" w:rsidRPr="002273BC" w:rsidRDefault="006421F6" w:rsidP="00EA3738">
      <w:pPr>
        <w:pStyle w:val="FootnoteText"/>
        <w:spacing w:line="360" w:lineRule="auto"/>
        <w:jc w:val="both"/>
        <w:rPr>
          <w:rFonts w:ascii="Arabic Transparent" w:hAnsi="Arabic Transparent" w:cs="Arabic Transparent"/>
          <w:sz w:val="24"/>
          <w:szCs w:val="24"/>
          <w:rtl/>
        </w:rPr>
      </w:pP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المارديني، محمد بن عثمان، (1999)، </w:t>
      </w:r>
      <w:r w:rsidRPr="002273BC">
        <w:rPr>
          <w:rFonts w:ascii="Arabic Transparent" w:hAnsi="Arabic Transparent" w:cs="Arabic Transparent" w:hint="cs"/>
          <w:b/>
          <w:bCs/>
          <w:sz w:val="24"/>
          <w:szCs w:val="24"/>
          <w:rtl/>
        </w:rPr>
        <w:t>الأنجم الزاهرات على حل ألفاظ الورقات في أصول الفقه</w:t>
      </w:r>
      <w:r w:rsidRPr="002273BC">
        <w:rPr>
          <w:rFonts w:ascii="Arabic Transparent" w:hAnsi="Arabic Transparent" w:cs="Arabic Transparent" w:hint="cs"/>
          <w:sz w:val="24"/>
          <w:szCs w:val="24"/>
          <w:rtl/>
        </w:rPr>
        <w:t>، (تحقيق: عبد الكريم بن علي محمد بن النملة)، ط3، ص145، مكتبة الرشد - الرياض، السعودية.</w:t>
      </w:r>
    </w:p>
  </w:footnote>
  <w:footnote w:id="35">
    <w:p w14:paraId="25CB242A" w14:textId="205A25A0" w:rsidR="006421F6" w:rsidRPr="002273BC" w:rsidRDefault="006421F6" w:rsidP="00EA3738">
      <w:pPr>
        <w:pStyle w:val="FootnoteText"/>
        <w:spacing w:line="360" w:lineRule="auto"/>
        <w:jc w:val="both"/>
        <w:rPr>
          <w:rFonts w:ascii="Arabic Transparent" w:hAnsi="Arabic Transparent" w:cs="Arabic Transparent"/>
          <w:sz w:val="24"/>
          <w:szCs w:val="24"/>
          <w:rtl/>
        </w:rPr>
      </w:pP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الشوكاني، </w:t>
      </w:r>
      <w:r w:rsidRPr="002273BC">
        <w:rPr>
          <w:rFonts w:ascii="Arabic Transparent" w:hAnsi="Arabic Transparent" w:cs="Arabic Transparent" w:hint="cs"/>
          <w:b/>
          <w:bCs/>
          <w:sz w:val="24"/>
          <w:szCs w:val="24"/>
          <w:rtl/>
        </w:rPr>
        <w:t>إرشاد الفحول إلى تحقيق الحق من علم الأصول</w:t>
      </w:r>
      <w:r w:rsidRPr="002273BC">
        <w:rPr>
          <w:rFonts w:ascii="Arabic Transparent" w:hAnsi="Arabic Transparent" w:cs="Arabic Transparent" w:hint="cs"/>
          <w:sz w:val="24"/>
          <w:szCs w:val="24"/>
          <w:rtl/>
        </w:rPr>
        <w:t xml:space="preserve">، </w:t>
      </w:r>
      <w:r w:rsidR="009C4287" w:rsidRPr="002273BC">
        <w:rPr>
          <w:rFonts w:ascii="Arabic Transparent" w:hAnsi="Arabic Transparent" w:cs="Arabic Transparent" w:hint="cs"/>
          <w:sz w:val="24"/>
          <w:szCs w:val="24"/>
          <w:rtl/>
        </w:rPr>
        <w:t xml:space="preserve">مصدر سابق، </w:t>
      </w:r>
      <w:r w:rsidRPr="002273BC">
        <w:rPr>
          <w:rFonts w:ascii="Arabic Transparent" w:hAnsi="Arabic Transparent" w:cs="Arabic Transparent" w:hint="cs"/>
          <w:sz w:val="24"/>
          <w:szCs w:val="24"/>
          <w:rtl/>
        </w:rPr>
        <w:t xml:space="preserve">ج1، ص350، وعند </w:t>
      </w:r>
      <w:r w:rsidR="00281463" w:rsidRPr="002273BC">
        <w:rPr>
          <w:rFonts w:ascii="Arabic Transparent" w:hAnsi="Arabic Transparent" w:cs="Arabic Transparent" w:hint="cs"/>
          <w:sz w:val="24"/>
          <w:szCs w:val="24"/>
          <w:rtl/>
        </w:rPr>
        <w:t>عبد الواهب</w:t>
      </w:r>
      <w:r w:rsidRPr="002273BC">
        <w:rPr>
          <w:rFonts w:ascii="Arabic Transparent" w:hAnsi="Arabic Transparent" w:cs="Arabic Transparent" w:hint="cs"/>
          <w:sz w:val="24"/>
          <w:szCs w:val="24"/>
          <w:rtl/>
        </w:rPr>
        <w:t xml:space="preserve"> خلاف</w:t>
      </w:r>
      <w:r w:rsidR="00951AAD" w:rsidRPr="002273BC">
        <w:rPr>
          <w:rFonts w:ascii="Arabic Transparent" w:hAnsi="Arabic Transparent" w:cs="Arabic Transparent" w:hint="cs"/>
          <w:sz w:val="24"/>
          <w:szCs w:val="24"/>
          <w:rtl/>
        </w:rPr>
        <w:t xml:space="preserve"> هو</w:t>
      </w:r>
      <w:r w:rsidR="00151AED" w:rsidRPr="002273BC">
        <w:rPr>
          <w:rFonts w:ascii="Arabic Transparent" w:hAnsi="Arabic Transparent" w:cs="Arabic Transparent" w:hint="cs"/>
          <w:sz w:val="24"/>
          <w:szCs w:val="24"/>
          <w:rtl/>
        </w:rPr>
        <w:t xml:space="preserve"> </w:t>
      </w:r>
      <w:r w:rsidR="00151AED" w:rsidRPr="002273BC">
        <w:rPr>
          <w:rFonts w:ascii="Arabic Transparent" w:hAnsi="Arabic Transparent" w:cs="Arabic Transparent"/>
          <w:sz w:val="24"/>
          <w:szCs w:val="24"/>
          <w:rtl/>
        </w:rPr>
        <w:t>"</w:t>
      </w:r>
      <w:r w:rsidR="00951AAD" w:rsidRPr="002273BC">
        <w:rPr>
          <w:rFonts w:ascii="Arabic Transparent" w:hAnsi="Arabic Transparent" w:cs="Arabic Transparent" w:hint="cs"/>
          <w:sz w:val="24"/>
          <w:szCs w:val="24"/>
          <w:rtl/>
        </w:rPr>
        <w:t>لفظ وضع للدلالة على فرد واحد"</w:t>
      </w:r>
      <w:r w:rsidR="004C7319" w:rsidRPr="002273BC">
        <w:rPr>
          <w:rFonts w:ascii="Arabic Transparent" w:hAnsi="Arabic Transparent" w:cs="Arabic Transparent" w:hint="cs"/>
          <w:sz w:val="24"/>
          <w:szCs w:val="24"/>
          <w:rtl/>
        </w:rPr>
        <w:t xml:space="preserve"> خلاف، عبد الوهاب، (د.ت.)، </w:t>
      </w:r>
      <w:r w:rsidR="004C7319" w:rsidRPr="002273BC">
        <w:rPr>
          <w:rFonts w:ascii="Arabic Transparent" w:hAnsi="Arabic Transparent" w:cs="Arabic Transparent" w:hint="cs"/>
          <w:b/>
          <w:bCs/>
          <w:sz w:val="24"/>
          <w:szCs w:val="24"/>
          <w:rtl/>
        </w:rPr>
        <w:t>علم أصول الفقه</w:t>
      </w:r>
      <w:r w:rsidR="004C7319" w:rsidRPr="002273BC">
        <w:rPr>
          <w:rFonts w:ascii="Arabic Transparent" w:hAnsi="Arabic Transparent" w:cs="Arabic Transparent" w:hint="cs"/>
          <w:sz w:val="24"/>
          <w:szCs w:val="24"/>
          <w:rtl/>
        </w:rPr>
        <w:t>، ط8، ص191، مكتبة الدعوة - شباب الأزهر (عن الطبعة الثامنة لدار القلم) - مصر.</w:t>
      </w:r>
    </w:p>
  </w:footnote>
  <w:footnote w:id="36">
    <w:p w14:paraId="7D37278F" w14:textId="0D334DA6" w:rsidR="00C81EB7" w:rsidRPr="002273BC" w:rsidRDefault="00C81EB7" w:rsidP="00EA3738">
      <w:pPr>
        <w:pStyle w:val="FootnoteText"/>
        <w:spacing w:line="360" w:lineRule="auto"/>
        <w:jc w:val="both"/>
        <w:rPr>
          <w:rFonts w:ascii="Arabic Transparent" w:hAnsi="Arabic Transparent" w:cs="Arabic Transparent"/>
          <w:sz w:val="24"/>
          <w:szCs w:val="24"/>
          <w:rtl/>
        </w:rPr>
      </w:pP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Pr>
        <w:footnoteRef/>
      </w:r>
      <w:r w:rsidRPr="002273BC">
        <w:rPr>
          <w:rFonts w:ascii="Arabic Transparent" w:hAnsi="Arabic Transparent" w:cs="Arabic Transparent" w:hint="cs"/>
          <w:sz w:val="24"/>
          <w:szCs w:val="24"/>
        </w:rPr>
        <w:t>)</w:t>
      </w:r>
      <w:r w:rsidR="00281463" w:rsidRPr="002273BC">
        <w:rPr>
          <w:rFonts w:ascii="Arabic Transparent" w:hAnsi="Arabic Transparent" w:cs="Arabic Transparent" w:hint="cs"/>
          <w:sz w:val="24"/>
          <w:szCs w:val="24"/>
          <w:rtl/>
        </w:rPr>
        <w:t xml:space="preserve"> المنياوي، محمود بن محمد، (2011)، </w:t>
      </w:r>
      <w:r w:rsidR="00281463" w:rsidRPr="002273BC">
        <w:rPr>
          <w:rFonts w:ascii="Arabic Transparent" w:hAnsi="Arabic Transparent" w:cs="Arabic Transparent" w:hint="cs"/>
          <w:b/>
          <w:bCs/>
          <w:sz w:val="24"/>
          <w:szCs w:val="24"/>
          <w:rtl/>
        </w:rPr>
        <w:t>الشرح الكبير لمختصر الأصول من علم الأصول</w:t>
      </w:r>
      <w:r w:rsidR="00281463" w:rsidRPr="002273BC">
        <w:rPr>
          <w:rFonts w:ascii="Arabic Transparent" w:hAnsi="Arabic Transparent" w:cs="Arabic Transparent" w:hint="cs"/>
          <w:sz w:val="24"/>
          <w:szCs w:val="24"/>
          <w:rtl/>
        </w:rPr>
        <w:t xml:space="preserve">، ط1، </w:t>
      </w:r>
      <w:r w:rsidR="009C4287" w:rsidRPr="002273BC">
        <w:rPr>
          <w:rFonts w:ascii="Arabic Transparent" w:hAnsi="Arabic Transparent" w:cs="Arabic Transparent" w:hint="cs"/>
          <w:sz w:val="24"/>
          <w:szCs w:val="24"/>
          <w:rtl/>
        </w:rPr>
        <w:t>ص</w:t>
      </w:r>
      <w:r w:rsidR="00281463" w:rsidRPr="002273BC">
        <w:rPr>
          <w:rFonts w:ascii="Arabic Transparent" w:hAnsi="Arabic Transparent" w:cs="Arabic Transparent" w:hint="cs"/>
          <w:sz w:val="24"/>
          <w:szCs w:val="24"/>
          <w:rtl/>
        </w:rPr>
        <w:t>259، المكتبة الشاملة - مصر.</w:t>
      </w:r>
    </w:p>
  </w:footnote>
  <w:footnote w:id="37">
    <w:p w14:paraId="0369F674" w14:textId="70A12AB9" w:rsidR="00651804" w:rsidRPr="002273BC" w:rsidRDefault="00651804" w:rsidP="00EA3738">
      <w:pPr>
        <w:pStyle w:val="FootnoteText"/>
        <w:spacing w:line="360" w:lineRule="auto"/>
        <w:jc w:val="both"/>
        <w:rPr>
          <w:rFonts w:ascii="Arabic Transparent" w:hAnsi="Arabic Transparent" w:cs="Arabic Transparent"/>
          <w:sz w:val="24"/>
          <w:szCs w:val="24"/>
          <w:rtl/>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0048328B">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rPr>
        <w:t>ابن بدران، عبد القادر، (</w:t>
      </w:r>
      <w:r w:rsidR="00AB0CAA">
        <w:rPr>
          <w:rFonts w:ascii="Arabic Transparent" w:hAnsi="Arabic Transparent" w:cs="Arabic Transparent" w:hint="cs"/>
          <w:sz w:val="24"/>
          <w:szCs w:val="24"/>
          <w:rtl/>
        </w:rPr>
        <w:t>1980</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b/>
          <w:bCs/>
          <w:sz w:val="24"/>
          <w:szCs w:val="24"/>
          <w:rtl/>
        </w:rPr>
        <w:t>المدخل إلى مذهب أحمد بن حنبل</w:t>
      </w:r>
      <w:r w:rsidRPr="002273BC">
        <w:rPr>
          <w:rFonts w:ascii="Arabic Transparent" w:hAnsi="Arabic Transparent" w:cs="Arabic Transparent" w:hint="cs"/>
          <w:sz w:val="24"/>
          <w:szCs w:val="24"/>
          <w:rtl/>
        </w:rPr>
        <w:t xml:space="preserve"> (تحقيق عبد الله بن عبد المحسن التركي) ط2، ص302-303، مؤسسة الرسالة – بيروت.</w:t>
      </w:r>
    </w:p>
  </w:footnote>
  <w:footnote w:id="38">
    <w:p w14:paraId="47F5A404" w14:textId="61E44BE2" w:rsidR="00D90CFE" w:rsidRPr="002273BC" w:rsidRDefault="00D90CFE" w:rsidP="00EA3738">
      <w:pPr>
        <w:pStyle w:val="FootnoteText"/>
        <w:spacing w:line="360" w:lineRule="auto"/>
        <w:jc w:val="both"/>
        <w:rPr>
          <w:rFonts w:ascii="Arabic Transparent" w:hAnsi="Arabic Transparent" w:cs="Arabic Transparent"/>
          <w:sz w:val="24"/>
          <w:szCs w:val="24"/>
          <w:rtl/>
        </w:rPr>
      </w:pP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السبكي، علي بن عبد الكافي، وابنه تاج الدين عبد الوهاب، (1984)، </w:t>
      </w:r>
      <w:r w:rsidRPr="002273BC">
        <w:rPr>
          <w:rFonts w:ascii="Arabic Transparent" w:hAnsi="Arabic Transparent" w:cs="Arabic Transparent" w:hint="cs"/>
          <w:b/>
          <w:bCs/>
          <w:sz w:val="24"/>
          <w:szCs w:val="24"/>
          <w:rtl/>
        </w:rPr>
        <w:t>الإبهاج في شرح المنهاج</w:t>
      </w:r>
      <w:r w:rsidRPr="002273BC">
        <w:rPr>
          <w:rFonts w:ascii="Arabic Transparent" w:hAnsi="Arabic Transparent" w:cs="Arabic Transparent" w:hint="cs"/>
          <w:sz w:val="24"/>
          <w:szCs w:val="24"/>
          <w:rtl/>
        </w:rPr>
        <w:t xml:space="preserve"> </w:t>
      </w:r>
      <w:r w:rsidRPr="0048328B">
        <w:rPr>
          <w:rFonts w:ascii="Arabic Transparent" w:hAnsi="Arabic Transparent" w:cs="Arabic Transparent" w:hint="cs"/>
          <w:b/>
          <w:bCs/>
          <w:sz w:val="24"/>
          <w:szCs w:val="24"/>
          <w:rtl/>
        </w:rPr>
        <w:t>(على منهاج الوصول إلى علم الأصول للبيضاوي)</w:t>
      </w:r>
      <w:r w:rsidRPr="002273BC">
        <w:rPr>
          <w:rFonts w:ascii="Arabic Transparent" w:hAnsi="Arabic Transparent" w:cs="Arabic Transparent" w:hint="cs"/>
          <w:sz w:val="24"/>
          <w:szCs w:val="24"/>
          <w:rtl/>
        </w:rPr>
        <w:t>، ط1، ج3، ص82، دار الكتب العلمية، بيروت – لبنان، و</w:t>
      </w:r>
      <w:r w:rsidR="009C4287" w:rsidRPr="002273BC">
        <w:rPr>
          <w:rFonts w:ascii="Arabic Transparent" w:hAnsi="Arabic Transparent" w:cs="Arabic Transparent"/>
          <w:sz w:val="24"/>
          <w:szCs w:val="24"/>
          <w:rtl/>
        </w:rPr>
        <w:t xml:space="preserve">الزركشي، بدر الدين محمد بن عبد الله، (1994)، </w:t>
      </w:r>
      <w:r w:rsidR="009C4287" w:rsidRPr="0048328B">
        <w:rPr>
          <w:rFonts w:ascii="Arabic Transparent" w:hAnsi="Arabic Transparent" w:cs="Arabic Transparent"/>
          <w:b/>
          <w:bCs/>
          <w:sz w:val="24"/>
          <w:szCs w:val="24"/>
          <w:rtl/>
        </w:rPr>
        <w:t>البحر المحيط في أصول الفقه</w:t>
      </w:r>
      <w:r w:rsidR="009C4287" w:rsidRPr="002273BC">
        <w:rPr>
          <w:rFonts w:ascii="Arabic Transparent" w:hAnsi="Arabic Transparent" w:cs="Arabic Transparent"/>
          <w:sz w:val="24"/>
          <w:szCs w:val="24"/>
          <w:rtl/>
        </w:rPr>
        <w:t>، ط1،</w:t>
      </w:r>
      <w:r w:rsidR="009C4287" w:rsidRPr="002273BC">
        <w:rPr>
          <w:rFonts w:ascii="Arabic Transparent" w:hAnsi="Arabic Transparent" w:cs="Arabic Transparent" w:hint="cs"/>
          <w:sz w:val="24"/>
          <w:szCs w:val="24"/>
          <w:rtl/>
        </w:rPr>
        <w:t xml:space="preserve"> </w:t>
      </w:r>
      <w:r w:rsidR="009C4287" w:rsidRPr="002273BC">
        <w:rPr>
          <w:rFonts w:ascii="Arabic Transparent" w:hAnsi="Arabic Transparent" w:cs="Arabic Transparent"/>
          <w:sz w:val="24"/>
          <w:szCs w:val="24"/>
          <w:rtl/>
        </w:rPr>
        <w:t>ج5، ص256</w:t>
      </w:r>
      <w:r w:rsidR="009C4287" w:rsidRPr="002273BC">
        <w:rPr>
          <w:rFonts w:ascii="Arabic Transparent" w:hAnsi="Arabic Transparent" w:cs="Arabic Transparent" w:hint="cs"/>
          <w:sz w:val="24"/>
          <w:szCs w:val="24"/>
          <w:rtl/>
        </w:rPr>
        <w:t>،</w:t>
      </w:r>
      <w:r w:rsidR="009C4287" w:rsidRPr="002273BC">
        <w:rPr>
          <w:rFonts w:ascii="Arabic Transparent" w:hAnsi="Arabic Transparent" w:cs="Arabic Transparent"/>
          <w:sz w:val="24"/>
          <w:szCs w:val="24"/>
          <w:rtl/>
        </w:rPr>
        <w:t xml:space="preserve"> دار الكتبي، القاهرة</w:t>
      </w:r>
      <w:r w:rsidRPr="002273BC">
        <w:rPr>
          <w:rFonts w:ascii="Arabic Transparent" w:hAnsi="Arabic Transparent" w:cs="Arabic Transparent" w:hint="cs"/>
          <w:sz w:val="24"/>
          <w:szCs w:val="24"/>
          <w:rtl/>
        </w:rPr>
        <w:t xml:space="preserve">، </w:t>
      </w:r>
      <w:r w:rsidR="000C0813" w:rsidRPr="002273BC">
        <w:rPr>
          <w:rFonts w:ascii="Arabic Transparent" w:hAnsi="Arabic Transparent" w:cs="Arabic Transparent" w:hint="cs"/>
          <w:sz w:val="24"/>
          <w:szCs w:val="24"/>
          <w:rtl/>
        </w:rPr>
        <w:t xml:space="preserve">والشوكاني، </w:t>
      </w:r>
      <w:r w:rsidR="000C0813" w:rsidRPr="002273BC">
        <w:rPr>
          <w:rFonts w:ascii="Arabic Transparent" w:hAnsi="Arabic Transparent" w:cs="Arabic Transparent" w:hint="cs"/>
          <w:b/>
          <w:bCs/>
          <w:sz w:val="24"/>
          <w:szCs w:val="24"/>
          <w:rtl/>
        </w:rPr>
        <w:t>إرشاد الفحول</w:t>
      </w:r>
      <w:r w:rsidR="000C0813" w:rsidRPr="002273BC">
        <w:rPr>
          <w:rFonts w:ascii="Arabic Transparent" w:hAnsi="Arabic Transparent" w:cs="Arabic Transparent" w:hint="cs"/>
          <w:sz w:val="24"/>
          <w:szCs w:val="24"/>
          <w:rtl/>
        </w:rPr>
        <w:t xml:space="preserve">، </w:t>
      </w:r>
      <w:r w:rsidR="009C4287" w:rsidRPr="002273BC">
        <w:rPr>
          <w:rFonts w:ascii="Arabic Transparent" w:hAnsi="Arabic Transparent" w:cs="Arabic Transparent" w:hint="cs"/>
          <w:sz w:val="24"/>
          <w:szCs w:val="24"/>
          <w:rtl/>
        </w:rPr>
        <w:t xml:space="preserve">مصدر سابق، </w:t>
      </w:r>
      <w:r w:rsidR="000C0813" w:rsidRPr="002273BC">
        <w:rPr>
          <w:rFonts w:ascii="Arabic Transparent" w:hAnsi="Arabic Transparent" w:cs="Arabic Transparent" w:hint="cs"/>
          <w:sz w:val="24"/>
          <w:szCs w:val="24"/>
          <w:rtl/>
        </w:rPr>
        <w:t>ج2، ص920.</w:t>
      </w:r>
    </w:p>
  </w:footnote>
  <w:footnote w:id="39">
    <w:p w14:paraId="35A20C17" w14:textId="3ECD6B63" w:rsidR="002F3D38" w:rsidRPr="002273BC" w:rsidRDefault="002F3D38" w:rsidP="00EA3738">
      <w:pPr>
        <w:pStyle w:val="FootnoteText"/>
        <w:spacing w:line="360" w:lineRule="auto"/>
        <w:jc w:val="both"/>
        <w:rPr>
          <w:rFonts w:ascii="Arabic Transparent" w:hAnsi="Arabic Transparent" w:cs="Arabic Transparent"/>
          <w:sz w:val="24"/>
          <w:szCs w:val="24"/>
          <w:rtl/>
        </w:rPr>
      </w:pP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Pr>
        <w:footnoteRef/>
      </w:r>
      <w:r w:rsidRPr="002273BC">
        <w:rPr>
          <w:rFonts w:ascii="Arabic Transparent" w:hAnsi="Arabic Transparent" w:cs="Arabic Transparent" w:hint="cs"/>
          <w:sz w:val="24"/>
          <w:szCs w:val="24"/>
        </w:rPr>
        <w:t>)</w:t>
      </w:r>
      <w:r w:rsidR="001E0356" w:rsidRPr="002273BC">
        <w:rPr>
          <w:rFonts w:ascii="Arabic Transparent" w:hAnsi="Arabic Transparent" w:cs="Arabic Transparent" w:hint="cs"/>
          <w:sz w:val="24"/>
          <w:szCs w:val="24"/>
          <w:rtl/>
        </w:rPr>
        <w:t>:</w:t>
      </w:r>
      <w:r w:rsidRPr="002273BC">
        <w:rPr>
          <w:rFonts w:ascii="Arabic Transparent" w:hAnsi="Arabic Transparent" w:cs="Arabic Transparent" w:hint="cs"/>
          <w:sz w:val="24"/>
          <w:szCs w:val="24"/>
          <w:rtl/>
        </w:rPr>
        <w:t xml:space="preserve"> الطوفي، </w:t>
      </w:r>
      <w:r w:rsidRPr="002273BC">
        <w:rPr>
          <w:rFonts w:ascii="Arabic Transparent" w:hAnsi="Arabic Transparent" w:cs="Arabic Transparent" w:hint="cs"/>
          <w:b/>
          <w:bCs/>
          <w:sz w:val="24"/>
          <w:szCs w:val="24"/>
          <w:rtl/>
        </w:rPr>
        <w:t>شرح مختصر الرو</w:t>
      </w:r>
      <w:r w:rsidR="00B277DB" w:rsidRPr="002273BC">
        <w:rPr>
          <w:rFonts w:ascii="Arabic Transparent" w:hAnsi="Arabic Transparent" w:cs="Arabic Transparent" w:hint="cs"/>
          <w:b/>
          <w:bCs/>
          <w:sz w:val="24"/>
          <w:szCs w:val="24"/>
          <w:rtl/>
        </w:rPr>
        <w:t>ض</w:t>
      </w:r>
      <w:r w:rsidRPr="002273BC">
        <w:rPr>
          <w:rFonts w:ascii="Arabic Transparent" w:hAnsi="Arabic Transparent" w:cs="Arabic Transparent" w:hint="cs"/>
          <w:b/>
          <w:bCs/>
          <w:sz w:val="24"/>
          <w:szCs w:val="24"/>
          <w:rtl/>
        </w:rPr>
        <w:t>ة،</w:t>
      </w:r>
      <w:r w:rsidR="009C4287" w:rsidRPr="002273BC">
        <w:rPr>
          <w:rFonts w:ascii="Arabic Transparent" w:hAnsi="Arabic Transparent" w:cs="Arabic Transparent" w:hint="cs"/>
          <w:sz w:val="24"/>
          <w:szCs w:val="24"/>
          <w:rtl/>
        </w:rPr>
        <w:t xml:space="preserve"> مصدر سابق،</w:t>
      </w:r>
      <w:r w:rsidRPr="002273BC">
        <w:rPr>
          <w:rFonts w:ascii="Arabic Transparent" w:hAnsi="Arabic Transparent" w:cs="Arabic Transparent" w:hint="cs"/>
          <w:sz w:val="24"/>
          <w:szCs w:val="24"/>
          <w:rtl/>
        </w:rPr>
        <w:t xml:space="preserve"> ج3، ص232-ص236</w:t>
      </w:r>
      <w:bookmarkStart w:id="2" w:name="_Hlk209142217"/>
      <w:r w:rsidR="002E1453" w:rsidRPr="002273BC">
        <w:rPr>
          <w:rFonts w:ascii="Arabic Transparent" w:hAnsi="Arabic Transparent" w:cs="Arabic Transparent" w:hint="cs"/>
          <w:sz w:val="24"/>
          <w:szCs w:val="24"/>
          <w:rtl/>
        </w:rPr>
        <w:t>.</w:t>
      </w:r>
    </w:p>
    <w:bookmarkEnd w:id="2"/>
  </w:footnote>
  <w:footnote w:id="40">
    <w:p w14:paraId="24B691A5" w14:textId="6F6E2E83" w:rsidR="0068674C" w:rsidRPr="002273BC" w:rsidRDefault="0068674C" w:rsidP="00EA3738">
      <w:pPr>
        <w:pStyle w:val="FootnoteText"/>
        <w:spacing w:line="360" w:lineRule="auto"/>
        <w:jc w:val="both"/>
        <w:rPr>
          <w:rFonts w:ascii="Arabic Transparent" w:hAnsi="Arabic Transparent" w:cs="Arabic Transparent"/>
          <w:sz w:val="24"/>
          <w:szCs w:val="24"/>
          <w:rtl/>
        </w:rPr>
      </w:pP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الشاطبي، </w:t>
      </w:r>
      <w:r w:rsidRPr="002273BC">
        <w:rPr>
          <w:rFonts w:ascii="Arabic Transparent" w:hAnsi="Arabic Transparent" w:cs="Arabic Transparent" w:hint="cs"/>
          <w:b/>
          <w:bCs/>
          <w:sz w:val="24"/>
          <w:szCs w:val="24"/>
          <w:rtl/>
        </w:rPr>
        <w:t>الموافقات،</w:t>
      </w:r>
      <w:r w:rsidRPr="002273BC">
        <w:rPr>
          <w:rFonts w:ascii="Arabic Transparent" w:hAnsi="Arabic Transparent" w:cs="Arabic Transparent" w:hint="cs"/>
          <w:sz w:val="24"/>
          <w:szCs w:val="24"/>
          <w:rtl/>
        </w:rPr>
        <w:t xml:space="preserve"> </w:t>
      </w:r>
      <w:r w:rsidR="009C4287" w:rsidRPr="002273BC">
        <w:rPr>
          <w:rFonts w:ascii="Arabic Transparent" w:hAnsi="Arabic Transparent" w:cs="Arabic Transparent" w:hint="cs"/>
          <w:sz w:val="24"/>
          <w:szCs w:val="24"/>
          <w:rtl/>
        </w:rPr>
        <w:t xml:space="preserve">مصدر سابق، </w:t>
      </w:r>
      <w:r w:rsidRPr="002273BC">
        <w:rPr>
          <w:rFonts w:ascii="Arabic Transparent" w:hAnsi="Arabic Transparent" w:cs="Arabic Transparent" w:hint="cs"/>
          <w:sz w:val="24"/>
          <w:szCs w:val="24"/>
          <w:rtl/>
        </w:rPr>
        <w:t>ج5، ص12.</w:t>
      </w:r>
    </w:p>
  </w:footnote>
  <w:footnote w:id="41">
    <w:p w14:paraId="0AFE1EC4" w14:textId="5FC4F813" w:rsidR="0068674C" w:rsidRPr="002273BC" w:rsidRDefault="0068674C" w:rsidP="00EA3738">
      <w:pPr>
        <w:pStyle w:val="FootnoteText"/>
        <w:spacing w:line="360" w:lineRule="auto"/>
        <w:jc w:val="both"/>
        <w:rPr>
          <w:rFonts w:ascii="Arabic Transparent" w:hAnsi="Arabic Transparent" w:cs="Arabic Transparent"/>
          <w:sz w:val="24"/>
          <w:szCs w:val="24"/>
          <w:rtl/>
        </w:rPr>
      </w:pP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00DE63FF" w:rsidRPr="002273BC">
        <w:rPr>
          <w:rFonts w:ascii="Arabic Transparent" w:hAnsi="Arabic Transparent" w:cs="Arabic Transparent" w:hint="cs"/>
          <w:sz w:val="24"/>
          <w:szCs w:val="24"/>
          <w:rtl/>
        </w:rPr>
        <w:t xml:space="preserve">ابن تيمية، أحمد بن عبد الحليم، (1986)، </w:t>
      </w:r>
      <w:r w:rsidR="00DE63FF" w:rsidRPr="002273BC">
        <w:rPr>
          <w:rFonts w:ascii="Arabic Transparent" w:hAnsi="Arabic Transparent" w:cs="Arabic Transparent" w:hint="cs"/>
          <w:b/>
          <w:bCs/>
          <w:sz w:val="24"/>
          <w:szCs w:val="24"/>
          <w:rtl/>
        </w:rPr>
        <w:t>منهاج السنة النبوية في نقض كلام الشيعة القدرية</w:t>
      </w:r>
      <w:r w:rsidR="00DE63FF" w:rsidRPr="002273BC">
        <w:rPr>
          <w:rFonts w:ascii="Arabic Transparent" w:hAnsi="Arabic Transparent" w:cs="Arabic Transparent" w:hint="cs"/>
          <w:sz w:val="24"/>
          <w:szCs w:val="24"/>
          <w:rtl/>
        </w:rPr>
        <w:t xml:space="preserve"> (تحقيق محمد رشاد سالم)</w:t>
      </w:r>
      <w:r w:rsidR="00E12D98" w:rsidRPr="002273BC">
        <w:rPr>
          <w:rFonts w:ascii="Arabic Transparent" w:hAnsi="Arabic Transparent" w:cs="Arabic Transparent" w:hint="cs"/>
          <w:sz w:val="24"/>
          <w:szCs w:val="24"/>
          <w:rtl/>
        </w:rPr>
        <w:t>،</w:t>
      </w:r>
      <w:r w:rsidR="00DE63FF" w:rsidRPr="002273BC">
        <w:rPr>
          <w:rFonts w:ascii="Arabic Transparent" w:hAnsi="Arabic Transparent" w:cs="Arabic Transparent" w:hint="cs"/>
          <w:sz w:val="24"/>
          <w:szCs w:val="24"/>
          <w:rtl/>
        </w:rPr>
        <w:t xml:space="preserve"> ط1، ج2، ص474، جامعة محمد بن سعود الإسلامية - الرياض.</w:t>
      </w:r>
    </w:p>
  </w:footnote>
  <w:footnote w:id="42">
    <w:p w14:paraId="51EF050B" w14:textId="6E898660" w:rsidR="00E07CD8" w:rsidRPr="002273BC" w:rsidRDefault="00E07CD8" w:rsidP="00EA3738">
      <w:pPr>
        <w:pStyle w:val="FootnoteText"/>
        <w:spacing w:line="360" w:lineRule="auto"/>
        <w:jc w:val="both"/>
        <w:rPr>
          <w:rFonts w:ascii="Arabic Transparent" w:hAnsi="Arabic Transparent" w:cs="Arabic Transparent"/>
          <w:sz w:val="24"/>
          <w:szCs w:val="24"/>
          <w:rtl/>
        </w:rPr>
      </w:pP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الدريني، مصطفى، (2008)، </w:t>
      </w:r>
      <w:r w:rsidRPr="002273BC">
        <w:rPr>
          <w:rFonts w:ascii="Arabic Transparent" w:hAnsi="Arabic Transparent" w:cs="Arabic Transparent" w:hint="cs"/>
          <w:b/>
          <w:bCs/>
          <w:sz w:val="24"/>
          <w:szCs w:val="24"/>
          <w:rtl/>
        </w:rPr>
        <w:t>بحوث مقارنة في الفقه الإسلامي وأصوله</w:t>
      </w:r>
      <w:r w:rsidR="00E12D98" w:rsidRPr="002273BC">
        <w:rPr>
          <w:rFonts w:ascii="Arabic Transparent" w:hAnsi="Arabic Transparent" w:cs="Arabic Transparent" w:hint="cs"/>
          <w:sz w:val="24"/>
          <w:szCs w:val="24"/>
          <w:rtl/>
        </w:rPr>
        <w:t>،</w:t>
      </w:r>
      <w:r w:rsidRPr="002273BC">
        <w:rPr>
          <w:rFonts w:ascii="Arabic Transparent" w:hAnsi="Arabic Transparent" w:cs="Arabic Transparent" w:hint="cs"/>
          <w:sz w:val="24"/>
          <w:szCs w:val="24"/>
          <w:rtl/>
        </w:rPr>
        <w:t xml:space="preserve"> ط2، ص119–120، مؤسسة الرسالة - دمشق، سوريا.</w:t>
      </w:r>
    </w:p>
  </w:footnote>
  <w:footnote w:id="43">
    <w:p w14:paraId="59A1478B" w14:textId="5DCF2349" w:rsidR="004D7C4B" w:rsidRPr="002273BC" w:rsidRDefault="004D7C4B" w:rsidP="00EA3738">
      <w:pPr>
        <w:pStyle w:val="FootnoteText"/>
        <w:spacing w:line="360" w:lineRule="auto"/>
        <w:jc w:val="both"/>
        <w:rPr>
          <w:rFonts w:ascii="Arabic Transparent" w:hAnsi="Arabic Transparent" w:cs="Arabic Transparent"/>
          <w:sz w:val="24"/>
          <w:szCs w:val="24"/>
          <w:rtl/>
        </w:rPr>
      </w:pP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001E0356" w:rsidRPr="002273BC">
        <w:rPr>
          <w:rFonts w:ascii="Arabic Transparent" w:hAnsi="Arabic Transparent" w:cs="Arabic Transparent" w:hint="cs"/>
          <w:sz w:val="24"/>
          <w:szCs w:val="24"/>
          <w:rtl/>
        </w:rPr>
        <w:t>انظر:</w:t>
      </w:r>
      <w:r w:rsidRPr="002273BC">
        <w:rPr>
          <w:rFonts w:ascii="Arabic Transparent" w:hAnsi="Arabic Transparent" w:cs="Arabic Transparent" w:hint="cs"/>
          <w:sz w:val="24"/>
          <w:szCs w:val="24"/>
          <w:rtl/>
        </w:rPr>
        <w:t xml:space="preserve"> الزبيدي، بلقاسم بن ذاكر، (2014)، </w:t>
      </w:r>
      <w:r w:rsidRPr="002273BC">
        <w:rPr>
          <w:rFonts w:ascii="Arabic Transparent" w:hAnsi="Arabic Transparent" w:cs="Arabic Transparent" w:hint="cs"/>
          <w:b/>
          <w:bCs/>
          <w:sz w:val="24"/>
          <w:szCs w:val="24"/>
          <w:rtl/>
        </w:rPr>
        <w:t>الاجتهاد في مناط الحكم الشرعي دراسة تأصيلية تطبيقية</w:t>
      </w:r>
      <w:r w:rsidR="00E12D98" w:rsidRPr="002273BC">
        <w:rPr>
          <w:rFonts w:ascii="Arabic Transparent" w:hAnsi="Arabic Transparent" w:cs="Arabic Transparent" w:hint="cs"/>
          <w:sz w:val="24"/>
          <w:szCs w:val="24"/>
          <w:rtl/>
        </w:rPr>
        <w:t>،</w:t>
      </w:r>
      <w:r w:rsidRPr="002273BC">
        <w:rPr>
          <w:rFonts w:ascii="Arabic Transparent" w:hAnsi="Arabic Transparent" w:cs="Arabic Transparent" w:hint="cs"/>
          <w:sz w:val="24"/>
          <w:szCs w:val="24"/>
          <w:rtl/>
        </w:rPr>
        <w:t xml:space="preserve"> ط1، ص240- 244، مركز تكوين للدراسات والأبحاث - السعودية.</w:t>
      </w:r>
    </w:p>
  </w:footnote>
  <w:footnote w:id="44">
    <w:p w14:paraId="61B9B874" w14:textId="1ABF77DC" w:rsidR="00A942CF" w:rsidRPr="002273BC" w:rsidRDefault="00A942CF"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الشاطبي، </w:t>
      </w:r>
      <w:r w:rsidRPr="002273BC">
        <w:rPr>
          <w:rFonts w:ascii="Arabic Transparent" w:hAnsi="Arabic Transparent" w:cs="Arabic Transparent" w:hint="cs"/>
          <w:b/>
          <w:bCs/>
          <w:sz w:val="24"/>
          <w:szCs w:val="24"/>
          <w:rtl/>
        </w:rPr>
        <w:t>الموافقات</w:t>
      </w:r>
      <w:r w:rsidRPr="002273BC">
        <w:rPr>
          <w:rFonts w:ascii="Arabic Transparent" w:hAnsi="Arabic Transparent" w:cs="Arabic Transparent" w:hint="cs"/>
          <w:sz w:val="24"/>
          <w:szCs w:val="24"/>
          <w:rtl/>
        </w:rPr>
        <w:t xml:space="preserve">، </w:t>
      </w:r>
      <w:r w:rsidR="009C4287" w:rsidRPr="002273BC">
        <w:rPr>
          <w:rFonts w:ascii="Arabic Transparent" w:hAnsi="Arabic Transparent" w:cs="Arabic Transparent" w:hint="cs"/>
          <w:sz w:val="24"/>
          <w:szCs w:val="24"/>
          <w:rtl/>
        </w:rPr>
        <w:t xml:space="preserve">مصدر سابق، </w:t>
      </w:r>
      <w:r w:rsidRPr="002273BC">
        <w:rPr>
          <w:rFonts w:ascii="Arabic Transparent" w:hAnsi="Arabic Transparent" w:cs="Arabic Transparent" w:hint="cs"/>
          <w:sz w:val="24"/>
          <w:szCs w:val="24"/>
          <w:rtl/>
        </w:rPr>
        <w:t>ج5، ص24-25.</w:t>
      </w:r>
    </w:p>
  </w:footnote>
  <w:footnote w:id="45">
    <w:p w14:paraId="2CE626A3" w14:textId="226DD96E" w:rsidR="000E16FA" w:rsidRPr="002273BC" w:rsidRDefault="000E16FA" w:rsidP="00EA3738">
      <w:pPr>
        <w:pStyle w:val="FootnoteText"/>
        <w:spacing w:line="360" w:lineRule="auto"/>
        <w:jc w:val="both"/>
        <w:rPr>
          <w:rFonts w:ascii="Arabic Transparent" w:hAnsi="Arabic Transparent" w:cs="Arabic Transparent"/>
          <w:sz w:val="24"/>
          <w:szCs w:val="24"/>
          <w:rtl/>
        </w:rPr>
      </w:pP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001E0356" w:rsidRPr="002273BC">
        <w:rPr>
          <w:rFonts w:ascii="Arabic Transparent" w:hAnsi="Arabic Transparent" w:cs="Arabic Transparent" w:hint="cs"/>
          <w:sz w:val="24"/>
          <w:szCs w:val="24"/>
          <w:rtl/>
        </w:rPr>
        <w:t>انظر:</w:t>
      </w:r>
      <w:r w:rsidRPr="002273BC">
        <w:rPr>
          <w:rFonts w:ascii="Arabic Transparent" w:hAnsi="Arabic Transparent" w:cs="Arabic Transparent" w:hint="cs"/>
          <w:sz w:val="24"/>
          <w:szCs w:val="24"/>
          <w:rtl/>
        </w:rPr>
        <w:t xml:space="preserve"> </w:t>
      </w:r>
      <w:r w:rsidR="00C7326B" w:rsidRPr="002273BC">
        <w:rPr>
          <w:rFonts w:ascii="Arabic Transparent" w:hAnsi="Arabic Transparent" w:cs="Arabic Transparent" w:hint="cs"/>
          <w:sz w:val="24"/>
          <w:szCs w:val="24"/>
          <w:rtl/>
        </w:rPr>
        <w:t xml:space="preserve">الريسوني، أحمد، (1992)، </w:t>
      </w:r>
      <w:r w:rsidR="00C7326B" w:rsidRPr="002273BC">
        <w:rPr>
          <w:rFonts w:ascii="Arabic Transparent" w:hAnsi="Arabic Transparent" w:cs="Arabic Transparent" w:hint="cs"/>
          <w:b/>
          <w:bCs/>
          <w:sz w:val="24"/>
          <w:szCs w:val="24"/>
          <w:rtl/>
        </w:rPr>
        <w:t>نظرية المقاصد عند الشاطبي</w:t>
      </w:r>
      <w:r w:rsidR="000F026C" w:rsidRPr="002273BC">
        <w:rPr>
          <w:rFonts w:ascii="Arabic Transparent" w:hAnsi="Arabic Transparent" w:cs="Arabic Transparent" w:hint="cs"/>
          <w:sz w:val="24"/>
          <w:szCs w:val="24"/>
          <w:rtl/>
        </w:rPr>
        <w:t xml:space="preserve">، </w:t>
      </w:r>
      <w:r w:rsidR="00C7326B" w:rsidRPr="002273BC">
        <w:rPr>
          <w:rFonts w:ascii="Arabic Transparent" w:hAnsi="Arabic Transparent" w:cs="Arabic Transparent" w:hint="cs"/>
          <w:sz w:val="24"/>
          <w:szCs w:val="24"/>
          <w:rtl/>
        </w:rPr>
        <w:t>ط2، ص355، الدار العالمية للكتاب الإسلامي - الرياض، السعودية.</w:t>
      </w:r>
    </w:p>
  </w:footnote>
  <w:footnote w:id="46">
    <w:p w14:paraId="146515A8" w14:textId="77777777" w:rsidR="00C7326B" w:rsidRPr="002273BC" w:rsidRDefault="00C7326B" w:rsidP="00EA3738">
      <w:pPr>
        <w:pStyle w:val="FootnoteText"/>
        <w:spacing w:line="360" w:lineRule="auto"/>
        <w:jc w:val="both"/>
        <w:rPr>
          <w:rFonts w:ascii="Arabic Transparent" w:hAnsi="Arabic Transparent" w:cs="Arabic Transparent"/>
          <w:sz w:val="24"/>
          <w:szCs w:val="24"/>
          <w:rtl/>
        </w:rPr>
      </w:pP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القرطبي، محمد بن أحمد الأنصاري، (1964)، </w:t>
      </w:r>
      <w:r w:rsidRPr="002273BC">
        <w:rPr>
          <w:rFonts w:ascii="Arabic Transparent" w:hAnsi="Arabic Transparent" w:cs="Arabic Transparent" w:hint="cs"/>
          <w:b/>
          <w:bCs/>
          <w:sz w:val="24"/>
          <w:szCs w:val="24"/>
          <w:rtl/>
        </w:rPr>
        <w:t>الجامع لأحكام القرآن</w:t>
      </w:r>
      <w:r w:rsidRPr="002273BC">
        <w:rPr>
          <w:rFonts w:ascii="Arabic Transparent" w:hAnsi="Arabic Transparent" w:cs="Arabic Transparent" w:hint="cs"/>
          <w:sz w:val="24"/>
          <w:szCs w:val="24"/>
          <w:rtl/>
        </w:rPr>
        <w:t xml:space="preserve"> (تحقيق أحمد البردوني وإبراهيم أطفيش) ط2، ج11، ص311، دار الكتب المصرية - القاهرة.</w:t>
      </w:r>
    </w:p>
  </w:footnote>
  <w:footnote w:id="47">
    <w:p w14:paraId="04FC8ABA" w14:textId="44E2349F" w:rsidR="00C7326B" w:rsidRPr="002273BC" w:rsidRDefault="00C7326B" w:rsidP="00EA3738">
      <w:pPr>
        <w:pStyle w:val="FootnoteText"/>
        <w:spacing w:line="360" w:lineRule="auto"/>
        <w:jc w:val="both"/>
        <w:rPr>
          <w:rFonts w:ascii="Arabic Transparent" w:hAnsi="Arabic Transparent" w:cs="Arabic Transparent"/>
          <w:sz w:val="24"/>
          <w:szCs w:val="24"/>
          <w:rtl/>
        </w:rPr>
      </w:pP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Pr>
        <w:footnoteRef/>
      </w:r>
      <w:r w:rsidRPr="002273BC">
        <w:rPr>
          <w:rFonts w:ascii="Arabic Transparent" w:hAnsi="Arabic Transparent" w:cs="Arabic Transparent" w:hint="cs"/>
          <w:sz w:val="24"/>
          <w:szCs w:val="24"/>
        </w:rPr>
        <w:t>)</w:t>
      </w:r>
      <w:r w:rsidR="0079558D">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rPr>
        <w:t xml:space="preserve">الريسوني، </w:t>
      </w:r>
      <w:r w:rsidRPr="002273BC">
        <w:rPr>
          <w:rFonts w:ascii="Arabic Transparent" w:hAnsi="Arabic Transparent" w:cs="Arabic Transparent" w:hint="cs"/>
          <w:b/>
          <w:bCs/>
          <w:sz w:val="24"/>
          <w:szCs w:val="24"/>
          <w:rtl/>
        </w:rPr>
        <w:t>نظرية المقاصد عند الشاطبي</w:t>
      </w:r>
      <w:r w:rsidRPr="002273BC">
        <w:rPr>
          <w:rFonts w:ascii="Arabic Transparent" w:hAnsi="Arabic Transparent" w:cs="Arabic Transparent" w:hint="cs"/>
          <w:sz w:val="24"/>
          <w:szCs w:val="24"/>
          <w:rtl/>
        </w:rPr>
        <w:t>، مصدر سابق، ص356.</w:t>
      </w:r>
    </w:p>
  </w:footnote>
  <w:footnote w:id="48">
    <w:p w14:paraId="6762B9FD" w14:textId="3CD0AD9A" w:rsidR="009F1359" w:rsidRPr="002273BC" w:rsidRDefault="009F1359" w:rsidP="00EA3738">
      <w:pPr>
        <w:pStyle w:val="FootnoteText"/>
        <w:spacing w:line="360" w:lineRule="auto"/>
        <w:jc w:val="both"/>
        <w:rPr>
          <w:rFonts w:ascii="Arabic Transparent" w:hAnsi="Arabic Transparent" w:cs="Arabic Transparent"/>
          <w:sz w:val="24"/>
          <w:szCs w:val="24"/>
          <w:rtl/>
        </w:rPr>
      </w:pP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00DE146E" w:rsidRPr="002273BC">
        <w:rPr>
          <w:rFonts w:ascii="Arabic Transparent" w:hAnsi="Arabic Transparent" w:cs="Arabic Transparent" w:hint="cs"/>
          <w:sz w:val="24"/>
          <w:szCs w:val="24"/>
          <w:rtl/>
        </w:rPr>
        <w:t>القرافي، أحمد بن إدريس، (</w:t>
      </w:r>
      <w:r w:rsidR="00B277DB" w:rsidRPr="002273BC">
        <w:rPr>
          <w:rFonts w:ascii="Arabic Transparent" w:hAnsi="Arabic Transparent" w:cs="Arabic Transparent" w:hint="cs"/>
          <w:sz w:val="24"/>
          <w:szCs w:val="24"/>
          <w:rtl/>
        </w:rPr>
        <w:t>د.ت</w:t>
      </w:r>
      <w:r w:rsidR="00DE146E" w:rsidRPr="002273BC">
        <w:rPr>
          <w:rFonts w:ascii="Arabic Transparent" w:hAnsi="Arabic Transparent" w:cs="Arabic Transparent" w:hint="cs"/>
          <w:sz w:val="24"/>
          <w:szCs w:val="24"/>
          <w:rtl/>
        </w:rPr>
        <w:t xml:space="preserve">)، </w:t>
      </w:r>
      <w:r w:rsidR="00DE146E" w:rsidRPr="002273BC">
        <w:rPr>
          <w:rFonts w:ascii="Arabic Transparent" w:hAnsi="Arabic Transparent" w:cs="Arabic Transparent" w:hint="cs"/>
          <w:b/>
          <w:bCs/>
          <w:sz w:val="24"/>
          <w:szCs w:val="24"/>
          <w:rtl/>
        </w:rPr>
        <w:t>الفروق = أنوار البروق في أنواء الفروق</w:t>
      </w:r>
      <w:r w:rsidR="00DE146E" w:rsidRPr="002273BC">
        <w:rPr>
          <w:rFonts w:ascii="Arabic Transparent" w:hAnsi="Arabic Transparent" w:cs="Arabic Transparent" w:hint="cs"/>
          <w:sz w:val="24"/>
          <w:szCs w:val="24"/>
          <w:rtl/>
        </w:rPr>
        <w:t xml:space="preserve"> (د</w:t>
      </w:r>
      <w:r w:rsidR="00B277DB" w:rsidRPr="002273BC">
        <w:rPr>
          <w:rFonts w:ascii="Arabic Transparent" w:hAnsi="Arabic Transparent" w:cs="Arabic Transparent" w:hint="cs"/>
          <w:sz w:val="24"/>
          <w:szCs w:val="24"/>
          <w:rtl/>
        </w:rPr>
        <w:t>.</w:t>
      </w:r>
      <w:r w:rsidR="00DE146E" w:rsidRPr="002273BC">
        <w:rPr>
          <w:rFonts w:ascii="Arabic Transparent" w:hAnsi="Arabic Transparent" w:cs="Arabic Transparent" w:hint="cs"/>
          <w:sz w:val="24"/>
          <w:szCs w:val="24"/>
          <w:rtl/>
        </w:rPr>
        <w:t>ط)، ج2، ص133، عالم الكتب.</w:t>
      </w:r>
    </w:p>
  </w:footnote>
  <w:footnote w:id="49">
    <w:p w14:paraId="5186167F" w14:textId="77777777" w:rsidR="004F212F" w:rsidRPr="002273BC" w:rsidRDefault="004F212F" w:rsidP="00EA3738">
      <w:pPr>
        <w:pStyle w:val="FootnoteText"/>
        <w:spacing w:line="360" w:lineRule="auto"/>
        <w:jc w:val="both"/>
        <w:rPr>
          <w:rFonts w:ascii="Arabic Transparent" w:hAnsi="Arabic Transparent" w:cs="Arabic Transparent"/>
          <w:sz w:val="24"/>
          <w:szCs w:val="24"/>
          <w:rtl/>
        </w:rPr>
      </w:pP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الكشميري، محمد أنور شاه، (</w:t>
      </w:r>
      <w:r w:rsidR="002C6DB3" w:rsidRPr="002273BC">
        <w:rPr>
          <w:rFonts w:ascii="Arabic Transparent" w:hAnsi="Arabic Transparent" w:cs="Arabic Transparent" w:hint="cs"/>
          <w:sz w:val="24"/>
          <w:szCs w:val="24"/>
          <w:rtl/>
        </w:rPr>
        <w:t>2004)،</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b/>
          <w:bCs/>
          <w:sz w:val="24"/>
          <w:szCs w:val="24"/>
          <w:rtl/>
        </w:rPr>
        <w:t>العرف الشذي شرح سنن الترمذي</w:t>
      </w:r>
      <w:r w:rsidRPr="002273BC">
        <w:rPr>
          <w:rFonts w:ascii="Arabic Transparent" w:hAnsi="Arabic Transparent" w:cs="Arabic Transparent" w:hint="cs"/>
          <w:sz w:val="24"/>
          <w:szCs w:val="24"/>
          <w:rtl/>
        </w:rPr>
        <w:t xml:space="preserve"> (تصحيح محمود شاكر) ط1، ج1، ص46، دار التراث العربي - بيروت، لبنان.</w:t>
      </w:r>
    </w:p>
  </w:footnote>
  <w:footnote w:id="50">
    <w:p w14:paraId="7B2CBC93" w14:textId="4D5F5866" w:rsidR="00E7783E" w:rsidRPr="002273BC" w:rsidRDefault="00E7783E" w:rsidP="00EA3738">
      <w:pPr>
        <w:pStyle w:val="FootnoteText"/>
        <w:spacing w:line="360" w:lineRule="auto"/>
        <w:jc w:val="both"/>
        <w:rPr>
          <w:rFonts w:ascii="Arabic Transparent" w:hAnsi="Arabic Transparent" w:cs="Arabic Transparent"/>
          <w:sz w:val="24"/>
          <w:szCs w:val="24"/>
          <w:rtl/>
        </w:rPr>
      </w:pP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انظر: الشنقيطي، محمد الأمين، (2019)، </w:t>
      </w:r>
      <w:r w:rsidRPr="002273BC">
        <w:rPr>
          <w:rFonts w:ascii="Arabic Transparent" w:hAnsi="Arabic Transparent" w:cs="Arabic Transparent" w:hint="cs"/>
          <w:b/>
          <w:bCs/>
          <w:sz w:val="24"/>
          <w:szCs w:val="24"/>
          <w:rtl/>
        </w:rPr>
        <w:t>مذكرة أصول الفقه على روضة الناظر</w:t>
      </w:r>
      <w:r w:rsidR="00E12D98" w:rsidRPr="002273BC">
        <w:rPr>
          <w:rFonts w:ascii="Arabic Transparent" w:hAnsi="Arabic Transparent" w:cs="Arabic Transparent" w:hint="cs"/>
          <w:sz w:val="24"/>
          <w:szCs w:val="24"/>
          <w:rtl/>
        </w:rPr>
        <w:t>،</w:t>
      </w:r>
      <w:r w:rsidRPr="002273BC">
        <w:rPr>
          <w:rFonts w:ascii="Arabic Transparent" w:hAnsi="Arabic Transparent" w:cs="Arabic Transparent" w:hint="cs"/>
          <w:sz w:val="24"/>
          <w:szCs w:val="24"/>
          <w:rtl/>
        </w:rPr>
        <w:t xml:space="preserve"> ط5، ص380، دار عطاءات العلم - الرياض، دار ابن حزم - بيروت.</w:t>
      </w:r>
    </w:p>
  </w:footnote>
  <w:footnote w:id="51">
    <w:p w14:paraId="214D6213" w14:textId="035C4FD2" w:rsidR="00E15539" w:rsidRPr="002273BC" w:rsidRDefault="00E15539" w:rsidP="00EA3738">
      <w:pPr>
        <w:pStyle w:val="FootnoteText"/>
        <w:spacing w:line="360" w:lineRule="auto"/>
        <w:jc w:val="both"/>
        <w:rPr>
          <w:rFonts w:ascii="Arabic Transparent" w:hAnsi="Arabic Transparent" w:cs="Arabic Transparent"/>
          <w:sz w:val="24"/>
          <w:szCs w:val="24"/>
          <w:rtl/>
        </w:rPr>
      </w:pP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انظر: </w:t>
      </w:r>
      <w:r w:rsidR="00F55CF4">
        <w:rPr>
          <w:rFonts w:ascii="Arabic Transparent" w:hAnsi="Arabic Transparent" w:cs="Arabic Transparent" w:hint="cs"/>
          <w:sz w:val="24"/>
          <w:szCs w:val="24"/>
          <w:rtl/>
        </w:rPr>
        <w:t>الزبيدي</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b/>
          <w:bCs/>
          <w:sz w:val="24"/>
          <w:szCs w:val="24"/>
          <w:rtl/>
        </w:rPr>
        <w:t>الاجتهاد في مناط الحكم الشرعي دراسة تأصيلية تطبيقية،</w:t>
      </w:r>
      <w:r w:rsidR="009C4287" w:rsidRPr="002273BC">
        <w:rPr>
          <w:rFonts w:ascii="Arabic Transparent" w:hAnsi="Arabic Transparent" w:cs="Arabic Transparent" w:hint="cs"/>
          <w:sz w:val="24"/>
          <w:szCs w:val="24"/>
          <w:rtl/>
        </w:rPr>
        <w:t xml:space="preserve"> مصدر سابق،</w:t>
      </w:r>
      <w:r w:rsidRPr="002273BC">
        <w:rPr>
          <w:rFonts w:ascii="Arabic Transparent" w:hAnsi="Arabic Transparent" w:cs="Arabic Transparent" w:hint="cs"/>
          <w:sz w:val="24"/>
          <w:szCs w:val="24"/>
          <w:rtl/>
        </w:rPr>
        <w:t xml:space="preserve"> ص259.</w:t>
      </w:r>
    </w:p>
  </w:footnote>
  <w:footnote w:id="52">
    <w:p w14:paraId="5537A0F0" w14:textId="3CF9B005" w:rsidR="00331D5D" w:rsidRPr="002273BC" w:rsidRDefault="00331D5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00C15328">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sz w:val="24"/>
          <w:szCs w:val="24"/>
          <w:rtl/>
          <w:lang w:bidi="ar-JO"/>
        </w:rPr>
        <w:t>الغزالي،</w:t>
      </w:r>
      <w:r w:rsidRPr="002273BC">
        <w:rPr>
          <w:rFonts w:ascii="Arabic Transparent" w:hAnsi="Arabic Transparent" w:cs="Arabic Transparent" w:hint="cs"/>
          <w:b/>
          <w:bCs/>
          <w:sz w:val="24"/>
          <w:szCs w:val="24"/>
          <w:rtl/>
          <w:lang w:bidi="ar-JO"/>
        </w:rPr>
        <w:t xml:space="preserve"> المستصفى</w:t>
      </w:r>
      <w:r w:rsidRPr="002273BC">
        <w:rPr>
          <w:rFonts w:ascii="Arabic Transparent" w:hAnsi="Arabic Transparent" w:cs="Arabic Transparent" w:hint="cs"/>
          <w:sz w:val="24"/>
          <w:szCs w:val="24"/>
          <w:rtl/>
          <w:lang w:bidi="ar-JO"/>
        </w:rPr>
        <w:t xml:space="preserve">، </w:t>
      </w:r>
      <w:r w:rsidR="0022066B" w:rsidRPr="002273BC">
        <w:rPr>
          <w:rFonts w:ascii="Arabic Transparent" w:hAnsi="Arabic Transparent" w:cs="Arabic Transparent" w:hint="cs"/>
          <w:sz w:val="24"/>
          <w:szCs w:val="24"/>
          <w:rtl/>
          <w:lang w:bidi="ar-JO"/>
        </w:rPr>
        <w:t xml:space="preserve">مصدر سابق، </w:t>
      </w:r>
      <w:r w:rsidRPr="002273BC">
        <w:rPr>
          <w:rFonts w:ascii="Arabic Transparent" w:hAnsi="Arabic Transparent" w:cs="Arabic Transparent" w:hint="cs"/>
          <w:sz w:val="24"/>
          <w:szCs w:val="24"/>
          <w:rtl/>
          <w:lang w:bidi="ar-JO"/>
        </w:rPr>
        <w:t xml:space="preserve">ج3، ص458، وابن قدامة، </w:t>
      </w:r>
      <w:r w:rsidRPr="002273BC">
        <w:rPr>
          <w:rFonts w:ascii="Arabic Transparent" w:hAnsi="Arabic Transparent" w:cs="Arabic Transparent" w:hint="cs"/>
          <w:b/>
          <w:bCs/>
          <w:sz w:val="24"/>
          <w:szCs w:val="24"/>
          <w:rtl/>
          <w:lang w:bidi="ar-JO"/>
        </w:rPr>
        <w:t>روضة الناظر</w:t>
      </w:r>
      <w:r w:rsidRPr="002273BC">
        <w:rPr>
          <w:rFonts w:ascii="Arabic Transparent" w:hAnsi="Arabic Transparent" w:cs="Arabic Transparent" w:hint="cs"/>
          <w:sz w:val="24"/>
          <w:szCs w:val="24"/>
          <w:rtl/>
          <w:lang w:bidi="ar-JO"/>
        </w:rPr>
        <w:t xml:space="preserve">، </w:t>
      </w:r>
      <w:r w:rsidR="0022066B" w:rsidRPr="002273BC">
        <w:rPr>
          <w:rFonts w:ascii="Arabic Transparent" w:hAnsi="Arabic Transparent" w:cs="Arabic Transparent" w:hint="cs"/>
          <w:sz w:val="24"/>
          <w:szCs w:val="24"/>
          <w:rtl/>
          <w:lang w:bidi="ar-JO"/>
        </w:rPr>
        <w:t xml:space="preserve">مصدر سابق، </w:t>
      </w:r>
      <w:r w:rsidRPr="002273BC">
        <w:rPr>
          <w:rFonts w:ascii="Arabic Transparent" w:hAnsi="Arabic Transparent" w:cs="Arabic Transparent" w:hint="cs"/>
          <w:sz w:val="24"/>
          <w:szCs w:val="24"/>
          <w:rtl/>
          <w:lang w:bidi="ar-JO"/>
        </w:rPr>
        <w:t xml:space="preserve">ج3، ص803، والطوفي، </w:t>
      </w:r>
      <w:r w:rsidRPr="002273BC">
        <w:rPr>
          <w:rFonts w:ascii="Arabic Transparent" w:hAnsi="Arabic Transparent" w:cs="Arabic Transparent" w:hint="cs"/>
          <w:b/>
          <w:bCs/>
          <w:sz w:val="24"/>
          <w:szCs w:val="24"/>
          <w:rtl/>
          <w:lang w:bidi="ar-JO"/>
        </w:rPr>
        <w:t>شرح مختصر الروضة</w:t>
      </w:r>
      <w:r w:rsidR="00E12D98" w:rsidRPr="002273BC">
        <w:rPr>
          <w:rFonts w:ascii="Arabic Transparent" w:hAnsi="Arabic Transparent" w:cs="Arabic Transparent" w:hint="cs"/>
          <w:sz w:val="24"/>
          <w:szCs w:val="24"/>
          <w:rtl/>
          <w:lang w:bidi="ar-JO"/>
        </w:rPr>
        <w:t>،</w:t>
      </w:r>
      <w:r w:rsidR="0022066B" w:rsidRPr="002273BC">
        <w:rPr>
          <w:rFonts w:ascii="Arabic Transparent" w:hAnsi="Arabic Transparent" w:cs="Arabic Transparent" w:hint="cs"/>
          <w:sz w:val="24"/>
          <w:szCs w:val="24"/>
          <w:rtl/>
          <w:lang w:bidi="ar-JO"/>
        </w:rPr>
        <w:t xml:space="preserve"> مصدر سابق، </w:t>
      </w:r>
      <w:r w:rsidRPr="002273BC">
        <w:rPr>
          <w:rFonts w:ascii="Arabic Transparent" w:hAnsi="Arabic Transparent" w:cs="Arabic Transparent" w:hint="cs"/>
          <w:sz w:val="24"/>
          <w:szCs w:val="24"/>
          <w:rtl/>
          <w:lang w:bidi="ar-JO"/>
        </w:rPr>
        <w:t xml:space="preserve"> ج3، ص233، وابن بدران، </w:t>
      </w:r>
      <w:r w:rsidRPr="002273BC">
        <w:rPr>
          <w:rFonts w:ascii="Arabic Transparent" w:hAnsi="Arabic Transparent" w:cs="Arabic Transparent" w:hint="cs"/>
          <w:b/>
          <w:bCs/>
          <w:sz w:val="24"/>
          <w:szCs w:val="24"/>
          <w:rtl/>
          <w:lang w:bidi="ar-JO"/>
        </w:rPr>
        <w:t>المدخل إلى مذهب أحمد</w:t>
      </w:r>
      <w:r w:rsidR="00E12D98" w:rsidRPr="002273BC">
        <w:rPr>
          <w:rFonts w:ascii="Arabic Transparent" w:hAnsi="Arabic Transparent" w:cs="Arabic Transparent" w:hint="cs"/>
          <w:sz w:val="24"/>
          <w:szCs w:val="24"/>
          <w:rtl/>
          <w:lang w:bidi="ar-JO"/>
        </w:rPr>
        <w:t>،</w:t>
      </w:r>
      <w:r w:rsidR="0022066B" w:rsidRPr="002273BC">
        <w:rPr>
          <w:rFonts w:ascii="Arabic Transparent" w:hAnsi="Arabic Transparent" w:cs="Arabic Transparent" w:hint="cs"/>
          <w:sz w:val="24"/>
          <w:szCs w:val="24"/>
          <w:rtl/>
          <w:lang w:bidi="ar-JO"/>
        </w:rPr>
        <w:t xml:space="preserve"> مصدر سابق،</w:t>
      </w:r>
      <w:r w:rsidRPr="002273BC">
        <w:rPr>
          <w:rFonts w:ascii="Arabic Transparent" w:hAnsi="Arabic Transparent" w:cs="Arabic Transparent" w:hint="cs"/>
          <w:sz w:val="24"/>
          <w:szCs w:val="24"/>
          <w:rtl/>
          <w:lang w:bidi="ar-JO"/>
        </w:rPr>
        <w:t xml:space="preserve"> ص306- 309.</w:t>
      </w:r>
    </w:p>
  </w:footnote>
  <w:footnote w:id="53">
    <w:p w14:paraId="68FFFFA0" w14:textId="391348E1" w:rsidR="006C2EF7" w:rsidRPr="002273BC" w:rsidRDefault="006C2EF7"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الغزالي، </w:t>
      </w:r>
      <w:r w:rsidRPr="002273BC">
        <w:rPr>
          <w:rFonts w:ascii="Arabic Transparent" w:hAnsi="Arabic Transparent" w:cs="Arabic Transparent" w:hint="cs"/>
          <w:b/>
          <w:bCs/>
          <w:sz w:val="24"/>
          <w:szCs w:val="24"/>
          <w:rtl/>
          <w:lang w:bidi="ar-JO"/>
        </w:rPr>
        <w:t>المستصفى</w:t>
      </w:r>
      <w:r w:rsidRPr="002273BC">
        <w:rPr>
          <w:rFonts w:ascii="Arabic Transparent" w:hAnsi="Arabic Transparent" w:cs="Arabic Transparent" w:hint="cs"/>
          <w:sz w:val="24"/>
          <w:szCs w:val="24"/>
          <w:rtl/>
          <w:lang w:bidi="ar-JO"/>
        </w:rPr>
        <w:t>،</w:t>
      </w:r>
      <w:r w:rsidR="0022066B" w:rsidRPr="002273BC">
        <w:rPr>
          <w:rFonts w:ascii="Arabic Transparent" w:hAnsi="Arabic Transparent" w:cs="Arabic Transparent" w:hint="cs"/>
          <w:sz w:val="24"/>
          <w:szCs w:val="24"/>
          <w:rtl/>
          <w:lang w:bidi="ar-JO"/>
        </w:rPr>
        <w:t xml:space="preserve"> مصدر سابق،</w:t>
      </w:r>
      <w:r w:rsidRPr="002273BC">
        <w:rPr>
          <w:rFonts w:ascii="Arabic Transparent" w:hAnsi="Arabic Transparent" w:cs="Arabic Transparent" w:hint="cs"/>
          <w:sz w:val="24"/>
          <w:szCs w:val="24"/>
          <w:rtl/>
          <w:lang w:bidi="ar-JO"/>
        </w:rPr>
        <w:t xml:space="preserve"> ج3، ص490، ابن جُزَي، محمد بن أحمد، (2003)، </w:t>
      </w:r>
      <w:r w:rsidRPr="002273BC">
        <w:rPr>
          <w:rFonts w:ascii="Arabic Transparent" w:hAnsi="Arabic Transparent" w:cs="Arabic Transparent" w:hint="cs"/>
          <w:b/>
          <w:bCs/>
          <w:sz w:val="24"/>
          <w:szCs w:val="24"/>
          <w:rtl/>
          <w:lang w:bidi="ar-JO"/>
        </w:rPr>
        <w:t>تقريب الوصول إلى علم الأصول</w:t>
      </w:r>
      <w:r w:rsidRPr="002273BC">
        <w:rPr>
          <w:rFonts w:ascii="Arabic Transparent" w:hAnsi="Arabic Transparent" w:cs="Arabic Transparent" w:hint="cs"/>
          <w:sz w:val="24"/>
          <w:szCs w:val="24"/>
          <w:rtl/>
          <w:lang w:bidi="ar-JO"/>
        </w:rPr>
        <w:t xml:space="preserve"> (تحقيق محمد حسن إسماعيل) ط1، ص188، دار الكتب العلمية - بيروت، لبنان.</w:t>
      </w:r>
    </w:p>
  </w:footnote>
  <w:footnote w:id="54">
    <w:p w14:paraId="11C01EC9" w14:textId="6DD09D0B" w:rsidR="00C14506" w:rsidRPr="002273BC" w:rsidRDefault="00C14506"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00F55CF4">
        <w:rPr>
          <w:rFonts w:ascii="Arabic Transparent" w:hAnsi="Arabic Transparent" w:cs="Arabic Transparent" w:hint="cs"/>
          <w:sz w:val="24"/>
          <w:szCs w:val="24"/>
          <w:rtl/>
          <w:lang w:bidi="ar-JO"/>
        </w:rPr>
        <w:t xml:space="preserve"> </w:t>
      </w:r>
      <w:r w:rsidR="00791C7B" w:rsidRPr="002273BC">
        <w:rPr>
          <w:rFonts w:ascii="Arabic Transparent" w:hAnsi="Arabic Transparent" w:cs="Arabic Transparent" w:hint="cs"/>
          <w:sz w:val="24"/>
          <w:szCs w:val="24"/>
          <w:rtl/>
          <w:lang w:bidi="ar-JO"/>
        </w:rPr>
        <w:t>زيدان، عبد الكريم بن علي، (1999</w:t>
      </w:r>
      <w:r w:rsidR="00791C7B" w:rsidRPr="002273BC">
        <w:rPr>
          <w:rFonts w:ascii="Arabic Transparent" w:hAnsi="Arabic Transparent" w:cs="Arabic Transparent" w:hint="cs"/>
          <w:b/>
          <w:bCs/>
          <w:sz w:val="24"/>
          <w:szCs w:val="24"/>
          <w:rtl/>
          <w:lang w:bidi="ar-JO"/>
        </w:rPr>
        <w:t>)، الوجيز في أصول الفقه</w:t>
      </w:r>
      <w:r w:rsidR="00791C7B" w:rsidRPr="002273BC">
        <w:rPr>
          <w:rFonts w:ascii="Arabic Transparent" w:hAnsi="Arabic Transparent" w:cs="Arabic Transparent" w:hint="cs"/>
          <w:sz w:val="24"/>
          <w:szCs w:val="24"/>
          <w:rtl/>
          <w:lang w:bidi="ar-JO"/>
        </w:rPr>
        <w:t>، ط1، ص220، مؤسسة الرسالة، بيروت.</w:t>
      </w:r>
    </w:p>
  </w:footnote>
  <w:footnote w:id="55">
    <w:p w14:paraId="15D9D8E4" w14:textId="240846B0" w:rsidR="00EC34C2" w:rsidRPr="002273BC" w:rsidRDefault="00EC34C2"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انظر: الزبيدي، </w:t>
      </w:r>
      <w:r w:rsidRPr="002273BC">
        <w:rPr>
          <w:rFonts w:ascii="Arabic Transparent" w:hAnsi="Arabic Transparent" w:cs="Arabic Transparent" w:hint="cs"/>
          <w:b/>
          <w:bCs/>
          <w:sz w:val="24"/>
          <w:szCs w:val="24"/>
          <w:rtl/>
          <w:lang w:bidi="ar-JO"/>
        </w:rPr>
        <w:t>الاجتهاد في مناط الحكم الشرعي دراسة تأصيلية تطبيقية</w:t>
      </w:r>
      <w:r w:rsidRPr="002273BC">
        <w:rPr>
          <w:rFonts w:ascii="Arabic Transparent" w:hAnsi="Arabic Transparent" w:cs="Arabic Transparent" w:hint="cs"/>
          <w:sz w:val="24"/>
          <w:szCs w:val="24"/>
          <w:rtl/>
          <w:lang w:bidi="ar-JO"/>
        </w:rPr>
        <w:t>، مصدر سابق، ص244.</w:t>
      </w:r>
    </w:p>
  </w:footnote>
  <w:footnote w:id="56">
    <w:p w14:paraId="3FFE92EA" w14:textId="51BE0921" w:rsidR="00CC2FE8" w:rsidRPr="002273BC" w:rsidRDefault="00CC2FE8"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00F85250" w:rsidRPr="002273BC">
        <w:rPr>
          <w:rFonts w:ascii="Arabic Transparent" w:hAnsi="Arabic Transparent" w:cs="Arabic Transparent" w:hint="cs"/>
          <w:sz w:val="24"/>
          <w:szCs w:val="24"/>
          <w:rtl/>
          <w:lang w:bidi="ar-JO"/>
        </w:rPr>
        <w:t xml:space="preserve"> أخرجه مسلم في صحيحه، مسلم، بن الحجاج القشيري النيسابوري، (1955)، </w:t>
      </w:r>
      <w:r w:rsidR="00F85250" w:rsidRPr="002273BC">
        <w:rPr>
          <w:rFonts w:ascii="Arabic Transparent" w:hAnsi="Arabic Transparent" w:cs="Arabic Transparent" w:hint="cs"/>
          <w:b/>
          <w:bCs/>
          <w:sz w:val="24"/>
          <w:szCs w:val="24"/>
          <w:rtl/>
          <w:lang w:bidi="ar-JO"/>
        </w:rPr>
        <w:t>المسند الصحيح المختصر من السنن بنقل العدل عن العدل إلى رسول الله ﷺ</w:t>
      </w:r>
      <w:r w:rsidR="00F85250" w:rsidRPr="002273BC">
        <w:rPr>
          <w:rFonts w:ascii="Arabic Transparent" w:hAnsi="Arabic Transparent" w:cs="Arabic Transparent" w:hint="cs"/>
          <w:sz w:val="24"/>
          <w:szCs w:val="24"/>
          <w:rtl/>
          <w:lang w:bidi="ar-JO"/>
        </w:rPr>
        <w:t xml:space="preserve"> (المشهور بصحيح مسلم) (تحقيق محمد فؤاد عبد الباقي)، ط1، كتاب المساقاة، باب الصرف وبيع الذهب بالوزن نقداً، رقم 1587، ج3، ص1210. مطبعة عيسى البابي الحلبي وشركاه، القاهرة.</w:t>
      </w:r>
      <w:r w:rsidRPr="002273BC">
        <w:rPr>
          <w:rFonts w:ascii="Arabic Transparent" w:hAnsi="Arabic Transparent" w:cs="Arabic Transparent" w:hint="cs"/>
          <w:sz w:val="24"/>
          <w:szCs w:val="24"/>
          <w:rtl/>
          <w:lang w:bidi="ar-JO"/>
        </w:rPr>
        <w:t xml:space="preserve"> </w:t>
      </w:r>
    </w:p>
  </w:footnote>
  <w:footnote w:id="57">
    <w:p w14:paraId="343134CC" w14:textId="77777777" w:rsidR="00C15328" w:rsidRPr="002273BC" w:rsidRDefault="00C15328"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الزركشي، محمد بن عبد الله، (1998)، </w:t>
      </w:r>
      <w:r w:rsidRPr="002273BC">
        <w:rPr>
          <w:rFonts w:ascii="Arabic Transparent" w:hAnsi="Arabic Transparent" w:cs="Arabic Transparent" w:hint="cs"/>
          <w:b/>
          <w:bCs/>
          <w:sz w:val="24"/>
          <w:szCs w:val="24"/>
          <w:rtl/>
          <w:lang w:bidi="ar-JO"/>
        </w:rPr>
        <w:t>تشنيف المسامع بجمع الجوامع</w:t>
      </w:r>
      <w:r w:rsidRPr="002273BC">
        <w:rPr>
          <w:rFonts w:ascii="Arabic Transparent" w:hAnsi="Arabic Transparent" w:cs="Arabic Transparent" w:hint="cs"/>
          <w:sz w:val="24"/>
          <w:szCs w:val="24"/>
          <w:rtl/>
          <w:lang w:bidi="ar-JO"/>
        </w:rPr>
        <w:t xml:space="preserve"> (تحقيق سيد عبد العزيز وعبد الله ربيع) ط1، ج3، ص283، مكتبة قرطبة للبحث العلمي وإحياء التراث - توزيع المكتبة المكية.</w:t>
      </w:r>
    </w:p>
  </w:footnote>
  <w:footnote w:id="58">
    <w:p w14:paraId="0B2EF7C7" w14:textId="0B8892E5" w:rsidR="004A3535" w:rsidRPr="002273BC" w:rsidRDefault="004A353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w:t>
      </w:r>
      <w:r w:rsidR="00252A37" w:rsidRPr="002273BC">
        <w:rPr>
          <w:rFonts w:ascii="Arabic Transparent" w:hAnsi="Arabic Transparent" w:cs="Arabic Transparent" w:hint="cs"/>
          <w:sz w:val="24"/>
          <w:szCs w:val="24"/>
          <w:rtl/>
          <w:lang w:bidi="ar-JO"/>
        </w:rPr>
        <w:t xml:space="preserve">الغزالي، </w:t>
      </w:r>
      <w:r w:rsidR="00252A37" w:rsidRPr="002273BC">
        <w:rPr>
          <w:rFonts w:ascii="Arabic Transparent" w:hAnsi="Arabic Transparent" w:cs="Arabic Transparent" w:hint="cs"/>
          <w:b/>
          <w:bCs/>
          <w:sz w:val="24"/>
          <w:szCs w:val="24"/>
          <w:rtl/>
          <w:lang w:bidi="ar-JO"/>
        </w:rPr>
        <w:t>المستصفى</w:t>
      </w:r>
      <w:r w:rsidR="00252A37" w:rsidRPr="002273BC">
        <w:rPr>
          <w:rFonts w:ascii="Arabic Transparent" w:hAnsi="Arabic Transparent" w:cs="Arabic Transparent" w:hint="cs"/>
          <w:sz w:val="24"/>
          <w:szCs w:val="24"/>
          <w:rtl/>
          <w:lang w:bidi="ar-JO"/>
        </w:rPr>
        <w:t xml:space="preserve">، </w:t>
      </w:r>
      <w:r w:rsidR="0022066B" w:rsidRPr="002273BC">
        <w:rPr>
          <w:rFonts w:ascii="Arabic Transparent" w:hAnsi="Arabic Transparent" w:cs="Arabic Transparent" w:hint="cs"/>
          <w:sz w:val="24"/>
          <w:szCs w:val="24"/>
          <w:rtl/>
          <w:lang w:bidi="ar-JO"/>
        </w:rPr>
        <w:t xml:space="preserve">مصدر سابق، </w:t>
      </w:r>
      <w:r w:rsidR="00252A37" w:rsidRPr="002273BC">
        <w:rPr>
          <w:rFonts w:ascii="Arabic Transparent" w:hAnsi="Arabic Transparent" w:cs="Arabic Transparent" w:hint="cs"/>
          <w:sz w:val="24"/>
          <w:szCs w:val="24"/>
          <w:rtl/>
          <w:lang w:bidi="ar-JO"/>
        </w:rPr>
        <w:t xml:space="preserve">ص281-282، والعكبري، الحسن بن شهاب، (1992)، </w:t>
      </w:r>
      <w:r w:rsidR="00252A37" w:rsidRPr="002273BC">
        <w:rPr>
          <w:rFonts w:ascii="Arabic Transparent" w:hAnsi="Arabic Transparent" w:cs="Arabic Transparent" w:hint="cs"/>
          <w:b/>
          <w:bCs/>
          <w:sz w:val="24"/>
          <w:szCs w:val="24"/>
          <w:rtl/>
          <w:lang w:bidi="ar-JO"/>
        </w:rPr>
        <w:t>رسالة في أصول الفقه</w:t>
      </w:r>
      <w:r w:rsidR="00252A37" w:rsidRPr="002273BC">
        <w:rPr>
          <w:rFonts w:ascii="Arabic Transparent" w:hAnsi="Arabic Transparent" w:cs="Arabic Transparent" w:hint="cs"/>
          <w:sz w:val="24"/>
          <w:szCs w:val="24"/>
          <w:rtl/>
          <w:lang w:bidi="ar-JO"/>
        </w:rPr>
        <w:t xml:space="preserve"> (تحقيق موفق بن عبد الله بن عبد القادر) ط1، ص49، المكتبة المكية - مكة المكرمة. </w:t>
      </w:r>
      <w:r w:rsidR="0022066B" w:rsidRPr="002273BC">
        <w:rPr>
          <w:rFonts w:ascii="Arabic Transparent" w:hAnsi="Arabic Transparent" w:cs="Arabic Transparent" w:hint="cs"/>
          <w:sz w:val="24"/>
          <w:szCs w:val="24"/>
          <w:rtl/>
          <w:lang w:bidi="ar-JO"/>
        </w:rPr>
        <w:t>و</w:t>
      </w:r>
      <w:r w:rsidR="00252A37" w:rsidRPr="002273BC">
        <w:rPr>
          <w:rFonts w:ascii="Arabic Transparent" w:hAnsi="Arabic Transparent" w:cs="Arabic Transparent" w:hint="cs"/>
          <w:sz w:val="24"/>
          <w:szCs w:val="24"/>
          <w:rtl/>
          <w:lang w:bidi="ar-JO"/>
        </w:rPr>
        <w:t>ابن قدامة،</w:t>
      </w:r>
      <w:r w:rsidR="00AB0CAA">
        <w:rPr>
          <w:rFonts w:ascii="Arabic Transparent" w:hAnsi="Arabic Transparent" w:cs="Arabic Transparent" w:hint="cs"/>
          <w:sz w:val="24"/>
          <w:szCs w:val="24"/>
          <w:rtl/>
          <w:lang w:bidi="ar-JO"/>
        </w:rPr>
        <w:t xml:space="preserve"> </w:t>
      </w:r>
      <w:r w:rsidR="00252A37" w:rsidRPr="002273BC">
        <w:rPr>
          <w:rFonts w:ascii="Arabic Transparent" w:hAnsi="Arabic Transparent" w:cs="Arabic Transparent" w:hint="cs"/>
          <w:b/>
          <w:bCs/>
          <w:sz w:val="24"/>
          <w:szCs w:val="24"/>
          <w:rtl/>
          <w:lang w:bidi="ar-JO"/>
        </w:rPr>
        <w:t>روضة الناظر وجنة</w:t>
      </w:r>
      <w:r w:rsidR="0022066B" w:rsidRPr="002273BC">
        <w:rPr>
          <w:rFonts w:ascii="Arabic Transparent" w:hAnsi="Arabic Transparent" w:cs="Arabic Transparent" w:hint="cs"/>
          <w:b/>
          <w:bCs/>
          <w:sz w:val="24"/>
          <w:szCs w:val="24"/>
          <w:rtl/>
          <w:lang w:bidi="ar-JO"/>
        </w:rPr>
        <w:t xml:space="preserve">، مصدر سابق، </w:t>
      </w:r>
      <w:r w:rsidR="00252A37" w:rsidRPr="002273BC">
        <w:rPr>
          <w:rFonts w:ascii="Arabic Transparent" w:hAnsi="Arabic Transparent" w:cs="Arabic Transparent" w:hint="cs"/>
          <w:sz w:val="24"/>
          <w:szCs w:val="24"/>
          <w:rtl/>
          <w:lang w:bidi="ar-JO"/>
        </w:rPr>
        <w:t xml:space="preserve">ج2، ص145، </w:t>
      </w:r>
      <w:r w:rsidR="0022066B" w:rsidRPr="002273BC">
        <w:rPr>
          <w:rFonts w:ascii="Arabic Transparent" w:hAnsi="Arabic Transparent" w:cs="Arabic Transparent" w:hint="cs"/>
          <w:sz w:val="24"/>
          <w:szCs w:val="24"/>
          <w:rtl/>
          <w:lang w:bidi="ar-JO"/>
        </w:rPr>
        <w:t>و</w:t>
      </w:r>
      <w:r w:rsidR="00252A37" w:rsidRPr="002273BC">
        <w:rPr>
          <w:rFonts w:ascii="Arabic Transparent" w:hAnsi="Arabic Transparent" w:cs="Arabic Transparent" w:hint="cs"/>
          <w:sz w:val="24"/>
          <w:szCs w:val="24"/>
          <w:rtl/>
          <w:lang w:bidi="ar-JO"/>
        </w:rPr>
        <w:t xml:space="preserve">الآمدي، علي بن محمد، (1402)، </w:t>
      </w:r>
      <w:r w:rsidR="00252A37" w:rsidRPr="002273BC">
        <w:rPr>
          <w:rFonts w:ascii="Arabic Transparent" w:hAnsi="Arabic Transparent" w:cs="Arabic Transparent" w:hint="cs"/>
          <w:b/>
          <w:bCs/>
          <w:sz w:val="24"/>
          <w:szCs w:val="24"/>
          <w:rtl/>
          <w:lang w:bidi="ar-JO"/>
        </w:rPr>
        <w:t>الإحكام في أصول الأحكام</w:t>
      </w:r>
      <w:r w:rsidR="00252A37" w:rsidRPr="002273BC">
        <w:rPr>
          <w:rFonts w:ascii="Arabic Transparent" w:hAnsi="Arabic Transparent" w:cs="Arabic Transparent" w:hint="cs"/>
          <w:sz w:val="24"/>
          <w:szCs w:val="24"/>
          <w:rtl/>
          <w:lang w:bidi="ar-JO"/>
        </w:rPr>
        <w:t xml:space="preserve"> (تعليق عبد الرزاق عفيفي، وتصحيح عبد الله بن غديان وعلي الحمد الصالحي) ط2، ج3، ص303، المكتب الإسلامي - بيروت، دمشق، </w:t>
      </w:r>
      <w:r w:rsidR="0022066B" w:rsidRPr="002273BC">
        <w:rPr>
          <w:rFonts w:ascii="Arabic Transparent" w:hAnsi="Arabic Transparent" w:cs="Arabic Transparent" w:hint="cs"/>
          <w:sz w:val="24"/>
          <w:szCs w:val="24"/>
          <w:rtl/>
          <w:lang w:bidi="ar-JO"/>
        </w:rPr>
        <w:t>و</w:t>
      </w:r>
      <w:r w:rsidR="00252A37" w:rsidRPr="002273BC">
        <w:rPr>
          <w:rFonts w:ascii="Arabic Transparent" w:hAnsi="Arabic Transparent" w:cs="Arabic Transparent" w:hint="cs"/>
          <w:sz w:val="24"/>
          <w:szCs w:val="24"/>
          <w:rtl/>
          <w:lang w:bidi="ar-JO"/>
        </w:rPr>
        <w:t xml:space="preserve">الطوفي، </w:t>
      </w:r>
      <w:r w:rsidR="00252A37" w:rsidRPr="002273BC">
        <w:rPr>
          <w:rFonts w:ascii="Arabic Transparent" w:hAnsi="Arabic Transparent" w:cs="Arabic Transparent" w:hint="cs"/>
          <w:b/>
          <w:bCs/>
          <w:sz w:val="24"/>
          <w:szCs w:val="24"/>
          <w:rtl/>
          <w:lang w:bidi="ar-JO"/>
        </w:rPr>
        <w:t>شرح مختصر الروضة</w:t>
      </w:r>
      <w:r w:rsidR="00252A37" w:rsidRPr="002273BC">
        <w:rPr>
          <w:rFonts w:ascii="Arabic Transparent" w:hAnsi="Arabic Transparent" w:cs="Arabic Transparent" w:hint="cs"/>
          <w:sz w:val="24"/>
          <w:szCs w:val="24"/>
          <w:rtl/>
          <w:lang w:bidi="ar-JO"/>
        </w:rPr>
        <w:t>،</w:t>
      </w:r>
      <w:r w:rsidR="0022066B" w:rsidRPr="002273BC">
        <w:rPr>
          <w:rFonts w:ascii="Arabic Transparent" w:hAnsi="Arabic Transparent" w:cs="Arabic Transparent" w:hint="cs"/>
          <w:sz w:val="24"/>
          <w:szCs w:val="24"/>
          <w:rtl/>
          <w:lang w:bidi="ar-JO"/>
        </w:rPr>
        <w:t xml:space="preserve"> مصدر سابق،</w:t>
      </w:r>
      <w:r w:rsidR="00252A37" w:rsidRPr="002273BC">
        <w:rPr>
          <w:rFonts w:ascii="Arabic Transparent" w:hAnsi="Arabic Transparent" w:cs="Arabic Transparent" w:hint="cs"/>
          <w:sz w:val="24"/>
          <w:szCs w:val="24"/>
          <w:rtl/>
          <w:lang w:bidi="ar-JO"/>
        </w:rPr>
        <w:t xml:space="preserve"> ج3، ص241.</w:t>
      </w:r>
    </w:p>
  </w:footnote>
  <w:footnote w:id="59">
    <w:p w14:paraId="23E4500E" w14:textId="45C27F02" w:rsidR="00977C91" w:rsidRPr="002273BC" w:rsidRDefault="00977C91"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الشاطبي، </w:t>
      </w:r>
      <w:r w:rsidRPr="002273BC">
        <w:rPr>
          <w:rFonts w:ascii="Arabic Transparent" w:hAnsi="Arabic Transparent" w:cs="Arabic Transparent" w:hint="cs"/>
          <w:b/>
          <w:bCs/>
          <w:sz w:val="24"/>
          <w:szCs w:val="24"/>
          <w:rtl/>
          <w:lang w:bidi="ar-JO"/>
        </w:rPr>
        <w:t>الموافقات،</w:t>
      </w:r>
      <w:r w:rsidR="0022066B" w:rsidRPr="002273BC">
        <w:rPr>
          <w:rFonts w:ascii="Arabic Transparent" w:hAnsi="Arabic Transparent" w:cs="Arabic Transparent" w:hint="cs"/>
          <w:sz w:val="24"/>
          <w:szCs w:val="24"/>
          <w:rtl/>
          <w:lang w:bidi="ar-JO"/>
        </w:rPr>
        <w:t xml:space="preserve"> مصدر سابق،</w:t>
      </w:r>
      <w:r w:rsidRPr="002273BC">
        <w:rPr>
          <w:rFonts w:ascii="Arabic Transparent" w:hAnsi="Arabic Transparent" w:cs="Arabic Transparent" w:hint="cs"/>
          <w:sz w:val="24"/>
          <w:szCs w:val="24"/>
          <w:rtl/>
          <w:lang w:bidi="ar-JO"/>
        </w:rPr>
        <w:t xml:space="preserve"> ج5، ص19-20.</w:t>
      </w:r>
    </w:p>
  </w:footnote>
  <w:footnote w:id="60">
    <w:p w14:paraId="17E5B988" w14:textId="77777777" w:rsidR="00C15328" w:rsidRPr="002273BC" w:rsidRDefault="00C15328"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الرازي، ا</w:t>
      </w:r>
      <w:r w:rsidRPr="002273BC">
        <w:rPr>
          <w:rFonts w:ascii="Arabic Transparent" w:hAnsi="Arabic Transparent" w:cs="Arabic Transparent" w:hint="cs"/>
          <w:b/>
          <w:bCs/>
          <w:sz w:val="24"/>
          <w:szCs w:val="24"/>
          <w:rtl/>
          <w:lang w:bidi="ar-JO"/>
        </w:rPr>
        <w:t>لمحصول</w:t>
      </w:r>
      <w:r w:rsidRPr="002273BC">
        <w:rPr>
          <w:rFonts w:ascii="Arabic Transparent" w:hAnsi="Arabic Transparent" w:cs="Arabic Transparent" w:hint="cs"/>
          <w:sz w:val="24"/>
          <w:szCs w:val="24"/>
          <w:rtl/>
          <w:lang w:bidi="ar-JO"/>
        </w:rPr>
        <w:t xml:space="preserve">، مصدر سابق، ج5، ص229، والشوكاني، </w:t>
      </w:r>
      <w:r w:rsidRPr="002273BC">
        <w:rPr>
          <w:rFonts w:ascii="Arabic Transparent" w:hAnsi="Arabic Transparent" w:cs="Arabic Transparent" w:hint="cs"/>
          <w:b/>
          <w:bCs/>
          <w:sz w:val="24"/>
          <w:szCs w:val="24"/>
          <w:rtl/>
          <w:lang w:bidi="ar-JO"/>
        </w:rPr>
        <w:t>إرشاد الفحول</w:t>
      </w:r>
      <w:r w:rsidRPr="002273BC">
        <w:rPr>
          <w:rFonts w:ascii="Arabic Transparent" w:hAnsi="Arabic Transparent" w:cs="Arabic Transparent" w:hint="cs"/>
          <w:sz w:val="24"/>
          <w:szCs w:val="24"/>
          <w:rtl/>
          <w:lang w:bidi="ar-JO"/>
        </w:rPr>
        <w:t xml:space="preserve">، مصدر سابق، ص375. </w:t>
      </w:r>
    </w:p>
  </w:footnote>
  <w:footnote w:id="61">
    <w:p w14:paraId="02A462DE" w14:textId="5702B45B" w:rsidR="00EC34C2" w:rsidRPr="002273BC" w:rsidRDefault="00EC34C2"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انظر: </w:t>
      </w:r>
      <w:r w:rsidRPr="002273BC">
        <w:rPr>
          <w:rFonts w:ascii="Arabic Transparent" w:hAnsi="Arabic Transparent" w:cs="Arabic Transparent" w:hint="cs"/>
          <w:sz w:val="24"/>
          <w:szCs w:val="24"/>
          <w:rtl/>
          <w:lang w:bidi="ar-JO"/>
        </w:rPr>
        <w:t xml:space="preserve">الزبيدي، </w:t>
      </w:r>
      <w:r w:rsidRPr="002273BC">
        <w:rPr>
          <w:rFonts w:ascii="Arabic Transparent" w:hAnsi="Arabic Transparent" w:cs="Arabic Transparent" w:hint="cs"/>
          <w:b/>
          <w:bCs/>
          <w:sz w:val="24"/>
          <w:szCs w:val="24"/>
          <w:rtl/>
          <w:lang w:bidi="ar-JO"/>
        </w:rPr>
        <w:t>الاجتهاد في مناط الحكم الشرعي دراسة تأصيلية تطبيقية،</w:t>
      </w:r>
      <w:r w:rsidRPr="002273BC">
        <w:rPr>
          <w:rFonts w:ascii="Arabic Transparent" w:hAnsi="Arabic Transparent" w:cs="Arabic Transparent" w:hint="cs"/>
          <w:sz w:val="24"/>
          <w:szCs w:val="24"/>
          <w:rtl/>
          <w:lang w:bidi="ar-JO"/>
        </w:rPr>
        <w:t xml:space="preserve"> مصدر سابق، ص243.</w:t>
      </w:r>
    </w:p>
  </w:footnote>
  <w:footnote w:id="62">
    <w:p w14:paraId="13F43A3F" w14:textId="68A836DD" w:rsidR="00641113" w:rsidRPr="002273BC" w:rsidRDefault="00641113"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w:t>
      </w:r>
      <w:r w:rsidR="00AE7032" w:rsidRPr="002273BC">
        <w:rPr>
          <w:rFonts w:ascii="Arabic Transparent" w:hAnsi="Arabic Transparent" w:cs="Arabic Transparent" w:hint="cs"/>
          <w:sz w:val="24"/>
          <w:szCs w:val="24"/>
          <w:rtl/>
          <w:lang w:bidi="ar-JO"/>
        </w:rPr>
        <w:t xml:space="preserve">أخرجه البخاري في صحيحه، محمد بن إسماعيل، (1978) </w:t>
      </w:r>
      <w:r w:rsidR="00AE7032" w:rsidRPr="002273BC">
        <w:rPr>
          <w:rFonts w:ascii="Arabic Transparent" w:hAnsi="Arabic Transparent" w:cs="Arabic Transparent" w:hint="cs"/>
          <w:b/>
          <w:bCs/>
          <w:sz w:val="24"/>
          <w:szCs w:val="24"/>
          <w:rtl/>
          <w:lang w:bidi="ar-JO"/>
        </w:rPr>
        <w:t>الجامعُ المُسندُ الصَّحيحُ المُختصَرُ من أُمورِ رسولِ الله ﷺ وسُنَنِهِ وأيّامِهِ</w:t>
      </w:r>
      <w:r w:rsidR="00AE7032" w:rsidRPr="002273BC">
        <w:rPr>
          <w:rFonts w:ascii="Arabic Transparent" w:hAnsi="Arabic Transparent" w:cs="Arabic Transparent" w:hint="cs"/>
          <w:sz w:val="24"/>
          <w:szCs w:val="24"/>
          <w:rtl/>
          <w:lang w:bidi="ar-JO"/>
        </w:rPr>
        <w:t>، (تحقيق الدكتور مصطفى البغا) ط3، كتاب النفقات، باب نفقة المعسر على أهله: (</w:t>
      </w:r>
      <w:r w:rsidR="00F85250" w:rsidRPr="002273BC">
        <w:rPr>
          <w:rFonts w:ascii="Arabic Transparent" w:hAnsi="Arabic Transparent" w:cs="Arabic Transparent" w:hint="cs"/>
          <w:sz w:val="24"/>
          <w:szCs w:val="24"/>
          <w:rtl/>
          <w:lang w:bidi="ar-JO"/>
        </w:rPr>
        <w:t>ج</w:t>
      </w:r>
      <w:r w:rsidR="00AE7032" w:rsidRPr="002273BC">
        <w:rPr>
          <w:rFonts w:ascii="Arabic Transparent" w:hAnsi="Arabic Transparent" w:cs="Arabic Transparent" w:hint="cs"/>
          <w:sz w:val="24"/>
          <w:szCs w:val="24"/>
          <w:rtl/>
          <w:lang w:bidi="ar-JO"/>
        </w:rPr>
        <w:t xml:space="preserve">6/ </w:t>
      </w:r>
      <w:r w:rsidR="00F85250" w:rsidRPr="002273BC">
        <w:rPr>
          <w:rFonts w:ascii="Arabic Transparent" w:hAnsi="Arabic Transparent" w:cs="Arabic Transparent" w:hint="cs"/>
          <w:sz w:val="24"/>
          <w:szCs w:val="24"/>
          <w:rtl/>
          <w:lang w:bidi="ar-JO"/>
        </w:rPr>
        <w:t>ص</w:t>
      </w:r>
      <w:r w:rsidR="00AE7032" w:rsidRPr="002273BC">
        <w:rPr>
          <w:rFonts w:ascii="Arabic Transparent" w:hAnsi="Arabic Transparent" w:cs="Arabic Transparent" w:hint="cs"/>
          <w:sz w:val="24"/>
          <w:szCs w:val="24"/>
          <w:rtl/>
          <w:lang w:bidi="ar-JO"/>
        </w:rPr>
        <w:t xml:space="preserve">238/ </w:t>
      </w:r>
      <w:r w:rsidR="00F85250" w:rsidRPr="002273BC">
        <w:rPr>
          <w:rFonts w:ascii="Arabic Transparent" w:hAnsi="Arabic Transparent" w:cs="Arabic Transparent" w:hint="cs"/>
          <w:sz w:val="24"/>
          <w:szCs w:val="24"/>
          <w:rtl/>
          <w:lang w:bidi="ar-JO"/>
        </w:rPr>
        <w:t>ر</w:t>
      </w:r>
      <w:r w:rsidR="00AE7032" w:rsidRPr="002273BC">
        <w:rPr>
          <w:rFonts w:ascii="Arabic Transparent" w:hAnsi="Arabic Transparent" w:cs="Arabic Transparent" w:hint="cs"/>
          <w:sz w:val="24"/>
          <w:szCs w:val="24"/>
          <w:rtl/>
          <w:lang w:bidi="ar-JO"/>
        </w:rPr>
        <w:t>5368)</w:t>
      </w:r>
      <w:r w:rsidR="000F026C" w:rsidRPr="002273BC">
        <w:rPr>
          <w:rFonts w:ascii="Arabic Transparent" w:hAnsi="Arabic Transparent" w:cs="Arabic Transparent" w:hint="cs"/>
          <w:sz w:val="24"/>
          <w:szCs w:val="24"/>
          <w:rtl/>
          <w:lang w:bidi="ar-JO"/>
        </w:rPr>
        <w:t xml:space="preserve">، </w:t>
      </w:r>
      <w:r w:rsidR="00AE7032" w:rsidRPr="002273BC">
        <w:rPr>
          <w:rFonts w:ascii="Arabic Transparent" w:hAnsi="Arabic Transparent" w:cs="Arabic Transparent" w:hint="cs"/>
          <w:sz w:val="24"/>
          <w:szCs w:val="24"/>
          <w:rtl/>
          <w:lang w:bidi="ar-JO"/>
        </w:rPr>
        <w:t>دار ابن كثير -دمشق</w:t>
      </w:r>
      <w:r w:rsidR="004933D5">
        <w:rPr>
          <w:rFonts w:ascii="Arabic Transparent" w:hAnsi="Arabic Transparent" w:cs="Arabic Transparent" w:hint="cs"/>
          <w:sz w:val="24"/>
          <w:szCs w:val="24"/>
          <w:rtl/>
          <w:lang w:bidi="ar-JO"/>
        </w:rPr>
        <w:t>،</w:t>
      </w:r>
      <w:r w:rsidR="00AE7032" w:rsidRPr="002273BC">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sz w:val="24"/>
          <w:szCs w:val="24"/>
          <w:rtl/>
          <w:lang w:bidi="ar-JO"/>
        </w:rPr>
        <w:t>و</w:t>
      </w:r>
      <w:r w:rsidR="001A4249" w:rsidRPr="002273BC">
        <w:rPr>
          <w:rFonts w:ascii="Arabic Transparent" w:hAnsi="Arabic Transparent" w:cs="Arabic Transparent" w:hint="cs"/>
          <w:sz w:val="24"/>
          <w:szCs w:val="24"/>
          <w:rtl/>
          <w:lang w:bidi="ar-JO"/>
        </w:rPr>
        <w:t xml:space="preserve">أخرجه </w:t>
      </w:r>
      <w:r w:rsidRPr="002273BC">
        <w:rPr>
          <w:rFonts w:ascii="Arabic Transparent" w:hAnsi="Arabic Transparent" w:cs="Arabic Transparent" w:hint="cs"/>
          <w:sz w:val="24"/>
          <w:szCs w:val="24"/>
          <w:rtl/>
          <w:lang w:bidi="ar-JO"/>
        </w:rPr>
        <w:t>مسلم في صحيحه</w:t>
      </w:r>
      <w:r w:rsidR="001A4249" w:rsidRPr="002273BC">
        <w:rPr>
          <w:rFonts w:ascii="Arabic Transparent" w:hAnsi="Arabic Transparent" w:cs="Arabic Transparent" w:hint="cs"/>
          <w:sz w:val="24"/>
          <w:szCs w:val="24"/>
          <w:rtl/>
          <w:lang w:bidi="ar-JO"/>
        </w:rPr>
        <w:t>،</w:t>
      </w:r>
      <w:r w:rsidR="004933D5">
        <w:rPr>
          <w:rFonts w:ascii="Arabic Transparent" w:hAnsi="Arabic Transparent" w:cs="Arabic Transparent" w:hint="cs"/>
          <w:sz w:val="24"/>
          <w:szCs w:val="24"/>
          <w:rtl/>
          <w:lang w:bidi="ar-JO"/>
        </w:rPr>
        <w:t xml:space="preserve"> </w:t>
      </w:r>
      <w:r w:rsidR="004933D5" w:rsidRPr="004933D5">
        <w:rPr>
          <w:rFonts w:ascii="Arabic Transparent" w:hAnsi="Arabic Transparent" w:cs="Arabic Transparent" w:hint="cs"/>
          <w:b/>
          <w:bCs/>
          <w:sz w:val="24"/>
          <w:szCs w:val="24"/>
          <w:rtl/>
          <w:lang w:bidi="ar-JO"/>
        </w:rPr>
        <w:t>صحيح مسلم</w:t>
      </w:r>
      <w:r w:rsidR="004933D5">
        <w:rPr>
          <w:rFonts w:ascii="Arabic Transparent" w:hAnsi="Arabic Transparent" w:cs="Arabic Transparent" w:hint="cs"/>
          <w:sz w:val="24"/>
          <w:szCs w:val="24"/>
          <w:rtl/>
          <w:lang w:bidi="ar-JO"/>
        </w:rPr>
        <w:t>،</w:t>
      </w:r>
      <w:r w:rsidR="0022066B" w:rsidRPr="002273BC">
        <w:rPr>
          <w:rFonts w:ascii="Arabic Transparent" w:hAnsi="Arabic Transparent" w:cs="Arabic Transparent" w:hint="cs"/>
          <w:sz w:val="24"/>
          <w:szCs w:val="24"/>
          <w:rtl/>
          <w:lang w:bidi="ar-JO"/>
        </w:rPr>
        <w:t xml:space="preserve"> مصدر سابق، </w:t>
      </w:r>
      <w:r w:rsidRPr="002273BC">
        <w:rPr>
          <w:rFonts w:ascii="Arabic Transparent" w:hAnsi="Arabic Transparent" w:cs="Arabic Transparent" w:hint="cs"/>
          <w:sz w:val="24"/>
          <w:szCs w:val="24"/>
          <w:rtl/>
          <w:lang w:bidi="ar-JO"/>
        </w:rPr>
        <w:t xml:space="preserve"> كتاب الصيام</w:t>
      </w:r>
      <w:r w:rsidR="001A4249" w:rsidRPr="002273BC">
        <w:rPr>
          <w:rFonts w:ascii="Arabic Transparent" w:hAnsi="Arabic Transparent" w:cs="Arabic Transparent" w:hint="cs"/>
          <w:sz w:val="24"/>
          <w:szCs w:val="24"/>
          <w:rtl/>
          <w:lang w:bidi="ar-JO"/>
        </w:rPr>
        <w:t>،</w:t>
      </w:r>
      <w:r w:rsidRPr="002273BC">
        <w:rPr>
          <w:rFonts w:ascii="Arabic Transparent" w:hAnsi="Arabic Transparent" w:cs="Arabic Transparent" w:hint="cs"/>
          <w:sz w:val="24"/>
          <w:szCs w:val="24"/>
          <w:rtl/>
          <w:lang w:bidi="ar-JO"/>
        </w:rPr>
        <w:t xml:space="preserve"> باب تغليظ تحريم الجماع في نهار رمضان على الصائم، ووجوب الكفارة الكبرى فيه وبيانها، وأنها تجب على الموسِر والمعسِر، وتثبت في ذمة المعسِر حتى يستطيع (</w:t>
      </w:r>
      <w:r w:rsidR="00F85250" w:rsidRPr="002273BC">
        <w:rPr>
          <w:rFonts w:ascii="Arabic Transparent" w:hAnsi="Arabic Transparent" w:cs="Arabic Transparent" w:hint="cs"/>
          <w:sz w:val="24"/>
          <w:szCs w:val="24"/>
          <w:rtl/>
          <w:lang w:bidi="ar-JO"/>
        </w:rPr>
        <w:t>ج</w:t>
      </w:r>
      <w:r w:rsidRPr="002273BC">
        <w:rPr>
          <w:rFonts w:ascii="Arabic Transparent" w:hAnsi="Arabic Transparent" w:cs="Arabic Transparent" w:hint="cs"/>
          <w:sz w:val="24"/>
          <w:szCs w:val="24"/>
          <w:rtl/>
          <w:lang w:bidi="ar-JO"/>
        </w:rPr>
        <w:t xml:space="preserve">7/ </w:t>
      </w:r>
      <w:r w:rsidR="00F85250" w:rsidRPr="002273BC">
        <w:rPr>
          <w:rFonts w:ascii="Arabic Transparent" w:hAnsi="Arabic Transparent" w:cs="Arabic Transparent" w:hint="cs"/>
          <w:sz w:val="24"/>
          <w:szCs w:val="24"/>
          <w:rtl/>
          <w:lang w:bidi="ar-JO"/>
        </w:rPr>
        <w:t>ص</w:t>
      </w:r>
      <w:r w:rsidRPr="002273BC">
        <w:rPr>
          <w:rFonts w:ascii="Arabic Transparent" w:hAnsi="Arabic Transparent" w:cs="Arabic Transparent" w:hint="cs"/>
          <w:sz w:val="24"/>
          <w:szCs w:val="24"/>
          <w:rtl/>
          <w:lang w:bidi="ar-JO"/>
        </w:rPr>
        <w:t xml:space="preserve">194/ </w:t>
      </w:r>
      <w:r w:rsidR="00F85250" w:rsidRPr="002273BC">
        <w:rPr>
          <w:rFonts w:ascii="Arabic Transparent" w:hAnsi="Arabic Transparent" w:cs="Arabic Transparent" w:hint="cs"/>
          <w:sz w:val="24"/>
          <w:szCs w:val="24"/>
          <w:rtl/>
          <w:lang w:bidi="ar-JO"/>
        </w:rPr>
        <w:t>ر</w:t>
      </w:r>
      <w:r w:rsidRPr="002273BC">
        <w:rPr>
          <w:rFonts w:ascii="Arabic Transparent" w:hAnsi="Arabic Transparent" w:cs="Arabic Transparent" w:hint="cs"/>
          <w:sz w:val="24"/>
          <w:szCs w:val="24"/>
          <w:rtl/>
          <w:lang w:bidi="ar-JO"/>
        </w:rPr>
        <w:t>1111)</w:t>
      </w:r>
      <w:r w:rsidR="001A4249" w:rsidRPr="002273BC">
        <w:rPr>
          <w:rFonts w:ascii="Arabic Transparent" w:hAnsi="Arabic Transparent" w:cs="Arabic Transparent" w:hint="cs"/>
          <w:sz w:val="24"/>
          <w:szCs w:val="24"/>
          <w:rtl/>
          <w:lang w:bidi="ar-JO"/>
        </w:rPr>
        <w:t>.</w:t>
      </w:r>
    </w:p>
  </w:footnote>
  <w:footnote w:id="63">
    <w:p w14:paraId="1B6B50D1" w14:textId="552BC911" w:rsidR="0083782B" w:rsidRPr="002273BC" w:rsidRDefault="0083782B"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002E52E1">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sz w:val="24"/>
          <w:szCs w:val="24"/>
          <w:rtl/>
          <w:lang w:bidi="ar-JO"/>
        </w:rPr>
        <w:t>النووي، يحيى بن شرف، (</w:t>
      </w:r>
      <w:r w:rsidR="00453E5B" w:rsidRPr="002273BC">
        <w:rPr>
          <w:rFonts w:ascii="Arabic Transparent" w:hAnsi="Arabic Transparent" w:cs="Arabic Transparent" w:hint="cs"/>
          <w:sz w:val="24"/>
          <w:szCs w:val="24"/>
          <w:rtl/>
          <w:lang w:bidi="ar-JO"/>
        </w:rPr>
        <w:t>1972</w:t>
      </w:r>
      <w:r w:rsidRPr="002273BC">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b/>
          <w:bCs/>
          <w:sz w:val="24"/>
          <w:szCs w:val="24"/>
          <w:rtl/>
          <w:lang w:bidi="ar-JO"/>
        </w:rPr>
        <w:t>المنهاج شرح صحيح مسلم بن الحجاج</w:t>
      </w:r>
      <w:r w:rsidR="00E12D98" w:rsidRPr="002273BC">
        <w:rPr>
          <w:rFonts w:ascii="Arabic Transparent" w:hAnsi="Arabic Transparent" w:cs="Arabic Transparent" w:hint="cs"/>
          <w:b/>
          <w:bCs/>
          <w:sz w:val="24"/>
          <w:szCs w:val="24"/>
          <w:rtl/>
          <w:lang w:bidi="ar-JO"/>
        </w:rPr>
        <w:t>،</w:t>
      </w:r>
      <w:r w:rsidRPr="002273BC">
        <w:rPr>
          <w:rFonts w:ascii="Arabic Transparent" w:hAnsi="Arabic Transparent" w:cs="Arabic Transparent" w:hint="cs"/>
          <w:sz w:val="24"/>
          <w:szCs w:val="24"/>
          <w:rtl/>
          <w:lang w:bidi="ar-JO"/>
        </w:rPr>
        <w:t xml:space="preserve"> ط2، ج7، ص224-227، دار إحياء التراث العربي - بيروت.</w:t>
      </w:r>
    </w:p>
  </w:footnote>
  <w:footnote w:id="64">
    <w:p w14:paraId="6CBD11C1" w14:textId="77777777" w:rsidR="00F97E24" w:rsidRPr="002273BC" w:rsidRDefault="00F97E24"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التلمساني، محمد بن أحمد، (1998)، </w:t>
      </w:r>
      <w:r w:rsidRPr="002273BC">
        <w:rPr>
          <w:rFonts w:ascii="Arabic Transparent" w:hAnsi="Arabic Transparent" w:cs="Arabic Transparent" w:hint="cs"/>
          <w:b/>
          <w:bCs/>
          <w:sz w:val="24"/>
          <w:szCs w:val="24"/>
          <w:rtl/>
          <w:lang w:bidi="ar-JO"/>
        </w:rPr>
        <w:t>مفتاح الوصول إلى بناء الفروع على الأصول</w:t>
      </w:r>
      <w:r w:rsidRPr="002273BC">
        <w:rPr>
          <w:rFonts w:ascii="Arabic Transparent" w:hAnsi="Arabic Transparent" w:cs="Arabic Transparent" w:hint="cs"/>
          <w:sz w:val="24"/>
          <w:szCs w:val="24"/>
          <w:rtl/>
          <w:lang w:bidi="ar-JO"/>
        </w:rPr>
        <w:t xml:space="preserve"> (تحقيق محمد علي فركوس) ط1، ص652، المكتبة المكية - مكة المكرمة، مؤسسة الريان - بيروت.</w:t>
      </w:r>
    </w:p>
  </w:footnote>
  <w:footnote w:id="65">
    <w:p w14:paraId="59093AEF" w14:textId="72C3ADE7" w:rsidR="001C4267" w:rsidRPr="002273BC" w:rsidRDefault="001C4267"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انظر زيدان، </w:t>
      </w:r>
      <w:r w:rsidRPr="002273BC">
        <w:rPr>
          <w:rFonts w:ascii="Arabic Transparent" w:hAnsi="Arabic Transparent" w:cs="Arabic Transparent" w:hint="cs"/>
          <w:b/>
          <w:bCs/>
          <w:sz w:val="24"/>
          <w:szCs w:val="24"/>
          <w:rtl/>
          <w:lang w:bidi="ar-JO"/>
        </w:rPr>
        <w:t>الوجيز في أصول الفقه،</w:t>
      </w:r>
      <w:r w:rsidRPr="002273BC">
        <w:rPr>
          <w:rFonts w:ascii="Arabic Transparent" w:hAnsi="Arabic Transparent" w:cs="Arabic Transparent" w:hint="cs"/>
          <w:sz w:val="24"/>
          <w:szCs w:val="24"/>
          <w:rtl/>
          <w:lang w:bidi="ar-JO"/>
        </w:rPr>
        <w:t xml:space="preserve"> مصدر سابق، ص</w:t>
      </w:r>
      <w:r w:rsidR="0018586B" w:rsidRPr="002273BC">
        <w:rPr>
          <w:rFonts w:ascii="Arabic Transparent" w:hAnsi="Arabic Transparent" w:cs="Arabic Transparent" w:hint="cs"/>
          <w:sz w:val="24"/>
          <w:szCs w:val="24"/>
          <w:rtl/>
          <w:lang w:bidi="ar-JO"/>
        </w:rPr>
        <w:t xml:space="preserve">215. </w:t>
      </w:r>
    </w:p>
  </w:footnote>
  <w:footnote w:id="66">
    <w:p w14:paraId="2C5F01B7" w14:textId="2EC28285" w:rsidR="00F97E24" w:rsidRPr="002273BC" w:rsidRDefault="00F97E24"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002E52E1">
        <w:rPr>
          <w:rFonts w:ascii="Arabic Transparent" w:hAnsi="Arabic Transparent" w:cs="Arabic Transparent" w:hint="cs"/>
          <w:sz w:val="24"/>
          <w:szCs w:val="24"/>
          <w:rtl/>
          <w:lang w:bidi="ar-JO"/>
        </w:rPr>
        <w:t xml:space="preserve"> </w:t>
      </w:r>
      <w:r w:rsidR="009B34C8" w:rsidRPr="002273BC">
        <w:rPr>
          <w:rFonts w:ascii="Arabic Transparent" w:hAnsi="Arabic Transparent" w:cs="Arabic Transparent" w:hint="cs"/>
          <w:sz w:val="24"/>
          <w:szCs w:val="24"/>
          <w:rtl/>
          <w:lang w:bidi="ar-JO"/>
        </w:rPr>
        <w:t xml:space="preserve">الكيلاني، عبدالرحمن إبراهيم، (2004م) </w:t>
      </w:r>
      <w:r w:rsidR="009B34C8" w:rsidRPr="002273BC">
        <w:rPr>
          <w:rFonts w:ascii="Arabic Transparent" w:hAnsi="Arabic Transparent" w:cs="Arabic Transparent" w:hint="cs"/>
          <w:b/>
          <w:bCs/>
          <w:sz w:val="24"/>
          <w:szCs w:val="24"/>
          <w:rtl/>
          <w:lang w:bidi="ar-JO"/>
        </w:rPr>
        <w:t>تحقيق المناط عند الأصوليين وأثره في اختلاف الفقهاء</w:t>
      </w:r>
      <w:r w:rsidR="009B34C8" w:rsidRPr="002273BC">
        <w:rPr>
          <w:rFonts w:ascii="Arabic Transparent" w:hAnsi="Arabic Transparent" w:cs="Arabic Transparent" w:hint="cs"/>
          <w:sz w:val="24"/>
          <w:szCs w:val="24"/>
          <w:rtl/>
          <w:lang w:bidi="ar-JO"/>
        </w:rPr>
        <w:t>، مجلة الشريعة والدراسات الإسلامية, عدد 58، ص84-85، جامعة الكويت.</w:t>
      </w:r>
    </w:p>
  </w:footnote>
  <w:footnote w:id="67">
    <w:p w14:paraId="53D192D6" w14:textId="77777777" w:rsidR="00F97E24" w:rsidRPr="002273BC" w:rsidRDefault="00F97E24"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الطوفي، </w:t>
      </w:r>
      <w:r w:rsidRPr="002273BC">
        <w:rPr>
          <w:rFonts w:ascii="Arabic Transparent" w:hAnsi="Arabic Transparent" w:cs="Arabic Transparent" w:hint="cs"/>
          <w:b/>
          <w:bCs/>
          <w:sz w:val="24"/>
          <w:szCs w:val="24"/>
          <w:rtl/>
          <w:lang w:bidi="ar-JO"/>
        </w:rPr>
        <w:t>شرح مختصر الروضة</w:t>
      </w:r>
      <w:r w:rsidRPr="002273BC">
        <w:rPr>
          <w:rFonts w:ascii="Arabic Transparent" w:hAnsi="Arabic Transparent" w:cs="Arabic Transparent" w:hint="cs"/>
          <w:sz w:val="24"/>
          <w:szCs w:val="24"/>
          <w:rtl/>
          <w:lang w:bidi="ar-JO"/>
        </w:rPr>
        <w:t>، مصدر سابق، ج3، ص236.</w:t>
      </w:r>
    </w:p>
  </w:footnote>
  <w:footnote w:id="68">
    <w:p w14:paraId="07CF74E6" w14:textId="7DDA0DB4" w:rsidR="00500F03" w:rsidRPr="002273BC" w:rsidRDefault="00500F03"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00080920">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sz w:val="24"/>
          <w:szCs w:val="24"/>
          <w:rtl/>
          <w:lang w:bidi="ar-JO"/>
        </w:rPr>
        <w:t xml:space="preserve">الشاطبي، </w:t>
      </w:r>
      <w:r w:rsidRPr="002273BC">
        <w:rPr>
          <w:rFonts w:ascii="Arabic Transparent" w:hAnsi="Arabic Transparent" w:cs="Arabic Transparent" w:hint="cs"/>
          <w:b/>
          <w:bCs/>
          <w:sz w:val="24"/>
          <w:szCs w:val="24"/>
          <w:rtl/>
          <w:lang w:bidi="ar-JO"/>
        </w:rPr>
        <w:t>الموافقات،</w:t>
      </w:r>
      <w:r w:rsidRPr="002273BC">
        <w:rPr>
          <w:rFonts w:ascii="Arabic Transparent" w:hAnsi="Arabic Transparent" w:cs="Arabic Transparent" w:hint="cs"/>
          <w:sz w:val="24"/>
          <w:szCs w:val="24"/>
          <w:rtl/>
          <w:lang w:bidi="ar-JO"/>
        </w:rPr>
        <w:t xml:space="preserve"> م</w:t>
      </w:r>
      <w:r w:rsidR="00D129CA" w:rsidRPr="002273BC">
        <w:rPr>
          <w:rFonts w:ascii="Arabic Transparent" w:hAnsi="Arabic Transparent" w:cs="Arabic Transparent" w:hint="cs"/>
          <w:sz w:val="24"/>
          <w:szCs w:val="24"/>
          <w:rtl/>
          <w:lang w:bidi="ar-JO"/>
        </w:rPr>
        <w:t>صدر</w:t>
      </w:r>
      <w:r w:rsidRPr="002273BC">
        <w:rPr>
          <w:rFonts w:ascii="Arabic Transparent" w:hAnsi="Arabic Transparent" w:cs="Arabic Transparent" w:hint="cs"/>
          <w:sz w:val="24"/>
          <w:szCs w:val="24"/>
          <w:rtl/>
          <w:lang w:bidi="ar-JO"/>
        </w:rPr>
        <w:t xml:space="preserve"> سابق، ج5، ص23.</w:t>
      </w:r>
    </w:p>
  </w:footnote>
  <w:footnote w:id="69">
    <w:p w14:paraId="6B9F7667" w14:textId="0537B07F" w:rsidR="00080920" w:rsidRPr="002273BC" w:rsidRDefault="00080920" w:rsidP="00EA3738">
      <w:pPr>
        <w:pStyle w:val="FootnoteText"/>
        <w:spacing w:line="360" w:lineRule="auto"/>
        <w:jc w:val="both"/>
        <w:rPr>
          <w:rFonts w:ascii="Arabic Transparent" w:hAnsi="Arabic Transparent" w:cs="Arabic Transparent"/>
          <w:sz w:val="24"/>
          <w:szCs w:val="24"/>
          <w:rtl/>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المصدر السابق نفسه، ج5، ص2</w:t>
      </w:r>
      <w:r w:rsidR="009809F6">
        <w:rPr>
          <w:rFonts w:ascii="Arabic Transparent" w:hAnsi="Arabic Transparent" w:cs="Arabic Transparent" w:hint="cs"/>
          <w:sz w:val="24"/>
          <w:szCs w:val="24"/>
          <w:rtl/>
        </w:rPr>
        <w:t>4</w:t>
      </w:r>
      <w:r w:rsidRPr="002273BC">
        <w:rPr>
          <w:rFonts w:ascii="Arabic Transparent" w:hAnsi="Arabic Transparent" w:cs="Arabic Transparent" w:hint="cs"/>
          <w:sz w:val="24"/>
          <w:szCs w:val="24"/>
          <w:rtl/>
        </w:rPr>
        <w:t>.</w:t>
      </w:r>
    </w:p>
  </w:footnote>
  <w:footnote w:id="70">
    <w:p w14:paraId="550A7C04" w14:textId="17958C63" w:rsidR="00EA17FA" w:rsidRPr="002273BC" w:rsidRDefault="00EA17FA"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الكيلاني</w:t>
      </w:r>
      <w:r w:rsidRPr="002273BC">
        <w:rPr>
          <w:rFonts w:ascii="Arabic Transparent" w:hAnsi="Arabic Transparent" w:cs="Arabic Transparent" w:hint="cs"/>
          <w:b/>
          <w:bCs/>
          <w:sz w:val="24"/>
          <w:szCs w:val="24"/>
          <w:rtl/>
          <w:lang w:bidi="ar-JO"/>
        </w:rPr>
        <w:t>، تحقيق المناط عند الأصوليين وأثره في اختلاف الفقهاء</w:t>
      </w:r>
      <w:r w:rsidRPr="002273BC">
        <w:rPr>
          <w:rFonts w:ascii="Arabic Transparent" w:hAnsi="Arabic Transparent" w:cs="Arabic Transparent" w:hint="cs"/>
          <w:sz w:val="24"/>
          <w:szCs w:val="24"/>
          <w:rtl/>
          <w:lang w:bidi="ar-JO"/>
        </w:rPr>
        <w:t xml:space="preserve">، </w:t>
      </w:r>
      <w:r w:rsidR="009B34C8" w:rsidRPr="002273BC">
        <w:rPr>
          <w:rFonts w:ascii="Arabic Transparent" w:hAnsi="Arabic Transparent" w:cs="Arabic Transparent" w:hint="cs"/>
          <w:sz w:val="24"/>
          <w:szCs w:val="24"/>
          <w:rtl/>
          <w:lang w:bidi="ar-JO"/>
        </w:rPr>
        <w:t xml:space="preserve">مصدر سابق، </w:t>
      </w:r>
      <w:r w:rsidRPr="002273BC">
        <w:rPr>
          <w:rFonts w:ascii="Arabic Transparent" w:hAnsi="Arabic Transparent" w:cs="Arabic Transparent" w:hint="cs"/>
          <w:sz w:val="24"/>
          <w:szCs w:val="24"/>
          <w:rtl/>
          <w:lang w:bidi="ar-JO"/>
        </w:rPr>
        <w:t>ص105</w:t>
      </w:r>
      <w:r w:rsidR="009B34C8" w:rsidRPr="002273BC">
        <w:rPr>
          <w:rFonts w:ascii="Arabic Transparent" w:hAnsi="Arabic Transparent" w:cs="Arabic Transparent" w:hint="cs"/>
          <w:sz w:val="24"/>
          <w:szCs w:val="24"/>
          <w:rtl/>
          <w:lang w:bidi="ar-JO"/>
        </w:rPr>
        <w:t>.</w:t>
      </w:r>
    </w:p>
  </w:footnote>
  <w:footnote w:id="71">
    <w:p w14:paraId="109E88D0" w14:textId="24F543F4" w:rsidR="00792000" w:rsidRPr="002273BC" w:rsidRDefault="0048333A" w:rsidP="00EA3738">
      <w:pPr>
        <w:spacing w:line="360" w:lineRule="auto"/>
        <w:jc w:val="both"/>
        <w:rPr>
          <w:rFonts w:ascii="Arabic Transparent" w:hAnsi="Arabic Transparent" w:cs="Arabic Transparent"/>
          <w:sz w:val="24"/>
          <w:szCs w:val="24"/>
          <w:rtl/>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w:t>
      </w:r>
      <w:r w:rsidR="00792000" w:rsidRPr="002273BC">
        <w:rPr>
          <w:rFonts w:ascii="Arabic Transparent" w:hAnsi="Arabic Transparent" w:cs="Arabic Transparent" w:hint="cs"/>
          <w:sz w:val="24"/>
          <w:szCs w:val="24"/>
          <w:rtl/>
          <w:lang w:bidi="ar-JO"/>
        </w:rPr>
        <w:t xml:space="preserve">أخرجه </w:t>
      </w:r>
      <w:r w:rsidR="009D6561" w:rsidRPr="002273BC">
        <w:rPr>
          <w:rFonts w:ascii="Arabic Transparent" w:hAnsi="Arabic Transparent" w:cs="Arabic Transparent" w:hint="cs"/>
          <w:sz w:val="24"/>
          <w:szCs w:val="24"/>
          <w:rtl/>
          <w:lang w:bidi="ar-JO"/>
        </w:rPr>
        <w:t xml:space="preserve">أبو داود، سليمان بن الأشعث. (2009). </w:t>
      </w:r>
      <w:r w:rsidR="009D6561" w:rsidRPr="002273BC">
        <w:rPr>
          <w:rFonts w:ascii="Arabic Transparent" w:hAnsi="Arabic Transparent" w:cs="Arabic Transparent" w:hint="cs"/>
          <w:b/>
          <w:bCs/>
          <w:sz w:val="24"/>
          <w:szCs w:val="24"/>
          <w:rtl/>
          <w:lang w:bidi="ar-JO"/>
        </w:rPr>
        <w:t>سنن أبي داود</w:t>
      </w:r>
      <w:r w:rsidR="009D6561" w:rsidRPr="002273BC">
        <w:rPr>
          <w:rFonts w:ascii="Arabic Transparent" w:hAnsi="Arabic Transparent" w:cs="Arabic Transparent" w:hint="cs"/>
          <w:sz w:val="24"/>
          <w:szCs w:val="24"/>
          <w:rtl/>
          <w:lang w:bidi="ar-JO"/>
        </w:rPr>
        <w:t xml:space="preserve">. تحقيق: شعيب الأرنؤوط، محمد كامل قره بللي. </w:t>
      </w:r>
      <w:r w:rsidR="00B95ABA" w:rsidRPr="00B95ABA">
        <w:rPr>
          <w:rFonts w:ascii="Arabic Transparent" w:hAnsi="Arabic Transparent" w:cs="Arabic Transparent"/>
          <w:sz w:val="24"/>
          <w:szCs w:val="24"/>
          <w:rtl/>
          <w:lang w:bidi="ar-JO"/>
        </w:rPr>
        <w:t xml:space="preserve">، </w:t>
      </w:r>
      <w:r w:rsidR="009D6561" w:rsidRPr="002273BC">
        <w:rPr>
          <w:rFonts w:ascii="Arabic Transparent" w:hAnsi="Arabic Transparent" w:cs="Arabic Transparent" w:hint="cs"/>
          <w:sz w:val="24"/>
          <w:szCs w:val="24"/>
          <w:rtl/>
          <w:lang w:bidi="ar-JO"/>
        </w:rPr>
        <w:t xml:space="preserve">كتاب الخاتم، باب في ربط الأسنان في الذهب، </w:t>
      </w:r>
      <w:r w:rsidR="00B95ABA">
        <w:rPr>
          <w:rFonts w:ascii="Arabic Transparent" w:hAnsi="Arabic Transparent" w:cs="Arabic Transparent" w:hint="cs"/>
          <w:sz w:val="24"/>
          <w:szCs w:val="24"/>
          <w:rtl/>
          <w:lang w:bidi="ar-JO"/>
        </w:rPr>
        <w:t>ط1،</w:t>
      </w:r>
      <w:r w:rsidR="009D6561" w:rsidRPr="002273BC">
        <w:rPr>
          <w:rFonts w:ascii="Arabic Transparent" w:hAnsi="Arabic Transparent" w:cs="Arabic Transparent" w:hint="cs"/>
          <w:sz w:val="24"/>
          <w:szCs w:val="24"/>
          <w:rtl/>
          <w:lang w:bidi="ar-JO"/>
        </w:rPr>
        <w:t xml:space="preserve">رقم 4232، ج6/ ص287، دار الرسالة العالمية، بيروت، </w:t>
      </w:r>
      <w:r w:rsidR="00792000" w:rsidRPr="002273BC">
        <w:rPr>
          <w:rFonts w:ascii="Arabic Transparent" w:hAnsi="Arabic Transparent" w:cs="Arabic Transparent" w:hint="cs"/>
          <w:sz w:val="24"/>
          <w:szCs w:val="24"/>
          <w:rtl/>
          <w:lang w:bidi="ar-JO"/>
        </w:rPr>
        <w:t xml:space="preserve">وأخرجه </w:t>
      </w:r>
      <w:r w:rsidR="00792000" w:rsidRPr="002273BC">
        <w:rPr>
          <w:rFonts w:ascii="Arabic Transparent" w:hAnsi="Arabic Transparent" w:cs="Arabic Transparent" w:hint="cs"/>
          <w:sz w:val="24"/>
          <w:szCs w:val="24"/>
          <w:rtl/>
        </w:rPr>
        <w:t>الترمذي، أبو عيسى محمد بن عيسى بن سورة. (2009)</w:t>
      </w:r>
      <w:r w:rsidR="00792000" w:rsidRPr="002273BC">
        <w:rPr>
          <w:rFonts w:ascii="Arabic Transparent" w:hAnsi="Arabic Transparent" w:cs="Arabic Transparent" w:hint="cs"/>
          <w:b/>
          <w:bCs/>
          <w:sz w:val="24"/>
          <w:szCs w:val="24"/>
          <w:rtl/>
        </w:rPr>
        <w:t>، سنن الترمذي</w:t>
      </w:r>
      <w:r w:rsidR="00792000" w:rsidRPr="002273BC">
        <w:rPr>
          <w:rFonts w:ascii="Arabic Transparent" w:hAnsi="Arabic Transparent" w:cs="Arabic Transparent" w:hint="cs"/>
          <w:sz w:val="24"/>
          <w:szCs w:val="24"/>
          <w:rtl/>
        </w:rPr>
        <w:t>، تحقيق: شعيب الأرنؤوط وآخرين، ط1،</w:t>
      </w:r>
      <w:r w:rsidR="00D75F0F">
        <w:rPr>
          <w:rFonts w:ascii="Arabic Transparent" w:hAnsi="Arabic Transparent" w:cs="Arabic Transparent" w:hint="cs"/>
          <w:sz w:val="24"/>
          <w:szCs w:val="24"/>
          <w:rtl/>
        </w:rPr>
        <w:t xml:space="preserve"> ر1868، ج3، ص550،</w:t>
      </w:r>
      <w:r w:rsidR="00792000" w:rsidRPr="002273BC">
        <w:rPr>
          <w:rFonts w:ascii="Arabic Transparent" w:hAnsi="Arabic Transparent" w:cs="Arabic Transparent" w:hint="cs"/>
          <w:sz w:val="24"/>
          <w:szCs w:val="24"/>
          <w:rtl/>
        </w:rPr>
        <w:t xml:space="preserve"> أبواب اللباس عن رسول الله </w:t>
      </w:r>
      <w:r w:rsidR="005224A0" w:rsidRPr="002273BC">
        <w:rPr>
          <w:rFonts w:ascii="AGA Arabesque" w:eastAsia="AGA Arabesque" w:hAnsi="AGA Arabesque" w:cs="AGA Arabesque"/>
          <w:sz w:val="24"/>
          <w:szCs w:val="24"/>
        </w:rPr>
        <w:t></w:t>
      </w:r>
      <w:r w:rsidR="00792000" w:rsidRPr="002273BC">
        <w:rPr>
          <w:rFonts w:ascii="Arabic Transparent" w:hAnsi="Arabic Transparent" w:cs="Arabic Transparent" w:hint="cs"/>
          <w:sz w:val="24"/>
          <w:szCs w:val="24"/>
          <w:rtl/>
        </w:rPr>
        <w:t xml:space="preserve">، باب ما جاء في شَدِّ الأسْنانِ بالذَّهَبِ، دار الرسالة العالمية، دمشق، </w:t>
      </w:r>
      <w:r w:rsidR="00E12D98" w:rsidRPr="002273BC">
        <w:rPr>
          <w:rFonts w:ascii="Arabic Transparent" w:hAnsi="Arabic Transparent" w:cs="Arabic Transparent" w:hint="cs"/>
          <w:sz w:val="24"/>
          <w:szCs w:val="24"/>
          <w:rtl/>
        </w:rPr>
        <w:t>أخرجه</w:t>
      </w:r>
      <w:r w:rsidR="00792000" w:rsidRPr="002273BC">
        <w:rPr>
          <w:rFonts w:ascii="Arabic Transparent" w:hAnsi="Arabic Transparent" w:cs="Arabic Transparent" w:hint="cs"/>
          <w:sz w:val="24"/>
          <w:szCs w:val="24"/>
          <w:rtl/>
        </w:rPr>
        <w:t xml:space="preserve"> الترمذي</w:t>
      </w:r>
      <w:r w:rsidR="00C42EC8" w:rsidRPr="002273BC">
        <w:rPr>
          <w:rFonts w:ascii="Arabic Transparent" w:hAnsi="Arabic Transparent" w:cs="Arabic Transparent" w:hint="cs"/>
          <w:sz w:val="24"/>
          <w:szCs w:val="24"/>
          <w:rtl/>
        </w:rPr>
        <w:t xml:space="preserve">، </w:t>
      </w:r>
      <w:r w:rsidR="00E12D98" w:rsidRPr="002273BC">
        <w:rPr>
          <w:rFonts w:ascii="Arabic Transparent" w:hAnsi="Arabic Transparent" w:cs="Arabic Transparent" w:hint="cs"/>
          <w:sz w:val="24"/>
          <w:szCs w:val="24"/>
          <w:rtl/>
        </w:rPr>
        <w:t>وق</w:t>
      </w:r>
      <w:r w:rsidR="00C42EC8" w:rsidRPr="002273BC">
        <w:rPr>
          <w:rFonts w:ascii="Arabic Transparent" w:hAnsi="Arabic Transparent" w:cs="Arabic Transparent" w:hint="cs"/>
          <w:sz w:val="24"/>
          <w:szCs w:val="24"/>
          <w:rtl/>
        </w:rPr>
        <w:t>ال الزيعلي</w:t>
      </w:r>
      <w:r w:rsidR="00E12D98" w:rsidRPr="002273BC">
        <w:rPr>
          <w:rFonts w:ascii="Arabic Transparent" w:hAnsi="Arabic Transparent" w:cs="Arabic Transparent" w:hint="cs"/>
          <w:sz w:val="24"/>
          <w:szCs w:val="24"/>
          <w:rtl/>
        </w:rPr>
        <w:t>:</w:t>
      </w:r>
      <w:r w:rsidR="00792000" w:rsidRPr="002273BC">
        <w:rPr>
          <w:rFonts w:ascii="Arabic Transparent" w:hAnsi="Arabic Transparent" w:cs="Arabic Transparent" w:hint="cs"/>
          <w:sz w:val="24"/>
          <w:szCs w:val="24"/>
          <w:rtl/>
        </w:rPr>
        <w:t xml:space="preserve"> حديث حسن،</w:t>
      </w:r>
      <w:r w:rsidR="00E12D98" w:rsidRPr="002273BC">
        <w:rPr>
          <w:rFonts w:ascii="Arabic Transparent" w:hAnsi="Arabic Transparent" w:cs="Arabic Transparent" w:hint="cs"/>
          <w:sz w:val="24"/>
          <w:szCs w:val="24"/>
          <w:rtl/>
        </w:rPr>
        <w:t xml:space="preserve"> </w:t>
      </w:r>
      <w:r w:rsidR="00792000" w:rsidRPr="002273BC">
        <w:rPr>
          <w:rFonts w:ascii="Arabic Transparent" w:hAnsi="Arabic Transparent" w:cs="Arabic Transparent" w:hint="cs"/>
          <w:sz w:val="24"/>
          <w:szCs w:val="24"/>
          <w:rtl/>
        </w:rPr>
        <w:t>انظر</w:t>
      </w:r>
      <w:r w:rsidR="0047559C" w:rsidRPr="002273BC">
        <w:rPr>
          <w:rFonts w:ascii="Arabic Transparent" w:hAnsi="Arabic Transparent" w:cs="Arabic Transparent" w:hint="cs"/>
          <w:sz w:val="24"/>
          <w:szCs w:val="24"/>
          <w:rtl/>
        </w:rPr>
        <w:t xml:space="preserve">: </w:t>
      </w:r>
      <w:r w:rsidR="00E12D98" w:rsidRPr="002273BC">
        <w:rPr>
          <w:rFonts w:ascii="Arabic Transparent" w:hAnsi="Arabic Transparent" w:cs="Arabic Transparent" w:hint="cs"/>
          <w:sz w:val="24"/>
          <w:szCs w:val="24"/>
          <w:rtl/>
        </w:rPr>
        <w:t>ا</w:t>
      </w:r>
      <w:r w:rsidR="00792000" w:rsidRPr="002273BC">
        <w:rPr>
          <w:rFonts w:ascii="Arabic Transparent" w:hAnsi="Arabic Transparent" w:cs="Arabic Transparent" w:hint="cs"/>
          <w:sz w:val="24"/>
          <w:szCs w:val="24"/>
          <w:rtl/>
        </w:rPr>
        <w:t xml:space="preserve">لزيلعي، عبد الله بن يوسف بن محمد، جمال الدين، (1997)، </w:t>
      </w:r>
      <w:r w:rsidR="00792000" w:rsidRPr="002273BC">
        <w:rPr>
          <w:rFonts w:ascii="Arabic Transparent" w:hAnsi="Arabic Transparent" w:cs="Arabic Transparent" w:hint="cs"/>
          <w:b/>
          <w:bCs/>
          <w:sz w:val="24"/>
          <w:szCs w:val="24"/>
          <w:rtl/>
        </w:rPr>
        <w:t>نصب الراية لأحاديث الهداية مع حاشيته بغية الألمعي في تخريج الزيلعي</w:t>
      </w:r>
      <w:r w:rsidR="00792000" w:rsidRPr="002273BC">
        <w:rPr>
          <w:rFonts w:ascii="Arabic Transparent" w:hAnsi="Arabic Transparent" w:cs="Arabic Transparent" w:hint="cs"/>
          <w:sz w:val="24"/>
          <w:szCs w:val="24"/>
          <w:rtl/>
        </w:rPr>
        <w:t xml:space="preserve">، ط1، </w:t>
      </w:r>
      <w:r w:rsidR="00E12D98" w:rsidRPr="002273BC">
        <w:rPr>
          <w:rFonts w:ascii="Arabic Transparent" w:hAnsi="Arabic Transparent" w:cs="Arabic Transparent" w:hint="cs"/>
          <w:sz w:val="24"/>
          <w:szCs w:val="24"/>
          <w:rtl/>
        </w:rPr>
        <w:t xml:space="preserve">ج4، </w:t>
      </w:r>
      <w:r w:rsidR="00B95ABA">
        <w:rPr>
          <w:rFonts w:ascii="Arabic Transparent" w:hAnsi="Arabic Transparent" w:cs="Arabic Transparent" w:hint="cs"/>
          <w:sz w:val="24"/>
          <w:szCs w:val="24"/>
          <w:rtl/>
        </w:rPr>
        <w:t>ص</w:t>
      </w:r>
      <w:r w:rsidR="00E12D98" w:rsidRPr="002273BC">
        <w:rPr>
          <w:rFonts w:ascii="Arabic Transparent" w:hAnsi="Arabic Transparent" w:cs="Arabic Transparent" w:hint="cs"/>
          <w:sz w:val="24"/>
          <w:szCs w:val="24"/>
          <w:rtl/>
        </w:rPr>
        <w:t xml:space="preserve">236، </w:t>
      </w:r>
      <w:r w:rsidR="00792000" w:rsidRPr="002273BC">
        <w:rPr>
          <w:rFonts w:ascii="Arabic Transparent" w:hAnsi="Arabic Transparent" w:cs="Arabic Transparent" w:hint="cs"/>
          <w:sz w:val="24"/>
          <w:szCs w:val="24"/>
          <w:rtl/>
        </w:rPr>
        <w:t>مؤسسة الريان للطباعة والنشر – بيروت</w:t>
      </w:r>
      <w:r w:rsidR="00E12D98" w:rsidRPr="002273BC">
        <w:rPr>
          <w:rFonts w:ascii="Arabic Transparent" w:hAnsi="Arabic Transparent" w:cs="Arabic Transparent" w:hint="cs"/>
          <w:sz w:val="24"/>
          <w:szCs w:val="24"/>
          <w:rtl/>
        </w:rPr>
        <w:t>.</w:t>
      </w:r>
    </w:p>
  </w:footnote>
  <w:footnote w:id="72">
    <w:p w14:paraId="659F2590" w14:textId="2570EFF0" w:rsidR="009809F6" w:rsidRPr="002273BC" w:rsidRDefault="009809F6"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sz w:val="24"/>
          <w:szCs w:val="24"/>
          <w:rtl/>
          <w:lang w:bidi="ar-JO"/>
        </w:rPr>
        <w:t xml:space="preserve">الكيلاني، </w:t>
      </w:r>
      <w:r w:rsidRPr="002273BC">
        <w:rPr>
          <w:rFonts w:ascii="Arabic Transparent" w:hAnsi="Arabic Transparent" w:cs="Arabic Transparent" w:hint="cs"/>
          <w:b/>
          <w:bCs/>
          <w:sz w:val="24"/>
          <w:szCs w:val="24"/>
          <w:rtl/>
          <w:lang w:bidi="ar-JO"/>
        </w:rPr>
        <w:t>تحقيق المناط عند الأصوليين وأثره في اختلاف الفقهاء</w:t>
      </w:r>
      <w:r w:rsidRPr="002273BC">
        <w:rPr>
          <w:rFonts w:ascii="Arabic Transparent" w:hAnsi="Arabic Transparent" w:cs="Arabic Transparent" w:hint="cs"/>
          <w:sz w:val="24"/>
          <w:szCs w:val="24"/>
          <w:rtl/>
          <w:lang w:bidi="ar-JO"/>
        </w:rPr>
        <w:t>، مصدر سابق، ص105</w:t>
      </w:r>
      <w:r>
        <w:rPr>
          <w:rFonts w:ascii="Arabic Transparent" w:hAnsi="Arabic Transparent" w:cs="Arabic Transparent" w:hint="cs"/>
          <w:sz w:val="24"/>
          <w:szCs w:val="24"/>
          <w:rtl/>
          <w:lang w:bidi="ar-JO"/>
        </w:rPr>
        <w:t>.</w:t>
      </w:r>
    </w:p>
  </w:footnote>
  <w:footnote w:id="73">
    <w:p w14:paraId="7D31029A" w14:textId="703CA6A7" w:rsidR="00A372EF" w:rsidRPr="002273BC" w:rsidRDefault="00A372EF"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w:t>
      </w:r>
      <w:r w:rsidR="00CF4B20" w:rsidRPr="002273BC">
        <w:rPr>
          <w:rFonts w:ascii="Arabic Transparent" w:hAnsi="Arabic Transparent" w:cs="Arabic Transparent" w:hint="cs"/>
          <w:sz w:val="24"/>
          <w:szCs w:val="24"/>
          <w:rtl/>
          <w:lang w:bidi="ar-JO"/>
        </w:rPr>
        <w:t xml:space="preserve">الشاطبي، </w:t>
      </w:r>
      <w:r w:rsidR="00CF4B20" w:rsidRPr="002273BC">
        <w:rPr>
          <w:rFonts w:ascii="Arabic Transparent" w:hAnsi="Arabic Transparent" w:cs="Arabic Transparent" w:hint="cs"/>
          <w:b/>
          <w:bCs/>
          <w:sz w:val="24"/>
          <w:szCs w:val="24"/>
          <w:rtl/>
          <w:lang w:bidi="ar-JO"/>
        </w:rPr>
        <w:t>الموافقات،</w:t>
      </w:r>
      <w:r w:rsidR="00CF4B20" w:rsidRPr="002273BC">
        <w:rPr>
          <w:rFonts w:ascii="Arabic Transparent" w:hAnsi="Arabic Transparent" w:cs="Arabic Transparent" w:hint="cs"/>
          <w:sz w:val="24"/>
          <w:szCs w:val="24"/>
          <w:rtl/>
          <w:lang w:bidi="ar-JO"/>
        </w:rPr>
        <w:t xml:space="preserve"> </w:t>
      </w:r>
      <w:r w:rsidR="00D129CA" w:rsidRPr="002273BC">
        <w:rPr>
          <w:rFonts w:ascii="Arabic Transparent" w:hAnsi="Arabic Transparent" w:cs="Arabic Transparent" w:hint="cs"/>
          <w:sz w:val="24"/>
          <w:szCs w:val="24"/>
          <w:rtl/>
          <w:lang w:bidi="ar-JO"/>
        </w:rPr>
        <w:t>مصدر</w:t>
      </w:r>
      <w:r w:rsidR="00CF4B20" w:rsidRPr="002273BC">
        <w:rPr>
          <w:rFonts w:ascii="Arabic Transparent" w:hAnsi="Arabic Transparent" w:cs="Arabic Transparent" w:hint="cs"/>
          <w:sz w:val="24"/>
          <w:szCs w:val="24"/>
          <w:rtl/>
          <w:lang w:bidi="ar-JO"/>
        </w:rPr>
        <w:t xml:space="preserve"> سابق، ج4، </w:t>
      </w:r>
      <w:r w:rsidR="00D75F0F">
        <w:rPr>
          <w:rFonts w:ascii="Arabic Transparent" w:hAnsi="Arabic Transparent" w:cs="Arabic Transparent" w:hint="cs"/>
          <w:sz w:val="24"/>
          <w:szCs w:val="24"/>
          <w:rtl/>
          <w:lang w:bidi="ar-JO"/>
        </w:rPr>
        <w:t>ص</w:t>
      </w:r>
      <w:r w:rsidR="00CF4B20" w:rsidRPr="002273BC">
        <w:rPr>
          <w:rFonts w:ascii="Arabic Transparent" w:hAnsi="Arabic Transparent" w:cs="Arabic Transparent" w:hint="cs"/>
          <w:sz w:val="24"/>
          <w:szCs w:val="24"/>
          <w:rtl/>
          <w:lang w:bidi="ar-JO"/>
        </w:rPr>
        <w:t xml:space="preserve">93. </w:t>
      </w:r>
    </w:p>
  </w:footnote>
  <w:footnote w:id="74">
    <w:p w14:paraId="01ADB217" w14:textId="14FF91D1" w:rsidR="00C55E6C" w:rsidRPr="002273BC" w:rsidRDefault="00C55E6C"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w:t>
      </w:r>
      <w:r w:rsidR="001E0356" w:rsidRPr="002273BC">
        <w:rPr>
          <w:rFonts w:ascii="Arabic Transparent" w:hAnsi="Arabic Transparent" w:cs="Arabic Transparent" w:hint="cs"/>
          <w:sz w:val="24"/>
          <w:szCs w:val="24"/>
          <w:rtl/>
          <w:lang w:bidi="ar-JO"/>
        </w:rPr>
        <w:t>انظر:</w:t>
      </w:r>
      <w:r w:rsidR="00442B07" w:rsidRPr="002273BC">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sz w:val="24"/>
          <w:szCs w:val="24"/>
          <w:rtl/>
          <w:lang w:bidi="ar-JO"/>
        </w:rPr>
        <w:t>أبوطالب، عمر بن علي بن محمد، (2022</w:t>
      </w:r>
      <w:r w:rsidRPr="002273BC">
        <w:rPr>
          <w:rFonts w:ascii="Arabic Transparent" w:hAnsi="Arabic Transparent" w:cs="Arabic Transparent" w:hint="cs"/>
          <w:b/>
          <w:bCs/>
          <w:sz w:val="24"/>
          <w:szCs w:val="24"/>
          <w:rtl/>
          <w:lang w:bidi="ar-JO"/>
        </w:rPr>
        <w:t>) مناط الحكم الشرعي عند الغزالي والشاطبي</w:t>
      </w:r>
      <w:r w:rsidRPr="002273BC">
        <w:rPr>
          <w:rFonts w:ascii="Arabic Transparent" w:hAnsi="Arabic Transparent" w:cs="Arabic Transparent" w:hint="cs"/>
          <w:sz w:val="24"/>
          <w:szCs w:val="24"/>
          <w:rtl/>
          <w:lang w:bidi="ar-JO"/>
        </w:rPr>
        <w:t>، مجلة العلوم الشرعية، ع1، مج16، ص589-590، جامعة القصيم – السعودية.</w:t>
      </w:r>
    </w:p>
  </w:footnote>
  <w:footnote w:id="75">
    <w:p w14:paraId="6EF5EC43" w14:textId="31D35F66" w:rsidR="002B1CCB" w:rsidRPr="002273BC" w:rsidRDefault="002B1CCB"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الشاطبي، </w:t>
      </w:r>
      <w:r w:rsidRPr="002273BC">
        <w:rPr>
          <w:rFonts w:ascii="Arabic Transparent" w:hAnsi="Arabic Transparent" w:cs="Arabic Transparent" w:hint="cs"/>
          <w:b/>
          <w:bCs/>
          <w:sz w:val="24"/>
          <w:szCs w:val="24"/>
          <w:rtl/>
          <w:lang w:bidi="ar-JO"/>
        </w:rPr>
        <w:t>الموافقات</w:t>
      </w:r>
      <w:r w:rsidRPr="002273BC">
        <w:rPr>
          <w:rFonts w:ascii="Arabic Transparent" w:hAnsi="Arabic Transparent" w:cs="Arabic Transparent" w:hint="cs"/>
          <w:sz w:val="24"/>
          <w:szCs w:val="24"/>
          <w:rtl/>
          <w:lang w:bidi="ar-JO"/>
        </w:rPr>
        <w:t xml:space="preserve">، </w:t>
      </w:r>
      <w:r w:rsidR="00D129CA" w:rsidRPr="002273BC">
        <w:rPr>
          <w:rFonts w:ascii="Arabic Transparent" w:hAnsi="Arabic Transparent" w:cs="Arabic Transparent" w:hint="cs"/>
          <w:sz w:val="24"/>
          <w:szCs w:val="24"/>
          <w:rtl/>
          <w:lang w:bidi="ar-JO"/>
        </w:rPr>
        <w:t>مصدر</w:t>
      </w:r>
      <w:r w:rsidRPr="002273BC">
        <w:rPr>
          <w:rFonts w:ascii="Arabic Transparent" w:hAnsi="Arabic Transparent" w:cs="Arabic Transparent" w:hint="cs"/>
          <w:sz w:val="24"/>
          <w:szCs w:val="24"/>
          <w:rtl/>
          <w:lang w:bidi="ar-JO"/>
        </w:rPr>
        <w:t xml:space="preserve"> سابق، ج4،ص71.</w:t>
      </w:r>
    </w:p>
  </w:footnote>
  <w:footnote w:id="76">
    <w:p w14:paraId="64AC5FB2" w14:textId="1C5B1172" w:rsidR="0085245F" w:rsidRPr="002273BC" w:rsidRDefault="0085245F"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w:t>
      </w:r>
      <w:r w:rsidR="002B1CCB" w:rsidRPr="002273BC">
        <w:rPr>
          <w:rFonts w:ascii="Arabic Transparent" w:hAnsi="Arabic Transparent" w:cs="Arabic Transparent" w:hint="cs"/>
          <w:b/>
          <w:bCs/>
          <w:sz w:val="24"/>
          <w:szCs w:val="24"/>
          <w:rtl/>
          <w:lang w:bidi="ar-JO"/>
        </w:rPr>
        <w:t>الم</w:t>
      </w:r>
      <w:r w:rsidR="00D129CA" w:rsidRPr="002273BC">
        <w:rPr>
          <w:rFonts w:ascii="Arabic Transparent" w:hAnsi="Arabic Transparent" w:cs="Arabic Transparent" w:hint="cs"/>
          <w:b/>
          <w:bCs/>
          <w:sz w:val="24"/>
          <w:szCs w:val="24"/>
          <w:rtl/>
          <w:lang w:bidi="ar-JO"/>
        </w:rPr>
        <w:t>صدر</w:t>
      </w:r>
      <w:r w:rsidR="002B1CCB" w:rsidRPr="002273BC">
        <w:rPr>
          <w:rFonts w:ascii="Arabic Transparent" w:hAnsi="Arabic Transparent" w:cs="Arabic Transparent" w:hint="cs"/>
          <w:b/>
          <w:bCs/>
          <w:sz w:val="24"/>
          <w:szCs w:val="24"/>
          <w:rtl/>
          <w:lang w:bidi="ar-JO"/>
        </w:rPr>
        <w:t xml:space="preserve"> السابق</w:t>
      </w:r>
      <w:r w:rsidR="002B1CCB" w:rsidRPr="002273BC">
        <w:rPr>
          <w:rFonts w:ascii="Arabic Transparent" w:hAnsi="Arabic Transparent" w:cs="Arabic Transparent" w:hint="cs"/>
          <w:sz w:val="24"/>
          <w:szCs w:val="24"/>
          <w:rtl/>
          <w:lang w:bidi="ar-JO"/>
        </w:rPr>
        <w:t>، ج4، ص70-71.</w:t>
      </w:r>
    </w:p>
  </w:footnote>
  <w:footnote w:id="77">
    <w:p w14:paraId="0E853A82" w14:textId="6D444DF9" w:rsidR="002B1CCB" w:rsidRPr="002273BC" w:rsidRDefault="002B1CCB"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w:t>
      </w:r>
      <w:r w:rsidR="001E0356" w:rsidRPr="002273BC">
        <w:rPr>
          <w:rFonts w:ascii="Arabic Transparent" w:hAnsi="Arabic Transparent" w:cs="Arabic Transparent" w:hint="cs"/>
          <w:sz w:val="24"/>
          <w:szCs w:val="24"/>
          <w:rtl/>
          <w:lang w:bidi="ar-JO"/>
        </w:rPr>
        <w:t>انظر:</w:t>
      </w:r>
      <w:r w:rsidRPr="002273BC">
        <w:rPr>
          <w:rFonts w:ascii="Arabic Transparent" w:hAnsi="Arabic Transparent" w:cs="Arabic Transparent" w:hint="cs"/>
          <w:sz w:val="24"/>
          <w:szCs w:val="24"/>
          <w:rtl/>
          <w:lang w:bidi="ar-JO"/>
        </w:rPr>
        <w:t xml:space="preserve">، المحمد، خلف محمد، (2010) </w:t>
      </w:r>
      <w:r w:rsidRPr="002273BC">
        <w:rPr>
          <w:rFonts w:ascii="Arabic Transparent" w:hAnsi="Arabic Transparent" w:cs="Arabic Transparent" w:hint="cs"/>
          <w:b/>
          <w:bCs/>
          <w:sz w:val="24"/>
          <w:szCs w:val="24"/>
          <w:rtl/>
          <w:lang w:bidi="ar-JO"/>
        </w:rPr>
        <w:t>تحقيق المناط الخاص وأثره في تنزيل الحكم الشرعي على محله</w:t>
      </w:r>
      <w:r w:rsidRPr="002273BC">
        <w:rPr>
          <w:rFonts w:ascii="Arabic Transparent" w:hAnsi="Arabic Transparent" w:cs="Arabic Transparent" w:hint="cs"/>
          <w:sz w:val="24"/>
          <w:szCs w:val="24"/>
          <w:rtl/>
          <w:lang w:bidi="ar-JO"/>
        </w:rPr>
        <w:t>، مجلة كلية الشريعة والقانون بطنطا، ع25، ص23، جامعة الأزهر -مصر.</w:t>
      </w:r>
    </w:p>
  </w:footnote>
  <w:footnote w:id="78">
    <w:p w14:paraId="7C43E84B" w14:textId="00903C39" w:rsidR="000814D2" w:rsidRPr="00730F79" w:rsidRDefault="000814D2"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00B44A52">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sz w:val="24"/>
          <w:szCs w:val="24"/>
          <w:rtl/>
          <w:lang w:bidi="ar-JO"/>
        </w:rPr>
        <w:t xml:space="preserve">الشافعي، محمد بن إدريس، (1938)، </w:t>
      </w:r>
      <w:r w:rsidRPr="002273BC">
        <w:rPr>
          <w:rFonts w:ascii="Arabic Transparent" w:hAnsi="Arabic Transparent" w:cs="Arabic Transparent" w:hint="cs"/>
          <w:b/>
          <w:bCs/>
          <w:sz w:val="24"/>
          <w:szCs w:val="24"/>
          <w:rtl/>
          <w:lang w:bidi="ar-JO"/>
        </w:rPr>
        <w:t>الرسالة</w:t>
      </w:r>
      <w:r w:rsidRPr="002273BC">
        <w:rPr>
          <w:rFonts w:ascii="Arabic Transparent" w:hAnsi="Arabic Transparent" w:cs="Arabic Transparent" w:hint="cs"/>
          <w:sz w:val="24"/>
          <w:szCs w:val="24"/>
          <w:rtl/>
          <w:lang w:bidi="ar-JO"/>
        </w:rPr>
        <w:t xml:space="preserve"> (تحقيق أحمد محمد شاكر) ط1، </w:t>
      </w:r>
      <w:r w:rsidR="00040FBF" w:rsidRPr="002273BC">
        <w:rPr>
          <w:rFonts w:ascii="Arabic Transparent" w:hAnsi="Arabic Transparent" w:cs="Arabic Transparent" w:hint="cs"/>
          <w:sz w:val="24"/>
          <w:szCs w:val="24"/>
          <w:rtl/>
          <w:lang w:bidi="ar-JO"/>
        </w:rPr>
        <w:t>ص39،</w:t>
      </w:r>
      <w:r w:rsidRPr="002273BC">
        <w:rPr>
          <w:rFonts w:ascii="Arabic Transparent" w:hAnsi="Arabic Transparent" w:cs="Arabic Transparent" w:hint="cs"/>
          <w:sz w:val="24"/>
          <w:szCs w:val="24"/>
          <w:rtl/>
          <w:lang w:bidi="ar-JO"/>
        </w:rPr>
        <w:t xml:space="preserve"> مصطفى البابي </w:t>
      </w:r>
      <w:r w:rsidRPr="00730F79">
        <w:rPr>
          <w:rFonts w:ascii="Arabic Transparent" w:hAnsi="Arabic Transparent" w:cs="Arabic Transparent" w:hint="cs"/>
          <w:sz w:val="24"/>
          <w:szCs w:val="24"/>
          <w:rtl/>
          <w:lang w:bidi="ar-JO"/>
        </w:rPr>
        <w:t xml:space="preserve">الحلبي وأولاده </w:t>
      </w:r>
      <w:r w:rsidR="00C42EC8" w:rsidRPr="00730F79">
        <w:rPr>
          <w:rFonts w:ascii="Arabic Transparent" w:hAnsi="Arabic Transparent" w:cs="Arabic Transparent" w:hint="cs"/>
          <w:sz w:val="24"/>
          <w:szCs w:val="24"/>
          <w:rtl/>
          <w:lang w:bidi="ar-JO"/>
        </w:rPr>
        <w:t>–</w:t>
      </w:r>
      <w:r w:rsidRPr="00730F79">
        <w:rPr>
          <w:rFonts w:ascii="Arabic Transparent" w:hAnsi="Arabic Transparent" w:cs="Arabic Transparent" w:hint="cs"/>
          <w:sz w:val="24"/>
          <w:szCs w:val="24"/>
          <w:rtl/>
          <w:lang w:bidi="ar-JO"/>
        </w:rPr>
        <w:t xml:space="preserve"> مصر</w:t>
      </w:r>
      <w:r w:rsidR="00C42EC8" w:rsidRPr="00730F79">
        <w:rPr>
          <w:rFonts w:ascii="Arabic Transparent" w:hAnsi="Arabic Transparent" w:cs="Arabic Transparent" w:hint="cs"/>
          <w:sz w:val="24"/>
          <w:szCs w:val="24"/>
          <w:rtl/>
          <w:lang w:bidi="ar-JO"/>
        </w:rPr>
        <w:t xml:space="preserve">، وانظر: الكيلاني، </w:t>
      </w:r>
      <w:r w:rsidR="00C42EC8" w:rsidRPr="00730F79">
        <w:rPr>
          <w:rFonts w:ascii="Arabic Transparent" w:hAnsi="Arabic Transparent" w:cs="Arabic Transparent" w:hint="cs"/>
          <w:b/>
          <w:bCs/>
          <w:sz w:val="24"/>
          <w:szCs w:val="24"/>
          <w:rtl/>
          <w:lang w:bidi="ar-JO"/>
        </w:rPr>
        <w:t>تحقيق المناط عند الأصوليين وأثره في اختلاف الفقهاء</w:t>
      </w:r>
      <w:r w:rsidR="00C42EC8" w:rsidRPr="00730F79">
        <w:rPr>
          <w:rFonts w:ascii="Arabic Transparent" w:hAnsi="Arabic Transparent" w:cs="Arabic Transparent" w:hint="cs"/>
          <w:sz w:val="24"/>
          <w:szCs w:val="24"/>
          <w:rtl/>
          <w:lang w:bidi="ar-JO"/>
        </w:rPr>
        <w:t>، مصدر سابق، ص71.</w:t>
      </w:r>
    </w:p>
  </w:footnote>
  <w:footnote w:id="79">
    <w:p w14:paraId="069E52D9" w14:textId="1F2C324E" w:rsidR="00730F79" w:rsidRPr="00730F79" w:rsidRDefault="00730F79" w:rsidP="00EA3738">
      <w:pPr>
        <w:pStyle w:val="FootnoteText"/>
        <w:spacing w:line="360" w:lineRule="auto"/>
        <w:jc w:val="both"/>
        <w:rPr>
          <w:rFonts w:ascii="Arabic Transparent" w:hAnsi="Arabic Transparent" w:cs="Arabic Transparent"/>
          <w:sz w:val="24"/>
          <w:szCs w:val="24"/>
          <w:rtl/>
          <w:lang w:bidi="ar-JO"/>
        </w:rPr>
      </w:pPr>
      <w:r w:rsidRPr="00730F79">
        <w:rPr>
          <w:rFonts w:ascii="Arabic Transparent" w:hAnsi="Arabic Transparent" w:cs="Arabic Transparent" w:hint="cs"/>
          <w:sz w:val="24"/>
          <w:szCs w:val="24"/>
        </w:rPr>
        <w:t>(</w:t>
      </w:r>
      <w:r w:rsidRPr="00730F79">
        <w:rPr>
          <w:rStyle w:val="FootnoteReference"/>
          <w:rFonts w:ascii="Arabic Transparent" w:hAnsi="Arabic Transparent" w:cs="Arabic Transparent" w:hint="cs"/>
          <w:sz w:val="24"/>
          <w:szCs w:val="24"/>
          <w:vertAlign w:val="baseline"/>
        </w:rPr>
        <w:footnoteRef/>
      </w:r>
      <w:r w:rsidRPr="00730F79">
        <w:rPr>
          <w:rFonts w:ascii="Arabic Transparent" w:hAnsi="Arabic Transparent" w:cs="Arabic Transparent" w:hint="cs"/>
          <w:sz w:val="24"/>
          <w:szCs w:val="24"/>
        </w:rPr>
        <w:t>)</w:t>
      </w:r>
      <w:r w:rsidR="00B44A52">
        <w:rPr>
          <w:rFonts w:ascii="Arabic Transparent" w:hAnsi="Arabic Transparent" w:cs="Arabic Transparent" w:hint="cs"/>
          <w:sz w:val="24"/>
          <w:szCs w:val="24"/>
          <w:rtl/>
          <w:lang w:bidi="ar-JO"/>
        </w:rPr>
        <w:t xml:space="preserve"> </w:t>
      </w:r>
      <w:r w:rsidRPr="00730F79">
        <w:rPr>
          <w:rFonts w:ascii="Arabic Transparent" w:hAnsi="Arabic Transparent" w:cs="Arabic Transparent" w:hint="cs"/>
          <w:sz w:val="24"/>
          <w:szCs w:val="24"/>
          <w:rtl/>
          <w:lang w:bidi="ar-JO"/>
        </w:rPr>
        <w:t xml:space="preserve">العكبري، </w:t>
      </w:r>
      <w:r w:rsidRPr="00730F79">
        <w:rPr>
          <w:rFonts w:ascii="Arabic Transparent" w:hAnsi="Arabic Transparent" w:cs="Arabic Transparent" w:hint="cs"/>
          <w:b/>
          <w:bCs/>
          <w:sz w:val="24"/>
          <w:szCs w:val="24"/>
          <w:rtl/>
          <w:lang w:bidi="ar-JO"/>
        </w:rPr>
        <w:t>رسالة في أصول الفقه</w:t>
      </w:r>
      <w:r w:rsidRPr="00730F79">
        <w:rPr>
          <w:rFonts w:ascii="Arabic Transparent" w:hAnsi="Arabic Transparent" w:cs="Arabic Transparent" w:hint="cs"/>
          <w:sz w:val="24"/>
          <w:szCs w:val="24"/>
          <w:rtl/>
          <w:lang w:bidi="ar-JO"/>
        </w:rPr>
        <w:t>، مصدر سابق، ص14.</w:t>
      </w:r>
    </w:p>
  </w:footnote>
  <w:footnote w:id="80">
    <w:p w14:paraId="43255C6E" w14:textId="7D929560" w:rsidR="00730F79" w:rsidRPr="00730F79" w:rsidRDefault="00730F79" w:rsidP="00EA3738">
      <w:pPr>
        <w:pStyle w:val="FootnoteText"/>
        <w:spacing w:line="360" w:lineRule="auto"/>
        <w:jc w:val="both"/>
        <w:rPr>
          <w:rFonts w:ascii="Arabic Transparent" w:hAnsi="Arabic Transparent" w:cs="Arabic Transparent"/>
          <w:sz w:val="24"/>
          <w:szCs w:val="24"/>
          <w:rtl/>
          <w:lang w:bidi="ar-JO"/>
        </w:rPr>
      </w:pPr>
      <w:r w:rsidRPr="00730F79">
        <w:rPr>
          <w:rFonts w:ascii="Arabic Transparent" w:hAnsi="Arabic Transparent" w:cs="Arabic Transparent" w:hint="cs"/>
          <w:sz w:val="24"/>
          <w:szCs w:val="24"/>
        </w:rPr>
        <w:t>(</w:t>
      </w:r>
      <w:r w:rsidRPr="00730F79">
        <w:rPr>
          <w:rStyle w:val="FootnoteReference"/>
          <w:rFonts w:ascii="Arabic Transparent" w:hAnsi="Arabic Transparent" w:cs="Arabic Transparent" w:hint="cs"/>
          <w:sz w:val="24"/>
          <w:szCs w:val="24"/>
          <w:vertAlign w:val="baseline"/>
        </w:rPr>
        <w:footnoteRef/>
      </w:r>
      <w:r w:rsidRPr="00730F79">
        <w:rPr>
          <w:rFonts w:ascii="Arabic Transparent" w:hAnsi="Arabic Transparent" w:cs="Arabic Transparent" w:hint="cs"/>
          <w:sz w:val="24"/>
          <w:szCs w:val="24"/>
        </w:rPr>
        <w:t>)</w:t>
      </w:r>
      <w:r w:rsidR="00B44A52">
        <w:rPr>
          <w:rFonts w:ascii="Arabic Transparent" w:hAnsi="Arabic Transparent" w:cs="Arabic Transparent" w:hint="cs"/>
          <w:sz w:val="24"/>
          <w:szCs w:val="24"/>
          <w:rtl/>
          <w:lang w:bidi="ar-JO"/>
        </w:rPr>
        <w:t xml:space="preserve"> </w:t>
      </w:r>
      <w:r w:rsidRPr="00730F79">
        <w:rPr>
          <w:rFonts w:ascii="Arabic Transparent" w:hAnsi="Arabic Transparent" w:cs="Arabic Transparent" w:hint="cs"/>
          <w:sz w:val="24"/>
          <w:szCs w:val="24"/>
          <w:rtl/>
          <w:lang w:bidi="ar-JO"/>
        </w:rPr>
        <w:t xml:space="preserve">الغزالي، </w:t>
      </w:r>
      <w:r w:rsidRPr="00730F79">
        <w:rPr>
          <w:rFonts w:ascii="Arabic Transparent" w:hAnsi="Arabic Transparent" w:cs="Arabic Transparent" w:hint="cs"/>
          <w:b/>
          <w:bCs/>
          <w:sz w:val="24"/>
          <w:szCs w:val="24"/>
          <w:rtl/>
          <w:lang w:bidi="ar-JO"/>
        </w:rPr>
        <w:t xml:space="preserve">المستصفى، </w:t>
      </w:r>
      <w:r w:rsidRPr="00730F79">
        <w:rPr>
          <w:rFonts w:ascii="Arabic Transparent" w:hAnsi="Arabic Transparent" w:cs="Arabic Transparent" w:hint="cs"/>
          <w:sz w:val="24"/>
          <w:szCs w:val="24"/>
          <w:rtl/>
          <w:lang w:bidi="ar-JO"/>
        </w:rPr>
        <w:t>مصدر سابق، ص282.</w:t>
      </w:r>
    </w:p>
  </w:footnote>
  <w:footnote w:id="81">
    <w:p w14:paraId="54338692" w14:textId="3D209343" w:rsidR="00040FBF" w:rsidRPr="00730F79" w:rsidRDefault="00040FBF" w:rsidP="00EA3738">
      <w:pPr>
        <w:pStyle w:val="FootnoteText"/>
        <w:spacing w:line="360" w:lineRule="auto"/>
        <w:jc w:val="both"/>
        <w:rPr>
          <w:rFonts w:ascii="Arabic Transparent" w:hAnsi="Arabic Transparent" w:cs="Arabic Transparent"/>
          <w:sz w:val="24"/>
          <w:szCs w:val="24"/>
          <w:rtl/>
          <w:lang w:bidi="ar-JO"/>
        </w:rPr>
      </w:pPr>
      <w:r w:rsidRPr="00730F79">
        <w:rPr>
          <w:rFonts w:ascii="Arabic Transparent" w:hAnsi="Arabic Transparent" w:cs="Arabic Transparent" w:hint="cs"/>
          <w:sz w:val="24"/>
          <w:szCs w:val="24"/>
          <w:lang w:bidi="ar-JO"/>
        </w:rPr>
        <w:t>(</w:t>
      </w:r>
      <w:r w:rsidRPr="00730F79">
        <w:rPr>
          <w:rFonts w:ascii="Arabic Transparent" w:hAnsi="Arabic Transparent" w:cs="Arabic Transparent" w:hint="cs"/>
          <w:sz w:val="24"/>
          <w:szCs w:val="24"/>
          <w:lang w:bidi="ar-JO"/>
        </w:rPr>
        <w:footnoteRef/>
      </w:r>
      <w:r w:rsidRPr="00730F79">
        <w:rPr>
          <w:rFonts w:ascii="Arabic Transparent" w:hAnsi="Arabic Transparent" w:cs="Arabic Transparent" w:hint="cs"/>
          <w:sz w:val="24"/>
          <w:szCs w:val="24"/>
          <w:lang w:bidi="ar-JO"/>
        </w:rPr>
        <w:t>)</w:t>
      </w:r>
      <w:r w:rsidR="00730F79" w:rsidRPr="00730F79">
        <w:rPr>
          <w:rFonts w:ascii="Arabic Transparent" w:hAnsi="Arabic Transparent" w:cs="Arabic Transparent"/>
          <w:sz w:val="24"/>
          <w:szCs w:val="24"/>
          <w:rtl/>
          <w:lang w:bidi="ar-JO"/>
        </w:rPr>
        <w:t xml:space="preserve">انظر: الكيلاني، </w:t>
      </w:r>
      <w:r w:rsidR="00730F79" w:rsidRPr="00730F79">
        <w:rPr>
          <w:rFonts w:ascii="Arabic Transparent" w:hAnsi="Arabic Transparent" w:cs="Arabic Transparent"/>
          <w:b/>
          <w:bCs/>
          <w:sz w:val="24"/>
          <w:szCs w:val="24"/>
          <w:rtl/>
          <w:lang w:bidi="ar-JO"/>
        </w:rPr>
        <w:t>تحقيق المناط عند الأصوليين وأثره في اختلاف الفقهاء،</w:t>
      </w:r>
      <w:r w:rsidR="00730F79" w:rsidRPr="00730F79">
        <w:rPr>
          <w:rFonts w:ascii="Arabic Transparent" w:hAnsi="Arabic Transparent" w:cs="Arabic Transparent"/>
          <w:sz w:val="24"/>
          <w:szCs w:val="24"/>
          <w:rtl/>
          <w:lang w:bidi="ar-JO"/>
        </w:rPr>
        <w:t xml:space="preserve"> مصدر سابق، ص71.</w:t>
      </w:r>
    </w:p>
  </w:footnote>
  <w:footnote w:id="82">
    <w:p w14:paraId="57BE7CA8" w14:textId="65B35352" w:rsidR="004A6407" w:rsidRPr="002273BC" w:rsidRDefault="004A6407" w:rsidP="00EA3738">
      <w:pPr>
        <w:pStyle w:val="FootnoteText"/>
        <w:spacing w:line="360" w:lineRule="auto"/>
        <w:jc w:val="both"/>
        <w:rPr>
          <w:rFonts w:ascii="Arabic Transparent" w:hAnsi="Arabic Transparent" w:cs="Arabic Transparent"/>
          <w:sz w:val="24"/>
          <w:szCs w:val="24"/>
          <w:rtl/>
          <w:lang w:bidi="ar-JO"/>
        </w:rPr>
      </w:pPr>
      <w:r w:rsidRPr="00730F79">
        <w:rPr>
          <w:rFonts w:ascii="Arabic Transparent" w:hAnsi="Arabic Transparent" w:cs="Arabic Transparent" w:hint="cs"/>
          <w:sz w:val="24"/>
          <w:szCs w:val="24"/>
          <w:lang w:bidi="ar-JO"/>
        </w:rPr>
        <w:t>(</w:t>
      </w:r>
      <w:r w:rsidRPr="00730F79">
        <w:rPr>
          <w:rFonts w:ascii="Arabic Transparent" w:hAnsi="Arabic Transparent" w:cs="Arabic Transparent" w:hint="cs"/>
          <w:sz w:val="24"/>
          <w:szCs w:val="24"/>
          <w:lang w:bidi="ar-JO"/>
        </w:rPr>
        <w:footnoteRef/>
      </w:r>
      <w:r w:rsidRPr="00730F79">
        <w:rPr>
          <w:rFonts w:ascii="Arabic Transparent" w:hAnsi="Arabic Transparent" w:cs="Arabic Transparent" w:hint="cs"/>
          <w:sz w:val="24"/>
          <w:szCs w:val="24"/>
          <w:lang w:bidi="ar-JO"/>
        </w:rPr>
        <w:t>)</w:t>
      </w:r>
      <w:r w:rsidRPr="00730F79">
        <w:rPr>
          <w:rFonts w:ascii="Arabic Transparent" w:hAnsi="Arabic Transparent" w:cs="Arabic Transparent" w:hint="cs"/>
          <w:sz w:val="24"/>
          <w:szCs w:val="24"/>
          <w:rtl/>
          <w:lang w:bidi="ar-JO"/>
        </w:rPr>
        <w:t xml:space="preserve"> </w:t>
      </w:r>
      <w:r w:rsidR="001E0356" w:rsidRPr="00730F79">
        <w:rPr>
          <w:rFonts w:ascii="Arabic Transparent" w:hAnsi="Arabic Transparent" w:cs="Arabic Transparent" w:hint="cs"/>
          <w:sz w:val="24"/>
          <w:szCs w:val="24"/>
          <w:rtl/>
          <w:lang w:bidi="ar-JO"/>
        </w:rPr>
        <w:t>انظر:</w:t>
      </w:r>
      <w:r w:rsidRPr="00730F79">
        <w:rPr>
          <w:rFonts w:ascii="Arabic Transparent" w:hAnsi="Arabic Transparent" w:cs="Arabic Transparent" w:hint="cs"/>
          <w:sz w:val="24"/>
          <w:szCs w:val="24"/>
          <w:rtl/>
          <w:lang w:bidi="ar-JO"/>
        </w:rPr>
        <w:t xml:space="preserve"> الشاطبي</w:t>
      </w:r>
      <w:r w:rsidRPr="002273BC">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b/>
          <w:bCs/>
          <w:sz w:val="24"/>
          <w:szCs w:val="24"/>
          <w:rtl/>
          <w:lang w:bidi="ar-JO"/>
        </w:rPr>
        <w:t>الموافقات</w:t>
      </w:r>
      <w:r w:rsidRPr="002273BC">
        <w:rPr>
          <w:rFonts w:ascii="Arabic Transparent" w:hAnsi="Arabic Transparent" w:cs="Arabic Transparent" w:hint="cs"/>
          <w:sz w:val="24"/>
          <w:szCs w:val="24"/>
          <w:rtl/>
          <w:lang w:bidi="ar-JO"/>
        </w:rPr>
        <w:t>، مصدر سابق، ج5، ص23.</w:t>
      </w:r>
    </w:p>
  </w:footnote>
  <w:footnote w:id="83">
    <w:p w14:paraId="41C12F45" w14:textId="0B5BD636" w:rsidR="00870C32" w:rsidRPr="002273BC" w:rsidRDefault="00870C32"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w:t>
      </w:r>
      <w:r w:rsidR="001F0340" w:rsidRPr="002273BC">
        <w:rPr>
          <w:rFonts w:ascii="Arabic Transparent" w:hAnsi="Arabic Transparent" w:cs="Arabic Transparent" w:hint="cs"/>
          <w:sz w:val="24"/>
          <w:szCs w:val="24"/>
          <w:rtl/>
          <w:lang w:bidi="ar-JO"/>
        </w:rPr>
        <w:t xml:space="preserve">ابن تيمية، أحمد بن عبد الحليم، (1987)، </w:t>
      </w:r>
      <w:r w:rsidR="001F0340" w:rsidRPr="002273BC">
        <w:rPr>
          <w:rFonts w:ascii="Arabic Transparent" w:hAnsi="Arabic Transparent" w:cs="Arabic Transparent" w:hint="cs"/>
          <w:b/>
          <w:bCs/>
          <w:sz w:val="24"/>
          <w:szCs w:val="24"/>
          <w:rtl/>
          <w:lang w:bidi="ar-JO"/>
        </w:rPr>
        <w:t>الفتاوى الكبرى</w:t>
      </w:r>
      <w:r w:rsidR="007D206D" w:rsidRPr="002273BC">
        <w:rPr>
          <w:rFonts w:ascii="Arabic Transparent" w:hAnsi="Arabic Transparent" w:cs="Arabic Transparent" w:hint="cs"/>
          <w:sz w:val="24"/>
          <w:szCs w:val="24"/>
          <w:rtl/>
          <w:lang w:bidi="ar-JO"/>
        </w:rPr>
        <w:t>،</w:t>
      </w:r>
      <w:r w:rsidR="001F0340" w:rsidRPr="002273BC">
        <w:rPr>
          <w:rFonts w:ascii="Arabic Transparent" w:hAnsi="Arabic Transparent" w:cs="Arabic Transparent" w:hint="cs"/>
          <w:sz w:val="24"/>
          <w:szCs w:val="24"/>
          <w:rtl/>
          <w:lang w:bidi="ar-JO"/>
        </w:rPr>
        <w:t xml:space="preserve"> ط1، ج2، ص159، دار الكتب العلمية - بيروت.</w:t>
      </w:r>
    </w:p>
  </w:footnote>
  <w:footnote w:id="84">
    <w:p w14:paraId="08139F1F" w14:textId="1A72D9BB" w:rsidR="00730F79" w:rsidRPr="002273BC" w:rsidRDefault="00730F79"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00887D04">
        <w:rPr>
          <w:rFonts w:ascii="Arabic Transparent" w:hAnsi="Arabic Transparent" w:cs="Arabic Transparent" w:hint="cs"/>
          <w:sz w:val="24"/>
          <w:szCs w:val="24"/>
          <w:rtl/>
          <w:lang w:bidi="ar-JO"/>
        </w:rPr>
        <w:t xml:space="preserve"> انظر:</w:t>
      </w:r>
      <w:r w:rsidRPr="002273BC">
        <w:rPr>
          <w:rFonts w:ascii="Arabic Transparent" w:hAnsi="Arabic Transparent" w:cs="Arabic Transparent" w:hint="cs"/>
          <w:sz w:val="24"/>
          <w:szCs w:val="24"/>
          <w:rtl/>
          <w:lang w:bidi="ar-JO"/>
        </w:rPr>
        <w:t xml:space="preserve"> ابن القيم، محمد بن أبي بكر، (1991)، </w:t>
      </w:r>
      <w:r w:rsidRPr="002273BC">
        <w:rPr>
          <w:rFonts w:ascii="Arabic Transparent" w:hAnsi="Arabic Transparent" w:cs="Arabic Transparent" w:hint="cs"/>
          <w:b/>
          <w:bCs/>
          <w:sz w:val="24"/>
          <w:szCs w:val="24"/>
          <w:rtl/>
          <w:lang w:bidi="ar-JO"/>
        </w:rPr>
        <w:t>إعلام الموقعين عن رب العالمين</w:t>
      </w:r>
      <w:r w:rsidRPr="002273BC">
        <w:rPr>
          <w:rFonts w:ascii="Arabic Transparent" w:hAnsi="Arabic Transparent" w:cs="Arabic Transparent" w:hint="cs"/>
          <w:sz w:val="24"/>
          <w:szCs w:val="24"/>
          <w:rtl/>
          <w:lang w:bidi="ar-JO"/>
        </w:rPr>
        <w:t xml:space="preserve"> (تحقيق محمد عبد السلام إبراهيم) ط1، ج3، ص144، دار الكتب العلمية - بيروت.</w:t>
      </w:r>
    </w:p>
  </w:footnote>
  <w:footnote w:id="85">
    <w:p w14:paraId="32FAC587" w14:textId="63D51506" w:rsidR="001F0340" w:rsidRPr="002273BC" w:rsidRDefault="0044605B"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00887D04">
        <w:rPr>
          <w:rFonts w:ascii="Arabic Transparent" w:hAnsi="Arabic Transparent" w:cs="Arabic Transparent" w:hint="cs"/>
          <w:sz w:val="24"/>
          <w:szCs w:val="24"/>
          <w:rtl/>
          <w:lang w:bidi="ar-JO"/>
        </w:rPr>
        <w:t xml:space="preserve"> انظر:</w:t>
      </w:r>
      <w:r w:rsidRPr="002273BC">
        <w:rPr>
          <w:rFonts w:ascii="Arabic Transparent" w:hAnsi="Arabic Transparent" w:cs="Arabic Transparent" w:hint="cs"/>
          <w:sz w:val="24"/>
          <w:szCs w:val="24"/>
          <w:rtl/>
          <w:lang w:bidi="ar-JO"/>
        </w:rPr>
        <w:t xml:space="preserve"> </w:t>
      </w:r>
      <w:r w:rsidR="001F0340" w:rsidRPr="002273BC">
        <w:rPr>
          <w:rFonts w:ascii="Arabic Transparent" w:hAnsi="Arabic Transparent" w:cs="Arabic Transparent" w:hint="cs"/>
          <w:sz w:val="24"/>
          <w:szCs w:val="24"/>
          <w:rtl/>
          <w:lang w:bidi="ar-JO"/>
        </w:rPr>
        <w:t xml:space="preserve">الطوفي، </w:t>
      </w:r>
      <w:r w:rsidR="001F0340" w:rsidRPr="002273BC">
        <w:rPr>
          <w:rFonts w:ascii="Arabic Transparent" w:hAnsi="Arabic Transparent" w:cs="Arabic Transparent" w:hint="cs"/>
          <w:b/>
          <w:bCs/>
          <w:sz w:val="24"/>
          <w:szCs w:val="24"/>
          <w:rtl/>
          <w:lang w:bidi="ar-JO"/>
        </w:rPr>
        <w:t>شرح مختصر الروضة</w:t>
      </w:r>
      <w:r w:rsidR="001F0340" w:rsidRPr="002273BC">
        <w:rPr>
          <w:rFonts w:ascii="Arabic Transparent" w:hAnsi="Arabic Transparent" w:cs="Arabic Transparent" w:hint="cs"/>
          <w:sz w:val="24"/>
          <w:szCs w:val="24"/>
          <w:rtl/>
          <w:lang w:bidi="ar-JO"/>
        </w:rPr>
        <w:t>، مصدر سابق، ج3، ص204.</w:t>
      </w:r>
    </w:p>
  </w:footnote>
  <w:footnote w:id="86">
    <w:p w14:paraId="683BD9D5" w14:textId="02710A03" w:rsidR="00EB7D70" w:rsidRPr="002273BC" w:rsidRDefault="00EB7D70"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انظر: </w:t>
      </w:r>
      <w:r w:rsidRPr="00CC5C8F">
        <w:rPr>
          <w:rFonts w:ascii="Arabic Transparent" w:hAnsi="Arabic Transparent" w:cs="Arabic Transparent" w:hint="cs"/>
          <w:b/>
          <w:bCs/>
          <w:sz w:val="24"/>
          <w:szCs w:val="24"/>
          <w:rtl/>
          <w:lang w:bidi="ar-JO"/>
        </w:rPr>
        <w:t>المصدر السابق</w:t>
      </w:r>
      <w:r w:rsidRPr="002273BC">
        <w:rPr>
          <w:rFonts w:ascii="Arabic Transparent" w:hAnsi="Arabic Transparent" w:cs="Arabic Transparent" w:hint="cs"/>
          <w:sz w:val="24"/>
          <w:szCs w:val="24"/>
          <w:rtl/>
          <w:lang w:bidi="ar-JO"/>
        </w:rPr>
        <w:t>، ج5، ص181، وانظر: النملة، عبد الكريم علي، (2005</w:t>
      </w:r>
      <w:r w:rsidRPr="002273BC">
        <w:rPr>
          <w:rFonts w:ascii="Arabic Transparent" w:hAnsi="Arabic Transparent" w:cs="Arabic Transparent" w:hint="cs"/>
          <w:b/>
          <w:bCs/>
          <w:sz w:val="24"/>
          <w:szCs w:val="24"/>
          <w:rtl/>
          <w:lang w:bidi="ar-JO"/>
        </w:rPr>
        <w:t>)، تيسير مسائل الفقه شرح الروض المربع</w:t>
      </w:r>
      <w:r w:rsidRPr="002273BC">
        <w:rPr>
          <w:rFonts w:ascii="Arabic Transparent" w:hAnsi="Arabic Transparent" w:cs="Arabic Transparent" w:hint="cs"/>
          <w:sz w:val="24"/>
          <w:szCs w:val="24"/>
          <w:rtl/>
          <w:lang w:bidi="ar-JO"/>
        </w:rPr>
        <w:t xml:space="preserve">، ط1،ج2، ص666، مكتبة الرشد - الرياض، السعودية، والريسوني، </w:t>
      </w:r>
      <w:r w:rsidRPr="002273BC">
        <w:rPr>
          <w:rFonts w:ascii="Arabic Transparent" w:hAnsi="Arabic Transparent" w:cs="Arabic Transparent" w:hint="cs"/>
          <w:b/>
          <w:bCs/>
          <w:sz w:val="24"/>
          <w:szCs w:val="24"/>
          <w:rtl/>
          <w:lang w:bidi="ar-JO"/>
        </w:rPr>
        <w:t>نظرية المقاصد عند الشاطبي</w:t>
      </w:r>
      <w:r w:rsidRPr="002273BC">
        <w:rPr>
          <w:rFonts w:ascii="Arabic Transparent" w:hAnsi="Arabic Transparent" w:cs="Arabic Transparent" w:hint="cs"/>
          <w:sz w:val="24"/>
          <w:szCs w:val="24"/>
          <w:rtl/>
          <w:lang w:bidi="ar-JO"/>
        </w:rPr>
        <w:t xml:space="preserve">، مصدر سابق، ص355، والسفياني، عابد بن محمد، (1988)، </w:t>
      </w:r>
      <w:r w:rsidRPr="002273BC">
        <w:rPr>
          <w:rFonts w:ascii="Arabic Transparent" w:hAnsi="Arabic Transparent" w:cs="Arabic Transparent" w:hint="cs"/>
          <w:b/>
          <w:bCs/>
          <w:sz w:val="24"/>
          <w:szCs w:val="24"/>
          <w:rtl/>
          <w:lang w:bidi="ar-JO"/>
        </w:rPr>
        <w:t>الثبات والشمول في الشريعة الإسلامية</w:t>
      </w:r>
      <w:r w:rsidRPr="002273BC">
        <w:rPr>
          <w:rFonts w:ascii="Arabic Transparent" w:hAnsi="Arabic Transparent" w:cs="Arabic Transparent" w:hint="cs"/>
          <w:sz w:val="24"/>
          <w:szCs w:val="24"/>
          <w:rtl/>
          <w:lang w:bidi="ar-JO"/>
        </w:rPr>
        <w:t xml:space="preserve">، ط1، ص214 مكتبة المنارة - مكة المكرمة، السعودية، وفي القضاء تطبيقات عرضت في كتاب، الخنين، عبد الله بن محمد، (2003)، </w:t>
      </w:r>
      <w:r w:rsidRPr="002273BC">
        <w:rPr>
          <w:rFonts w:ascii="Arabic Transparent" w:hAnsi="Arabic Transparent" w:cs="Arabic Transparent" w:hint="cs"/>
          <w:b/>
          <w:bCs/>
          <w:sz w:val="24"/>
          <w:szCs w:val="24"/>
          <w:rtl/>
          <w:lang w:bidi="ar-JO"/>
        </w:rPr>
        <w:t>توصيف الأقضية في الشريعة الإسلامية</w:t>
      </w:r>
      <w:r w:rsidRPr="002273BC">
        <w:rPr>
          <w:rFonts w:ascii="Arabic Transparent" w:hAnsi="Arabic Transparent" w:cs="Arabic Transparent" w:hint="cs"/>
          <w:sz w:val="24"/>
          <w:szCs w:val="24"/>
          <w:rtl/>
          <w:lang w:bidi="ar-JO"/>
        </w:rPr>
        <w:t>، ط1، ج2، ص331، بدون ناشر - السعودية.</w:t>
      </w:r>
    </w:p>
  </w:footnote>
  <w:footnote w:id="87">
    <w:p w14:paraId="010B489C" w14:textId="48C251C1" w:rsidR="00B22EEB" w:rsidRPr="002273BC" w:rsidRDefault="00B22EEB"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w:t>
      </w:r>
      <w:r w:rsidR="001E0356" w:rsidRPr="002273BC">
        <w:rPr>
          <w:rFonts w:ascii="Arabic Transparent" w:hAnsi="Arabic Transparent" w:cs="Arabic Transparent" w:hint="cs"/>
          <w:sz w:val="24"/>
          <w:szCs w:val="24"/>
          <w:rtl/>
          <w:lang w:bidi="ar-JO"/>
        </w:rPr>
        <w:t>انظر:</w:t>
      </w:r>
      <w:r w:rsidR="00845298" w:rsidRPr="002273BC">
        <w:rPr>
          <w:rFonts w:ascii="Arabic Transparent" w:hAnsi="Arabic Transparent" w:cs="Arabic Transparent" w:hint="cs"/>
          <w:sz w:val="24"/>
          <w:szCs w:val="24"/>
          <w:rtl/>
          <w:lang w:bidi="ar-JO"/>
        </w:rPr>
        <w:t xml:space="preserve"> </w:t>
      </w:r>
      <w:r w:rsidR="002130E6" w:rsidRPr="002273BC">
        <w:rPr>
          <w:rFonts w:ascii="Arabic Transparent" w:hAnsi="Arabic Transparent" w:cs="Arabic Transparent" w:hint="cs"/>
          <w:sz w:val="24"/>
          <w:szCs w:val="24"/>
          <w:rtl/>
          <w:lang w:bidi="ar-JO"/>
        </w:rPr>
        <w:t xml:space="preserve">الزبيدي، </w:t>
      </w:r>
      <w:r w:rsidR="002130E6" w:rsidRPr="002273BC">
        <w:rPr>
          <w:rFonts w:ascii="Arabic Transparent" w:hAnsi="Arabic Transparent" w:cs="Arabic Transparent" w:hint="cs"/>
          <w:b/>
          <w:bCs/>
          <w:sz w:val="24"/>
          <w:szCs w:val="24"/>
          <w:rtl/>
          <w:lang w:bidi="ar-JO"/>
        </w:rPr>
        <w:t>الاجتهاد في مناط الحكم الشرعي دراسة تأصيلية تطبيقية</w:t>
      </w:r>
      <w:r w:rsidR="002130E6" w:rsidRPr="002273BC">
        <w:rPr>
          <w:rFonts w:ascii="Arabic Transparent" w:hAnsi="Arabic Transparent" w:cs="Arabic Transparent" w:hint="cs"/>
          <w:sz w:val="24"/>
          <w:szCs w:val="24"/>
          <w:rtl/>
          <w:lang w:bidi="ar-JO"/>
        </w:rPr>
        <w:t>،</w:t>
      </w:r>
      <w:r w:rsidR="0047559C" w:rsidRPr="002273BC">
        <w:rPr>
          <w:rFonts w:ascii="Arabic Transparent" w:hAnsi="Arabic Transparent" w:cs="Arabic Transparent" w:hint="cs"/>
          <w:sz w:val="24"/>
          <w:szCs w:val="24"/>
          <w:rtl/>
          <w:lang w:bidi="ar-JO"/>
        </w:rPr>
        <w:t xml:space="preserve"> مصدر سابق،</w:t>
      </w:r>
      <w:r w:rsidR="002130E6" w:rsidRPr="002273BC">
        <w:rPr>
          <w:rFonts w:ascii="Arabic Transparent" w:hAnsi="Arabic Transparent" w:cs="Arabic Transparent" w:hint="cs"/>
          <w:sz w:val="24"/>
          <w:szCs w:val="24"/>
          <w:rtl/>
          <w:lang w:bidi="ar-JO"/>
        </w:rPr>
        <w:t xml:space="preserve"> ص240</w:t>
      </w:r>
      <w:r w:rsidR="007B01D9" w:rsidRPr="002273BC">
        <w:rPr>
          <w:rFonts w:ascii="Arabic Transparent" w:hAnsi="Arabic Transparent" w:cs="Arabic Transparent" w:hint="cs"/>
          <w:sz w:val="24"/>
          <w:szCs w:val="24"/>
          <w:rtl/>
          <w:lang w:bidi="ar-JO"/>
        </w:rPr>
        <w:t>.</w:t>
      </w:r>
    </w:p>
  </w:footnote>
  <w:footnote w:id="88">
    <w:p w14:paraId="08FBE88D" w14:textId="5165B714" w:rsidR="0047595A" w:rsidRPr="002273BC" w:rsidRDefault="00860B6C"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هناك العد</w:t>
      </w:r>
      <w:r w:rsidR="00B277DB" w:rsidRPr="002273BC">
        <w:rPr>
          <w:rFonts w:ascii="Arabic Transparent" w:hAnsi="Arabic Transparent" w:cs="Arabic Transparent" w:hint="cs"/>
          <w:sz w:val="24"/>
          <w:szCs w:val="24"/>
          <w:rtl/>
          <w:lang w:bidi="ar-JO"/>
        </w:rPr>
        <w:t>ي</w:t>
      </w:r>
      <w:r w:rsidRPr="002273BC">
        <w:rPr>
          <w:rFonts w:ascii="Arabic Transparent" w:hAnsi="Arabic Transparent" w:cs="Arabic Transparent" w:hint="cs"/>
          <w:sz w:val="24"/>
          <w:szCs w:val="24"/>
          <w:rtl/>
          <w:lang w:bidi="ar-JO"/>
        </w:rPr>
        <w:t>د من الآثار</w:t>
      </w:r>
      <w:r w:rsidR="00AE7032" w:rsidRPr="002273BC">
        <w:rPr>
          <w:rFonts w:ascii="Arabic Transparent" w:hAnsi="Arabic Transparent" w:cs="Arabic Transparent" w:hint="cs"/>
          <w:sz w:val="24"/>
          <w:szCs w:val="24"/>
          <w:rtl/>
          <w:lang w:bidi="ar-JO"/>
        </w:rPr>
        <w:t xml:space="preserve"> تستعمل</w:t>
      </w:r>
      <w:r w:rsidRPr="002273BC">
        <w:rPr>
          <w:rFonts w:ascii="Arabic Transparent" w:hAnsi="Arabic Transparent" w:cs="Arabic Transparent" w:hint="cs"/>
          <w:sz w:val="24"/>
          <w:szCs w:val="24"/>
          <w:rtl/>
          <w:lang w:bidi="ar-JO"/>
        </w:rPr>
        <w:t xml:space="preserve"> </w:t>
      </w:r>
      <w:r w:rsidR="00AE7032" w:rsidRPr="002273BC">
        <w:rPr>
          <w:rFonts w:ascii="Arabic Transparent" w:hAnsi="Arabic Transparent" w:cs="Arabic Transparent" w:hint="cs"/>
          <w:sz w:val="24"/>
          <w:szCs w:val="24"/>
          <w:rtl/>
          <w:lang w:bidi="ar-JO"/>
        </w:rPr>
        <w:t>ك</w:t>
      </w:r>
      <w:r w:rsidR="009A1CD7" w:rsidRPr="002273BC">
        <w:rPr>
          <w:rFonts w:ascii="Arabic Transparent" w:hAnsi="Arabic Transparent" w:cs="Arabic Transparent" w:hint="cs"/>
          <w:sz w:val="24"/>
          <w:szCs w:val="24"/>
          <w:rtl/>
          <w:lang w:bidi="ar-JO"/>
        </w:rPr>
        <w:t>شواهد</w:t>
      </w:r>
      <w:r w:rsidR="00AE7032" w:rsidRPr="002273BC">
        <w:rPr>
          <w:rFonts w:ascii="Arabic Transparent" w:hAnsi="Arabic Transparent" w:cs="Arabic Transparent" w:hint="cs"/>
          <w:sz w:val="24"/>
          <w:szCs w:val="24"/>
          <w:rtl/>
          <w:lang w:bidi="ar-JO"/>
        </w:rPr>
        <w:t>،</w:t>
      </w:r>
      <w:r w:rsidRPr="002273BC">
        <w:rPr>
          <w:rFonts w:ascii="Arabic Transparent" w:hAnsi="Arabic Transparent" w:cs="Arabic Transparent" w:hint="cs"/>
          <w:sz w:val="24"/>
          <w:szCs w:val="24"/>
          <w:rtl/>
          <w:lang w:bidi="ar-JO"/>
        </w:rPr>
        <w:t xml:space="preserve"> وما اختاره الباحث على سبيل المثال</w:t>
      </w:r>
      <w:r w:rsidR="0047595A" w:rsidRPr="002273BC">
        <w:rPr>
          <w:rFonts w:ascii="Arabic Transparent" w:hAnsi="Arabic Transparent" w:cs="Arabic Transparent" w:hint="cs"/>
          <w:sz w:val="24"/>
          <w:szCs w:val="24"/>
          <w:rtl/>
          <w:lang w:bidi="ar-JO"/>
        </w:rPr>
        <w:t>،</w:t>
      </w:r>
      <w:r w:rsidR="00887D04">
        <w:rPr>
          <w:rFonts w:ascii="Arabic Transparent" w:hAnsi="Arabic Transparent" w:cs="Arabic Transparent" w:hint="cs"/>
          <w:sz w:val="24"/>
          <w:szCs w:val="24"/>
          <w:rtl/>
          <w:lang w:bidi="ar-JO"/>
        </w:rPr>
        <w:t xml:space="preserve"> </w:t>
      </w:r>
      <w:r w:rsidR="00887D04" w:rsidRPr="002273BC">
        <w:rPr>
          <w:rFonts w:ascii="Arabic Transparent" w:hAnsi="Arabic Transparent" w:cs="Arabic Transparent" w:hint="cs"/>
          <w:sz w:val="24"/>
          <w:szCs w:val="24"/>
          <w:rtl/>
          <w:lang w:bidi="ar-JO"/>
        </w:rPr>
        <w:t xml:space="preserve">انظر: الريسوني، </w:t>
      </w:r>
      <w:r w:rsidR="00887D04" w:rsidRPr="002273BC">
        <w:rPr>
          <w:rFonts w:ascii="Arabic Transparent" w:hAnsi="Arabic Transparent" w:cs="Arabic Transparent" w:hint="cs"/>
          <w:b/>
          <w:bCs/>
          <w:sz w:val="24"/>
          <w:szCs w:val="24"/>
          <w:rtl/>
          <w:lang w:bidi="ar-JO"/>
        </w:rPr>
        <w:t>نظرية المقاصد عند الشاطبي</w:t>
      </w:r>
      <w:r w:rsidR="00887D04" w:rsidRPr="002273BC">
        <w:rPr>
          <w:rFonts w:ascii="Arabic Transparent" w:hAnsi="Arabic Transparent" w:cs="Arabic Transparent" w:hint="cs"/>
          <w:sz w:val="24"/>
          <w:szCs w:val="24"/>
          <w:rtl/>
          <w:lang w:bidi="ar-JO"/>
        </w:rPr>
        <w:t>، مصدر سابق، ص355،</w:t>
      </w:r>
      <w:r w:rsidR="0047595A" w:rsidRPr="002273BC">
        <w:rPr>
          <w:rFonts w:ascii="Arabic Transparent" w:hAnsi="Arabic Transparent" w:cs="Arabic Transparent" w:hint="cs"/>
          <w:sz w:val="24"/>
          <w:szCs w:val="24"/>
          <w:rtl/>
          <w:lang w:bidi="ar-JO"/>
        </w:rPr>
        <w:t xml:space="preserve"> </w:t>
      </w:r>
      <w:r w:rsidR="00887D04">
        <w:rPr>
          <w:rFonts w:ascii="Arabic Transparent" w:hAnsi="Arabic Transparent" w:cs="Arabic Transparent" w:hint="cs"/>
          <w:sz w:val="24"/>
          <w:szCs w:val="24"/>
          <w:rtl/>
          <w:lang w:bidi="ar-JO"/>
        </w:rPr>
        <w:t>و</w:t>
      </w:r>
      <w:r w:rsidR="001E0356" w:rsidRPr="002273BC">
        <w:rPr>
          <w:rFonts w:ascii="Arabic Transparent" w:hAnsi="Arabic Transparent" w:cs="Arabic Transparent" w:hint="cs"/>
          <w:sz w:val="24"/>
          <w:szCs w:val="24"/>
          <w:rtl/>
          <w:lang w:bidi="ar-JO"/>
        </w:rPr>
        <w:t>انظر:</w:t>
      </w:r>
      <w:r w:rsidR="0047595A" w:rsidRPr="002273BC">
        <w:rPr>
          <w:rFonts w:ascii="Arabic Transparent" w:hAnsi="Arabic Transparent" w:cs="Arabic Transparent" w:hint="cs"/>
          <w:sz w:val="24"/>
          <w:szCs w:val="24"/>
          <w:rtl/>
          <w:lang w:bidi="ar-JO"/>
        </w:rPr>
        <w:t xml:space="preserve"> العيد، يوس، وحياهم، توفيق،(2019) </w:t>
      </w:r>
      <w:r w:rsidR="00E9359B" w:rsidRPr="002273BC">
        <w:rPr>
          <w:rFonts w:ascii="Arabic Transparent" w:hAnsi="Arabic Transparent" w:cs="Arabic Transparent" w:hint="cs"/>
          <w:sz w:val="24"/>
          <w:szCs w:val="24"/>
          <w:rtl/>
          <w:lang w:bidi="ar-JO"/>
        </w:rPr>
        <w:t>دراسة</w:t>
      </w:r>
      <w:r w:rsidR="0047595A" w:rsidRPr="002273BC">
        <w:rPr>
          <w:rFonts w:ascii="Arabic Transparent" w:hAnsi="Arabic Transparent" w:cs="Arabic Transparent" w:hint="cs"/>
          <w:sz w:val="24"/>
          <w:szCs w:val="24"/>
          <w:rtl/>
          <w:lang w:bidi="ar-JO"/>
        </w:rPr>
        <w:t xml:space="preserve"> ماجستير في العلوم الشرعية، بعنوان: </w:t>
      </w:r>
      <w:r w:rsidR="0047595A" w:rsidRPr="002273BC">
        <w:rPr>
          <w:rFonts w:ascii="Arabic Transparent" w:hAnsi="Arabic Transparent" w:cs="Arabic Transparent" w:hint="cs"/>
          <w:b/>
          <w:bCs/>
          <w:sz w:val="24"/>
          <w:szCs w:val="24"/>
          <w:rtl/>
          <w:lang w:bidi="ar-JO"/>
        </w:rPr>
        <w:t>تحقيق المناط وتطبيقاته على نماذج من القضايا المعاصرة</w:t>
      </w:r>
      <w:r w:rsidR="0047595A" w:rsidRPr="002273BC">
        <w:rPr>
          <w:rFonts w:ascii="Arabic Transparent" w:hAnsi="Arabic Transparent" w:cs="Arabic Transparent" w:hint="cs"/>
          <w:sz w:val="24"/>
          <w:szCs w:val="24"/>
          <w:rtl/>
          <w:lang w:bidi="ar-JO"/>
        </w:rPr>
        <w:t>، جامعة آكلي محند، قسم الشريعة، الجزائر، ص24-28.</w:t>
      </w:r>
    </w:p>
  </w:footnote>
  <w:footnote w:id="89">
    <w:p w14:paraId="3124EBAE" w14:textId="6A2A8DEC" w:rsidR="004D48CF" w:rsidRPr="002273BC" w:rsidRDefault="004D48CF"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w:t>
      </w:r>
      <w:r w:rsidR="00DB5C9A" w:rsidRPr="002273BC">
        <w:rPr>
          <w:rFonts w:ascii="Arabic Transparent" w:hAnsi="Arabic Transparent" w:cs="Arabic Transparent" w:hint="cs"/>
          <w:sz w:val="24"/>
          <w:szCs w:val="24"/>
          <w:rtl/>
          <w:lang w:bidi="ar-JO"/>
        </w:rPr>
        <w:t xml:space="preserve">أخرجه </w:t>
      </w:r>
      <w:r w:rsidRPr="002273BC">
        <w:rPr>
          <w:rFonts w:ascii="Arabic Transparent" w:hAnsi="Arabic Transparent" w:cs="Arabic Transparent" w:hint="cs"/>
          <w:sz w:val="24"/>
          <w:szCs w:val="24"/>
          <w:rtl/>
          <w:lang w:bidi="ar-JO"/>
        </w:rPr>
        <w:t>البخاري</w:t>
      </w:r>
      <w:r w:rsidR="00DB5C9A" w:rsidRPr="002273BC">
        <w:rPr>
          <w:rFonts w:ascii="Arabic Transparent" w:hAnsi="Arabic Transparent" w:cs="Arabic Transparent" w:hint="cs"/>
          <w:sz w:val="24"/>
          <w:szCs w:val="24"/>
          <w:rtl/>
          <w:lang w:bidi="ar-JO"/>
        </w:rPr>
        <w:t xml:space="preserve"> في صحيحه</w:t>
      </w:r>
      <w:r w:rsidRPr="002273BC">
        <w:rPr>
          <w:rFonts w:ascii="Arabic Transparent" w:hAnsi="Arabic Transparent" w:cs="Arabic Transparent" w:hint="cs"/>
          <w:sz w:val="24"/>
          <w:szCs w:val="24"/>
          <w:rtl/>
          <w:lang w:bidi="ar-JO"/>
        </w:rPr>
        <w:t xml:space="preserve">، </w:t>
      </w:r>
      <w:r w:rsidR="0047559C" w:rsidRPr="002273BC">
        <w:rPr>
          <w:rFonts w:ascii="Arabic Transparent" w:hAnsi="Arabic Transparent" w:cs="Arabic Transparent" w:hint="cs"/>
          <w:b/>
          <w:bCs/>
          <w:sz w:val="24"/>
          <w:szCs w:val="24"/>
          <w:rtl/>
          <w:lang w:bidi="ar-JO"/>
        </w:rPr>
        <w:t>صحيح البخاري</w:t>
      </w:r>
      <w:r w:rsidRPr="002273BC">
        <w:rPr>
          <w:rFonts w:ascii="Arabic Transparent" w:hAnsi="Arabic Transparent" w:cs="Arabic Transparent" w:hint="cs"/>
          <w:sz w:val="24"/>
          <w:szCs w:val="24"/>
          <w:rtl/>
          <w:lang w:bidi="ar-JO"/>
        </w:rPr>
        <w:t xml:space="preserve">، </w:t>
      </w:r>
      <w:r w:rsidR="0047559C" w:rsidRPr="002273BC">
        <w:rPr>
          <w:rFonts w:ascii="Arabic Transparent" w:hAnsi="Arabic Transparent" w:cs="Arabic Transparent" w:hint="cs"/>
          <w:sz w:val="24"/>
          <w:szCs w:val="24"/>
          <w:rtl/>
          <w:lang w:bidi="ar-JO"/>
        </w:rPr>
        <w:t>مصدر سابق،</w:t>
      </w:r>
      <w:r w:rsidRPr="002273BC">
        <w:rPr>
          <w:rFonts w:ascii="Arabic Transparent" w:hAnsi="Arabic Transparent" w:cs="Arabic Transparent" w:hint="cs"/>
          <w:sz w:val="24"/>
          <w:szCs w:val="24"/>
          <w:rtl/>
          <w:lang w:bidi="ar-JO"/>
        </w:rPr>
        <w:t xml:space="preserve">، </w:t>
      </w:r>
      <w:r w:rsidR="007F5B73" w:rsidRPr="002273BC">
        <w:rPr>
          <w:rFonts w:ascii="Arabic Transparent" w:hAnsi="Arabic Transparent" w:cs="Arabic Transparent" w:hint="cs"/>
          <w:sz w:val="24"/>
          <w:szCs w:val="24"/>
          <w:rtl/>
          <w:lang w:bidi="ar-JO"/>
        </w:rPr>
        <w:t xml:space="preserve">كتاب الجهاد والسير، باب فضل الجاد والسير، رقم: </w:t>
      </w:r>
      <w:r w:rsidR="00206475" w:rsidRPr="002273BC">
        <w:rPr>
          <w:rFonts w:ascii="Arabic Transparent" w:hAnsi="Arabic Transparent" w:cs="Arabic Transparent" w:hint="cs"/>
          <w:sz w:val="24"/>
          <w:szCs w:val="24"/>
          <w:rtl/>
          <w:lang w:bidi="ar-JO"/>
        </w:rPr>
        <w:t>2630</w:t>
      </w:r>
      <w:r w:rsidR="007F5B73" w:rsidRPr="002273BC">
        <w:rPr>
          <w:rFonts w:ascii="Arabic Transparent" w:hAnsi="Arabic Transparent" w:cs="Arabic Transparent" w:hint="cs"/>
          <w:sz w:val="24"/>
          <w:szCs w:val="24"/>
          <w:rtl/>
          <w:lang w:bidi="ar-JO"/>
        </w:rPr>
        <w:t>، ج3</w:t>
      </w:r>
      <w:r w:rsidR="00206475" w:rsidRPr="002273BC">
        <w:rPr>
          <w:rFonts w:ascii="Arabic Transparent" w:hAnsi="Arabic Transparent" w:cs="Arabic Transparent" w:hint="cs"/>
          <w:sz w:val="24"/>
          <w:szCs w:val="24"/>
          <w:rtl/>
          <w:lang w:bidi="ar-JO"/>
        </w:rPr>
        <w:t xml:space="preserve">، </w:t>
      </w:r>
      <w:r w:rsidR="007F5B73" w:rsidRPr="002273BC">
        <w:rPr>
          <w:rFonts w:ascii="Arabic Transparent" w:hAnsi="Arabic Transparent" w:cs="Arabic Transparent" w:hint="cs"/>
          <w:sz w:val="24"/>
          <w:szCs w:val="24"/>
          <w:rtl/>
          <w:lang w:bidi="ar-JO"/>
        </w:rPr>
        <w:t>ص1025.</w:t>
      </w:r>
      <w:r w:rsidRPr="002273BC">
        <w:rPr>
          <w:rFonts w:ascii="Arabic Transparent" w:hAnsi="Arabic Transparent" w:cs="Arabic Transparent" w:hint="cs"/>
          <w:sz w:val="24"/>
          <w:szCs w:val="24"/>
          <w:rtl/>
          <w:lang w:bidi="ar-JO"/>
        </w:rPr>
        <w:t xml:space="preserve"> </w:t>
      </w:r>
    </w:p>
  </w:footnote>
  <w:footnote w:id="90">
    <w:p w14:paraId="1CDFB03E" w14:textId="49F39E88" w:rsidR="004D48CF" w:rsidRPr="002273BC" w:rsidRDefault="004D48CF"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w:t>
      </w:r>
      <w:r w:rsidR="00F85250" w:rsidRPr="002273BC">
        <w:rPr>
          <w:rFonts w:ascii="Arabic Transparent" w:hAnsi="Arabic Transparent" w:cs="Arabic Transparent" w:hint="cs"/>
          <w:sz w:val="24"/>
          <w:szCs w:val="24"/>
          <w:rtl/>
          <w:lang w:bidi="ar-JO"/>
        </w:rPr>
        <w:t>أخرجه البخاري في صحيحه</w:t>
      </w:r>
      <w:r w:rsidR="007F5B73" w:rsidRPr="002273BC">
        <w:rPr>
          <w:rFonts w:ascii="Arabic Transparent" w:hAnsi="Arabic Transparent" w:cs="Arabic Transparent" w:hint="cs"/>
          <w:sz w:val="24"/>
          <w:szCs w:val="24"/>
          <w:rtl/>
          <w:lang w:bidi="ar-JO"/>
        </w:rPr>
        <w:t xml:space="preserve">، </w:t>
      </w:r>
      <w:r w:rsidR="0047559C" w:rsidRPr="002273BC">
        <w:rPr>
          <w:rFonts w:ascii="Arabic Transparent" w:hAnsi="Arabic Transparent" w:cs="Arabic Transparent" w:hint="cs"/>
          <w:b/>
          <w:bCs/>
          <w:sz w:val="24"/>
          <w:szCs w:val="24"/>
          <w:rtl/>
          <w:lang w:bidi="ar-JO"/>
        </w:rPr>
        <w:t>صحيح البخاري</w:t>
      </w:r>
      <w:r w:rsidR="000F026C" w:rsidRPr="002273BC">
        <w:rPr>
          <w:rFonts w:ascii="Arabic Transparent" w:hAnsi="Arabic Transparent" w:cs="Arabic Transparent" w:hint="cs"/>
          <w:sz w:val="24"/>
          <w:szCs w:val="24"/>
          <w:rtl/>
          <w:lang w:bidi="ar-JO"/>
        </w:rPr>
        <w:t xml:space="preserve">، </w:t>
      </w:r>
      <w:r w:rsidR="00D129CA" w:rsidRPr="002273BC">
        <w:rPr>
          <w:rFonts w:ascii="Arabic Transparent" w:hAnsi="Arabic Transparent" w:cs="Arabic Transparent" w:hint="cs"/>
          <w:sz w:val="24"/>
          <w:szCs w:val="24"/>
          <w:rtl/>
          <w:lang w:bidi="ar-JO"/>
        </w:rPr>
        <w:t>مصدر</w:t>
      </w:r>
      <w:r w:rsidR="007F5B73" w:rsidRPr="002273BC">
        <w:rPr>
          <w:rFonts w:ascii="Arabic Transparent" w:hAnsi="Arabic Transparent" w:cs="Arabic Transparent" w:hint="cs"/>
          <w:sz w:val="24"/>
          <w:szCs w:val="24"/>
          <w:rtl/>
          <w:lang w:bidi="ar-JO"/>
        </w:rPr>
        <w:t xml:space="preserve"> سابق،</w:t>
      </w:r>
      <w:r w:rsidR="00F85250" w:rsidRPr="002273BC">
        <w:rPr>
          <w:rFonts w:ascii="Arabic Transparent" w:hAnsi="Arabic Transparent" w:cs="Arabic Transparent" w:hint="cs"/>
          <w:sz w:val="24"/>
          <w:szCs w:val="24"/>
          <w:rtl/>
          <w:lang w:bidi="ar-JO"/>
        </w:rPr>
        <w:t xml:space="preserve"> كتاب الحج، باب وجوب العمرة وفضلها، </w:t>
      </w:r>
      <w:r w:rsidR="007F5B73" w:rsidRPr="002273BC">
        <w:rPr>
          <w:rFonts w:ascii="Arabic Transparent" w:hAnsi="Arabic Transparent" w:cs="Arabic Transparent" w:hint="cs"/>
          <w:sz w:val="24"/>
          <w:szCs w:val="24"/>
          <w:rtl/>
          <w:lang w:bidi="ar-JO"/>
        </w:rPr>
        <w:t>رقم 1519،</w:t>
      </w:r>
      <w:r w:rsidR="00206475" w:rsidRPr="002273BC">
        <w:rPr>
          <w:rFonts w:ascii="Arabic Transparent" w:hAnsi="Arabic Transparent" w:cs="Arabic Transparent" w:hint="cs"/>
          <w:sz w:val="24"/>
          <w:szCs w:val="24"/>
          <w:rtl/>
          <w:lang w:bidi="ar-JO"/>
        </w:rPr>
        <w:t xml:space="preserve"> ج2</w:t>
      </w:r>
      <w:r w:rsidRPr="002273BC">
        <w:rPr>
          <w:rFonts w:ascii="Arabic Transparent" w:hAnsi="Arabic Transparent" w:cs="Arabic Transparent" w:hint="cs"/>
          <w:sz w:val="24"/>
          <w:szCs w:val="24"/>
          <w:rtl/>
          <w:lang w:bidi="ar-JO"/>
        </w:rPr>
        <w:t xml:space="preserve">، </w:t>
      </w:r>
      <w:r w:rsidR="00206475" w:rsidRPr="002273BC">
        <w:rPr>
          <w:rFonts w:ascii="Arabic Transparent" w:hAnsi="Arabic Transparent" w:cs="Arabic Transparent" w:hint="cs"/>
          <w:sz w:val="24"/>
          <w:szCs w:val="24"/>
          <w:rtl/>
          <w:lang w:bidi="ar-JO"/>
        </w:rPr>
        <w:t>ص133</w:t>
      </w:r>
      <w:r w:rsidR="007F5B73" w:rsidRPr="002273BC">
        <w:rPr>
          <w:rFonts w:ascii="Arabic Transparent" w:hAnsi="Arabic Transparent" w:cs="Arabic Transparent" w:hint="cs"/>
          <w:sz w:val="24"/>
          <w:szCs w:val="24"/>
          <w:rtl/>
          <w:lang w:bidi="ar-JO"/>
        </w:rPr>
        <w:t xml:space="preserve">، </w:t>
      </w:r>
      <w:r w:rsidR="00860B6C" w:rsidRPr="002273BC">
        <w:rPr>
          <w:rFonts w:ascii="Arabic Transparent" w:hAnsi="Arabic Transparent" w:cs="Arabic Transparent" w:hint="cs"/>
          <w:sz w:val="24"/>
          <w:szCs w:val="24"/>
          <w:rtl/>
          <w:lang w:bidi="ar-JO"/>
        </w:rPr>
        <w:t xml:space="preserve">ومسلم، </w:t>
      </w:r>
      <w:r w:rsidR="00860B6C" w:rsidRPr="002273BC">
        <w:rPr>
          <w:rFonts w:ascii="Arabic Transparent" w:hAnsi="Arabic Transparent" w:cs="Arabic Transparent" w:hint="cs"/>
          <w:b/>
          <w:bCs/>
          <w:sz w:val="24"/>
          <w:szCs w:val="24"/>
          <w:rtl/>
          <w:lang w:bidi="ar-JO"/>
        </w:rPr>
        <w:t>صحيحُ مسلم</w:t>
      </w:r>
      <w:r w:rsidR="00860B6C" w:rsidRPr="002273BC">
        <w:rPr>
          <w:rFonts w:ascii="Arabic Transparent" w:hAnsi="Arabic Transparent" w:cs="Arabic Transparent" w:hint="cs"/>
          <w:sz w:val="24"/>
          <w:szCs w:val="24"/>
          <w:rtl/>
          <w:lang w:bidi="ar-JO"/>
        </w:rPr>
        <w:t>، ، كتاب الإيمان، باب بيان كون الإيمان بالله تعالى أفضل الأعمال، رقم83، ج1</w:t>
      </w:r>
      <w:r w:rsidR="00206475" w:rsidRPr="002273BC">
        <w:rPr>
          <w:rFonts w:ascii="Arabic Transparent" w:hAnsi="Arabic Transparent" w:cs="Arabic Transparent" w:hint="cs"/>
          <w:sz w:val="24"/>
          <w:szCs w:val="24"/>
          <w:rtl/>
          <w:lang w:bidi="ar-JO"/>
        </w:rPr>
        <w:t>،</w:t>
      </w:r>
      <w:r w:rsidR="00860B6C" w:rsidRPr="002273BC">
        <w:rPr>
          <w:rFonts w:ascii="Arabic Transparent" w:hAnsi="Arabic Transparent" w:cs="Arabic Transparent" w:hint="cs"/>
          <w:sz w:val="24"/>
          <w:szCs w:val="24"/>
          <w:rtl/>
          <w:lang w:bidi="ar-JO"/>
        </w:rPr>
        <w:t xml:space="preserve"> ص88</w:t>
      </w:r>
      <w:r w:rsidR="00930ACA" w:rsidRPr="002273BC">
        <w:rPr>
          <w:rFonts w:ascii="Arabic Transparent" w:hAnsi="Arabic Transparent" w:cs="Arabic Transparent" w:hint="cs"/>
          <w:sz w:val="24"/>
          <w:szCs w:val="24"/>
          <w:rtl/>
          <w:lang w:bidi="ar-JO"/>
        </w:rPr>
        <w:t>.</w:t>
      </w:r>
    </w:p>
  </w:footnote>
  <w:footnote w:id="91">
    <w:p w14:paraId="59E531CB" w14:textId="114FFEC6" w:rsidR="00975323" w:rsidRPr="002273BC" w:rsidRDefault="00975323"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ابن حجر، أحمد بن علي</w:t>
      </w:r>
      <w:r w:rsidR="00EB7D70" w:rsidRPr="002273BC">
        <w:rPr>
          <w:rFonts w:ascii="Arabic Transparent" w:hAnsi="Arabic Transparent" w:cs="Arabic Transparent" w:hint="cs"/>
          <w:sz w:val="24"/>
          <w:szCs w:val="24"/>
          <w:rtl/>
          <w:lang w:bidi="ar-JO"/>
        </w:rPr>
        <w:t xml:space="preserve"> العسقلاني</w:t>
      </w:r>
      <w:r w:rsidRPr="002273BC">
        <w:rPr>
          <w:rFonts w:ascii="Arabic Transparent" w:hAnsi="Arabic Transparent" w:cs="Arabic Transparent" w:hint="cs"/>
          <w:sz w:val="24"/>
          <w:szCs w:val="24"/>
          <w:rtl/>
          <w:lang w:bidi="ar-JO"/>
        </w:rPr>
        <w:t xml:space="preserve">، (1960م)، </w:t>
      </w:r>
      <w:r w:rsidRPr="002273BC">
        <w:rPr>
          <w:rFonts w:ascii="Arabic Transparent" w:hAnsi="Arabic Transparent" w:cs="Arabic Transparent" w:hint="cs"/>
          <w:b/>
          <w:bCs/>
          <w:sz w:val="24"/>
          <w:szCs w:val="24"/>
          <w:rtl/>
          <w:lang w:bidi="ar-JO"/>
        </w:rPr>
        <w:t>فتح الباري بشرح البخاري، تحقيق محمد فؤاد عبد الباقي</w:t>
      </w:r>
      <w:r w:rsidRPr="002273BC">
        <w:rPr>
          <w:rFonts w:ascii="Arabic Transparent" w:hAnsi="Arabic Transparent" w:cs="Arabic Transparent" w:hint="cs"/>
          <w:sz w:val="24"/>
          <w:szCs w:val="24"/>
          <w:rtl/>
          <w:lang w:bidi="ar-JO"/>
        </w:rPr>
        <w:t>، ط1، ج2</w:t>
      </w:r>
      <w:r w:rsidR="00930ACA" w:rsidRPr="002273BC">
        <w:rPr>
          <w:rFonts w:ascii="Arabic Transparent" w:hAnsi="Arabic Transparent" w:cs="Arabic Transparent" w:hint="cs"/>
          <w:sz w:val="24"/>
          <w:szCs w:val="24"/>
          <w:rtl/>
          <w:lang w:bidi="ar-JO"/>
        </w:rPr>
        <w:t>،</w:t>
      </w:r>
      <w:r w:rsidRPr="002273BC">
        <w:rPr>
          <w:rFonts w:ascii="Arabic Transparent" w:hAnsi="Arabic Transparent" w:cs="Arabic Transparent" w:hint="cs"/>
          <w:sz w:val="24"/>
          <w:szCs w:val="24"/>
          <w:rtl/>
          <w:lang w:bidi="ar-JO"/>
        </w:rPr>
        <w:t xml:space="preserve"> ص9، المكتبة السلفية – مصر.</w:t>
      </w:r>
    </w:p>
  </w:footnote>
  <w:footnote w:id="92">
    <w:p w14:paraId="7EE12461" w14:textId="46CC0F12" w:rsidR="00EB615D" w:rsidRPr="002273BC" w:rsidRDefault="00EB615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w:t>
      </w:r>
      <w:r w:rsidR="001E0356" w:rsidRPr="002273BC">
        <w:rPr>
          <w:rFonts w:ascii="Arabic Transparent" w:hAnsi="Arabic Transparent" w:cs="Arabic Transparent" w:hint="cs"/>
          <w:sz w:val="24"/>
          <w:szCs w:val="24"/>
          <w:rtl/>
          <w:lang w:bidi="ar-JO"/>
        </w:rPr>
        <w:t>انظر:</w:t>
      </w:r>
      <w:r w:rsidRPr="002273BC">
        <w:rPr>
          <w:rFonts w:ascii="Arabic Transparent" w:hAnsi="Arabic Transparent" w:cs="Arabic Transparent" w:hint="cs"/>
          <w:sz w:val="24"/>
          <w:szCs w:val="24"/>
          <w:rtl/>
          <w:lang w:bidi="ar-JO"/>
        </w:rPr>
        <w:t xml:space="preserve"> مصطفى نسيم، (2005)، </w:t>
      </w:r>
      <w:r w:rsidR="007874AE" w:rsidRPr="002273BC">
        <w:rPr>
          <w:rFonts w:ascii="Arabic Transparent" w:hAnsi="Arabic Transparent" w:cs="Arabic Transparent" w:hint="cs"/>
          <w:sz w:val="24"/>
          <w:szCs w:val="24"/>
          <w:rtl/>
          <w:lang w:bidi="ar-JO"/>
        </w:rPr>
        <w:t xml:space="preserve">دراسة بعنوان: </w:t>
      </w:r>
      <w:r w:rsidRPr="002273BC">
        <w:rPr>
          <w:rFonts w:ascii="Arabic Transparent" w:hAnsi="Arabic Transparent" w:cs="Arabic Transparent" w:hint="cs"/>
          <w:b/>
          <w:bCs/>
          <w:sz w:val="24"/>
          <w:szCs w:val="24"/>
          <w:rtl/>
          <w:lang w:bidi="ar-JO"/>
        </w:rPr>
        <w:t>تحقيق المناط وأثره في اختلاف الأحكام الفقهية</w:t>
      </w:r>
      <w:r w:rsidRPr="002273BC">
        <w:rPr>
          <w:rFonts w:ascii="Arabic Transparent" w:hAnsi="Arabic Transparent" w:cs="Arabic Transparent" w:hint="cs"/>
          <w:sz w:val="24"/>
          <w:szCs w:val="24"/>
          <w:rtl/>
          <w:lang w:bidi="ar-JO"/>
        </w:rPr>
        <w:t>، كلية العلوم الإنسانية -قسم العلوم الإسلامية، ص80-85، جامعة وهران، الجزائر.</w:t>
      </w:r>
    </w:p>
  </w:footnote>
  <w:footnote w:id="93">
    <w:p w14:paraId="4D5A3557" w14:textId="3E624DD8" w:rsidR="00026AD3" w:rsidRPr="002273BC" w:rsidRDefault="00026AD3"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00D46C1C">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sz w:val="24"/>
          <w:szCs w:val="24"/>
          <w:rtl/>
          <w:lang w:bidi="ar-JO"/>
        </w:rPr>
        <w:t xml:space="preserve">ابن كثير، إسماعيل بن عمر، (2013م)، </w:t>
      </w:r>
      <w:r w:rsidRPr="002273BC">
        <w:rPr>
          <w:rFonts w:ascii="Arabic Transparent" w:hAnsi="Arabic Transparent" w:cs="Arabic Transparent" w:hint="cs"/>
          <w:b/>
          <w:bCs/>
          <w:sz w:val="24"/>
          <w:szCs w:val="24"/>
          <w:rtl/>
          <w:lang w:bidi="ar-JO"/>
        </w:rPr>
        <w:t>البداية والنهاية</w:t>
      </w:r>
      <w:r w:rsidRPr="002273BC">
        <w:rPr>
          <w:rFonts w:ascii="Arabic Transparent" w:hAnsi="Arabic Transparent" w:cs="Arabic Transparent" w:hint="cs"/>
          <w:sz w:val="24"/>
          <w:szCs w:val="24"/>
          <w:rtl/>
          <w:lang w:bidi="ar-JO"/>
        </w:rPr>
        <w:t>، تحقيق محيي الدين ديب مستو وآخرون، ط3، ج7، ص160، دار ابن كثير – دمشق/بيروت.</w:t>
      </w:r>
    </w:p>
  </w:footnote>
  <w:footnote w:id="94">
    <w:p w14:paraId="4F87F70F" w14:textId="6EABA6A1" w:rsidR="002264E9" w:rsidRPr="002273BC" w:rsidRDefault="002264E9"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00CC5C8F">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sz w:val="24"/>
          <w:szCs w:val="24"/>
          <w:rtl/>
          <w:lang w:bidi="ar-JO"/>
        </w:rPr>
        <w:t xml:space="preserve">مصطفى، </w:t>
      </w:r>
      <w:r w:rsidRPr="002273BC">
        <w:rPr>
          <w:rFonts w:ascii="Arabic Transparent" w:hAnsi="Arabic Transparent" w:cs="Arabic Transparent" w:hint="cs"/>
          <w:b/>
          <w:bCs/>
          <w:sz w:val="24"/>
          <w:szCs w:val="24"/>
          <w:rtl/>
          <w:lang w:bidi="ar-JO"/>
        </w:rPr>
        <w:t xml:space="preserve">تحقيق المناط وأثره </w:t>
      </w:r>
      <w:r w:rsidR="00A23E4D" w:rsidRPr="002273BC">
        <w:rPr>
          <w:rFonts w:ascii="Arabic Transparent" w:hAnsi="Arabic Transparent" w:cs="Arabic Transparent" w:hint="cs"/>
          <w:b/>
          <w:bCs/>
          <w:sz w:val="24"/>
          <w:szCs w:val="24"/>
          <w:rtl/>
          <w:lang w:bidi="ar-JO"/>
        </w:rPr>
        <w:t>في</w:t>
      </w:r>
      <w:r w:rsidRPr="002273BC">
        <w:rPr>
          <w:rFonts w:ascii="Arabic Transparent" w:hAnsi="Arabic Transparent" w:cs="Arabic Transparent" w:hint="cs"/>
          <w:b/>
          <w:bCs/>
          <w:sz w:val="24"/>
          <w:szCs w:val="24"/>
          <w:rtl/>
          <w:lang w:bidi="ar-JO"/>
        </w:rPr>
        <w:t xml:space="preserve"> اختلاف الأحكام الفقهية</w:t>
      </w:r>
      <w:r w:rsidRPr="002273BC">
        <w:rPr>
          <w:rFonts w:ascii="Arabic Transparent" w:hAnsi="Arabic Transparent" w:cs="Arabic Transparent" w:hint="cs"/>
          <w:sz w:val="24"/>
          <w:szCs w:val="24"/>
          <w:rtl/>
          <w:lang w:bidi="ar-JO"/>
        </w:rPr>
        <w:t xml:space="preserve">، </w:t>
      </w:r>
      <w:r w:rsidR="00D129CA" w:rsidRPr="002273BC">
        <w:rPr>
          <w:rFonts w:ascii="Arabic Transparent" w:hAnsi="Arabic Transparent" w:cs="Arabic Transparent" w:hint="cs"/>
          <w:sz w:val="24"/>
          <w:szCs w:val="24"/>
          <w:rtl/>
          <w:lang w:bidi="ar-JO"/>
        </w:rPr>
        <w:t>مصدر</w:t>
      </w:r>
      <w:r w:rsidRPr="002273BC">
        <w:rPr>
          <w:rFonts w:ascii="Arabic Transparent" w:hAnsi="Arabic Transparent" w:cs="Arabic Transparent" w:hint="cs"/>
          <w:sz w:val="24"/>
          <w:szCs w:val="24"/>
          <w:rtl/>
          <w:lang w:bidi="ar-JO"/>
        </w:rPr>
        <w:t xml:space="preserve"> سابق، ص81.</w:t>
      </w:r>
    </w:p>
  </w:footnote>
  <w:footnote w:id="95">
    <w:p w14:paraId="2C190190" w14:textId="2CBF597D" w:rsidR="002F7DF0" w:rsidRPr="002273BC" w:rsidRDefault="002F7DF0"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w:t>
      </w:r>
      <w:r w:rsidR="00A23E4D" w:rsidRPr="002273BC">
        <w:rPr>
          <w:rFonts w:ascii="Arabic Transparent" w:hAnsi="Arabic Transparent" w:cs="Arabic Transparent" w:hint="cs"/>
          <w:sz w:val="24"/>
          <w:szCs w:val="24"/>
          <w:rtl/>
          <w:lang w:bidi="ar-JO"/>
        </w:rPr>
        <w:t xml:space="preserve">انظر: ابن كثير، إسماعيل بن عمر بن كثير القرشي الدمشقي، (2009)، </w:t>
      </w:r>
      <w:r w:rsidR="00A23E4D" w:rsidRPr="002273BC">
        <w:rPr>
          <w:rFonts w:ascii="Arabic Transparent" w:hAnsi="Arabic Transparent" w:cs="Arabic Transparent" w:hint="cs"/>
          <w:b/>
          <w:bCs/>
          <w:sz w:val="24"/>
          <w:szCs w:val="24"/>
          <w:rtl/>
          <w:lang w:bidi="ar-JO"/>
        </w:rPr>
        <w:t xml:space="preserve">مسند الفاروق أمير المؤمنين أبي حفص عمر بن الخطاب </w:t>
      </w:r>
      <w:r w:rsidR="005224A0" w:rsidRPr="002273BC">
        <w:rPr>
          <w:rFonts w:ascii="AGA Arabesque" w:eastAsia="AGA Arabesque" w:hAnsi="AGA Arabesque" w:cs="AGA Arabesque"/>
          <w:b/>
          <w:bCs/>
          <w:sz w:val="24"/>
          <w:szCs w:val="24"/>
          <w:lang w:bidi="ar-JO"/>
        </w:rPr>
        <w:t></w:t>
      </w:r>
      <w:r w:rsidR="00A23E4D" w:rsidRPr="002273BC">
        <w:rPr>
          <w:rFonts w:ascii="Arabic Transparent" w:hAnsi="Arabic Transparent" w:cs="Arabic Transparent" w:hint="cs"/>
          <w:b/>
          <w:bCs/>
          <w:sz w:val="24"/>
          <w:szCs w:val="24"/>
          <w:rtl/>
          <w:lang w:bidi="ar-JO"/>
        </w:rPr>
        <w:t xml:space="preserve"> وأقواله على أبواب العلم </w:t>
      </w:r>
      <w:r w:rsidR="00A23E4D" w:rsidRPr="002273BC">
        <w:rPr>
          <w:rFonts w:ascii="Arabic Transparent" w:hAnsi="Arabic Transparent" w:cs="Arabic Transparent" w:hint="cs"/>
          <w:sz w:val="24"/>
          <w:szCs w:val="24"/>
          <w:rtl/>
          <w:lang w:bidi="ar-JO"/>
        </w:rPr>
        <w:t>(تحقيق إمام بن علي بن إمام)، ط1، ج2، ص192-220، دار الفلاح، الفيوم – مصر. و</w:t>
      </w:r>
      <w:r w:rsidR="001E0356" w:rsidRPr="002273BC">
        <w:rPr>
          <w:rFonts w:ascii="Arabic Transparent" w:hAnsi="Arabic Transparent" w:cs="Arabic Transparent" w:hint="cs"/>
          <w:sz w:val="24"/>
          <w:szCs w:val="24"/>
          <w:rtl/>
          <w:lang w:bidi="ar-JO"/>
        </w:rPr>
        <w:t>انظر:</w:t>
      </w:r>
      <w:r w:rsidRPr="002273BC">
        <w:rPr>
          <w:rFonts w:ascii="Arabic Transparent" w:hAnsi="Arabic Transparent" w:cs="Arabic Transparent" w:hint="cs"/>
          <w:sz w:val="24"/>
          <w:szCs w:val="24"/>
          <w:rtl/>
          <w:lang w:bidi="ar-JO"/>
        </w:rPr>
        <w:t xml:space="preserve"> حنفي، خالد محمد عبد الواحد (2015). </w:t>
      </w:r>
      <w:r w:rsidRPr="002273BC">
        <w:rPr>
          <w:rFonts w:ascii="Arabic Transparent" w:hAnsi="Arabic Transparent" w:cs="Arabic Transparent" w:hint="cs"/>
          <w:b/>
          <w:bCs/>
          <w:sz w:val="24"/>
          <w:szCs w:val="24"/>
          <w:rtl/>
          <w:lang w:bidi="ar-JO"/>
        </w:rPr>
        <w:t>اجتهادات عمر بن الخطاب: دراسة أصولية</w:t>
      </w:r>
      <w:r w:rsidRPr="002273BC">
        <w:rPr>
          <w:rFonts w:ascii="Arabic Transparent" w:hAnsi="Arabic Transparent" w:cs="Arabic Transparent" w:hint="cs"/>
          <w:sz w:val="24"/>
          <w:szCs w:val="24"/>
          <w:rtl/>
          <w:lang w:bidi="ar-JO"/>
        </w:rPr>
        <w:t>، ط1، ص43-48، دار الفكر العربي- القاهرة.</w:t>
      </w:r>
    </w:p>
  </w:footnote>
  <w:footnote w:id="96">
    <w:p w14:paraId="687086F3" w14:textId="587AC38E" w:rsidR="00975323" w:rsidRPr="002273BC" w:rsidRDefault="00975323"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004C213A" w:rsidRPr="002273BC">
        <w:rPr>
          <w:rFonts w:ascii="Arabic Transparent" w:hAnsi="Arabic Transparent" w:cs="Arabic Transparent" w:hint="cs"/>
          <w:sz w:val="24"/>
          <w:szCs w:val="24"/>
          <w:rtl/>
          <w:lang w:bidi="ar-JO"/>
        </w:rPr>
        <w:t xml:space="preserve"> العكبري، </w:t>
      </w:r>
      <w:r w:rsidR="004C213A" w:rsidRPr="002273BC">
        <w:rPr>
          <w:rFonts w:ascii="Arabic Transparent" w:hAnsi="Arabic Transparent" w:cs="Arabic Transparent" w:hint="cs"/>
          <w:b/>
          <w:bCs/>
          <w:sz w:val="24"/>
          <w:szCs w:val="24"/>
          <w:rtl/>
          <w:lang w:bidi="ar-JO"/>
        </w:rPr>
        <w:t>رسالة في أصوله الفقه،</w:t>
      </w:r>
      <w:r w:rsidR="004C213A" w:rsidRPr="002273BC">
        <w:rPr>
          <w:rFonts w:ascii="Arabic Transparent" w:hAnsi="Arabic Transparent" w:cs="Arabic Transparent" w:hint="cs"/>
          <w:sz w:val="24"/>
          <w:szCs w:val="24"/>
          <w:rtl/>
          <w:lang w:bidi="ar-JO"/>
        </w:rPr>
        <w:t xml:space="preserve"> </w:t>
      </w:r>
      <w:r w:rsidR="00D129CA" w:rsidRPr="002273BC">
        <w:rPr>
          <w:rFonts w:ascii="Arabic Transparent" w:hAnsi="Arabic Transparent" w:cs="Arabic Transparent" w:hint="cs"/>
          <w:sz w:val="24"/>
          <w:szCs w:val="24"/>
          <w:rtl/>
          <w:lang w:bidi="ar-JO"/>
        </w:rPr>
        <w:t>مصدر</w:t>
      </w:r>
      <w:r w:rsidR="004C213A" w:rsidRPr="002273BC">
        <w:rPr>
          <w:rFonts w:ascii="Arabic Transparent" w:hAnsi="Arabic Transparent" w:cs="Arabic Transparent" w:hint="cs"/>
          <w:sz w:val="24"/>
          <w:szCs w:val="24"/>
          <w:rtl/>
          <w:lang w:bidi="ar-JO"/>
        </w:rPr>
        <w:t xml:space="preserve"> سابق، ج1، ص81.</w:t>
      </w:r>
    </w:p>
  </w:footnote>
  <w:footnote w:id="97">
    <w:p w14:paraId="75B25358" w14:textId="210AC505" w:rsidR="00975323" w:rsidRPr="002273BC" w:rsidRDefault="004C213A"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 xml:space="preserve"> </w:t>
      </w:r>
      <w:r w:rsidR="00975323" w:rsidRPr="002273BC">
        <w:rPr>
          <w:rFonts w:ascii="Arabic Transparent" w:hAnsi="Arabic Transparent" w:cs="Arabic Transparent" w:hint="cs"/>
          <w:sz w:val="24"/>
          <w:szCs w:val="24"/>
          <w:lang w:bidi="ar-JO"/>
        </w:rPr>
        <w:t>(</w:t>
      </w:r>
      <w:r w:rsidR="00975323" w:rsidRPr="002273BC">
        <w:rPr>
          <w:rFonts w:ascii="Arabic Transparent" w:hAnsi="Arabic Transparent" w:cs="Arabic Transparent" w:hint="cs"/>
          <w:sz w:val="24"/>
          <w:szCs w:val="24"/>
          <w:lang w:bidi="ar-JO"/>
        </w:rPr>
        <w:footnoteRef/>
      </w:r>
      <w:r w:rsidR="00975323" w:rsidRPr="002273BC">
        <w:rPr>
          <w:rFonts w:ascii="Arabic Transparent" w:hAnsi="Arabic Transparent" w:cs="Arabic Transparent" w:hint="cs"/>
          <w:sz w:val="24"/>
          <w:szCs w:val="24"/>
          <w:lang w:bidi="ar-JO"/>
        </w:rPr>
        <w:t>)</w:t>
      </w:r>
      <w:r w:rsidR="00E709A9" w:rsidRPr="002273BC">
        <w:rPr>
          <w:rFonts w:ascii="Arabic Transparent" w:hAnsi="Arabic Transparent" w:cs="Arabic Transparent" w:hint="cs"/>
          <w:sz w:val="24"/>
          <w:szCs w:val="24"/>
          <w:rtl/>
          <w:lang w:bidi="ar-JO"/>
        </w:rPr>
        <w:t>ا</w:t>
      </w:r>
      <w:r w:rsidRPr="002273BC">
        <w:rPr>
          <w:rFonts w:ascii="Arabic Transparent" w:hAnsi="Arabic Transparent" w:cs="Arabic Transparent" w:hint="cs"/>
          <w:sz w:val="24"/>
          <w:szCs w:val="24"/>
          <w:rtl/>
          <w:lang w:bidi="ar-JO"/>
        </w:rPr>
        <w:t xml:space="preserve">لغزالي، </w:t>
      </w:r>
      <w:r w:rsidRPr="002273BC">
        <w:rPr>
          <w:rFonts w:ascii="Arabic Transparent" w:hAnsi="Arabic Transparent" w:cs="Arabic Transparent" w:hint="cs"/>
          <w:b/>
          <w:bCs/>
          <w:sz w:val="24"/>
          <w:szCs w:val="24"/>
          <w:rtl/>
          <w:lang w:bidi="ar-JO"/>
        </w:rPr>
        <w:t>المستصفى</w:t>
      </w:r>
      <w:r w:rsidRPr="002273BC">
        <w:rPr>
          <w:rFonts w:ascii="Arabic Transparent" w:hAnsi="Arabic Transparent" w:cs="Arabic Transparent" w:hint="cs"/>
          <w:sz w:val="24"/>
          <w:szCs w:val="24"/>
          <w:rtl/>
          <w:lang w:bidi="ar-JO"/>
        </w:rPr>
        <w:t xml:space="preserve">، </w:t>
      </w:r>
      <w:r w:rsidR="00D129CA" w:rsidRPr="002273BC">
        <w:rPr>
          <w:rFonts w:ascii="Arabic Transparent" w:hAnsi="Arabic Transparent" w:cs="Arabic Transparent" w:hint="cs"/>
          <w:sz w:val="24"/>
          <w:szCs w:val="24"/>
          <w:rtl/>
          <w:lang w:bidi="ar-JO"/>
        </w:rPr>
        <w:t>مصدر</w:t>
      </w:r>
      <w:r w:rsidRPr="002273BC">
        <w:rPr>
          <w:rFonts w:ascii="Arabic Transparent" w:hAnsi="Arabic Transparent" w:cs="Arabic Transparent" w:hint="cs"/>
          <w:sz w:val="24"/>
          <w:szCs w:val="24"/>
          <w:rtl/>
          <w:lang w:bidi="ar-JO"/>
        </w:rPr>
        <w:t xml:space="preserve"> سابق، ج1، ص487.</w:t>
      </w:r>
    </w:p>
  </w:footnote>
  <w:footnote w:id="98">
    <w:p w14:paraId="401B0A01" w14:textId="69C81CBB" w:rsidR="00975323" w:rsidRPr="002273BC" w:rsidRDefault="00975323"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004033F5">
        <w:rPr>
          <w:rFonts w:ascii="Arabic Transparent" w:hAnsi="Arabic Transparent" w:cs="Arabic Transparent" w:hint="cs"/>
          <w:sz w:val="24"/>
          <w:szCs w:val="24"/>
          <w:rtl/>
          <w:lang w:bidi="ar-JO"/>
        </w:rPr>
        <w:t xml:space="preserve"> </w:t>
      </w:r>
      <w:r w:rsidR="004C213A" w:rsidRPr="002273BC">
        <w:rPr>
          <w:rFonts w:ascii="Arabic Transparent" w:hAnsi="Arabic Transparent" w:cs="Arabic Transparent" w:hint="cs"/>
          <w:sz w:val="24"/>
          <w:szCs w:val="24"/>
          <w:rtl/>
          <w:lang w:bidi="ar-JO"/>
        </w:rPr>
        <w:t xml:space="preserve">الطوفي، </w:t>
      </w:r>
      <w:r w:rsidR="004C213A" w:rsidRPr="002273BC">
        <w:rPr>
          <w:rFonts w:ascii="Arabic Transparent" w:hAnsi="Arabic Transparent" w:cs="Arabic Transparent" w:hint="cs"/>
          <w:b/>
          <w:bCs/>
          <w:sz w:val="24"/>
          <w:szCs w:val="24"/>
          <w:rtl/>
          <w:lang w:bidi="ar-JO"/>
        </w:rPr>
        <w:t xml:space="preserve">شرح مختصر الروضة، </w:t>
      </w:r>
      <w:r w:rsidR="00D129CA" w:rsidRPr="002273BC">
        <w:rPr>
          <w:rFonts w:ascii="Arabic Transparent" w:hAnsi="Arabic Transparent" w:cs="Arabic Transparent" w:hint="cs"/>
          <w:sz w:val="24"/>
          <w:szCs w:val="24"/>
          <w:rtl/>
          <w:lang w:bidi="ar-JO"/>
        </w:rPr>
        <w:t>مصدر</w:t>
      </w:r>
      <w:r w:rsidR="004C213A" w:rsidRPr="002273BC">
        <w:rPr>
          <w:rFonts w:ascii="Arabic Transparent" w:hAnsi="Arabic Transparent" w:cs="Arabic Transparent" w:hint="cs"/>
          <w:sz w:val="24"/>
          <w:szCs w:val="24"/>
          <w:rtl/>
          <w:lang w:bidi="ar-JO"/>
        </w:rPr>
        <w:t xml:space="preserve"> سابق، ج3، ص802-803.</w:t>
      </w:r>
    </w:p>
  </w:footnote>
  <w:footnote w:id="99">
    <w:p w14:paraId="69005CE7" w14:textId="46B2AF04" w:rsidR="00975323" w:rsidRPr="002273BC" w:rsidRDefault="00975323"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w:t>
      </w:r>
      <w:r w:rsidR="004C213A" w:rsidRPr="002273BC">
        <w:rPr>
          <w:rFonts w:ascii="Arabic Transparent" w:hAnsi="Arabic Transparent" w:cs="Arabic Transparent" w:hint="cs"/>
          <w:sz w:val="24"/>
          <w:szCs w:val="24"/>
          <w:rtl/>
          <w:lang w:bidi="ar-JO"/>
        </w:rPr>
        <w:t xml:space="preserve">الآمدي، </w:t>
      </w:r>
      <w:r w:rsidR="004C213A" w:rsidRPr="002273BC">
        <w:rPr>
          <w:rFonts w:ascii="Arabic Transparent" w:hAnsi="Arabic Transparent" w:cs="Arabic Transparent" w:hint="cs"/>
          <w:b/>
          <w:bCs/>
          <w:sz w:val="24"/>
          <w:szCs w:val="24"/>
          <w:rtl/>
          <w:lang w:bidi="ar-JO"/>
        </w:rPr>
        <w:t>الإحكام شرح أصول الأحكام،</w:t>
      </w:r>
      <w:r w:rsidR="004C213A" w:rsidRPr="002273BC">
        <w:rPr>
          <w:rFonts w:ascii="Arabic Transparent" w:hAnsi="Arabic Transparent" w:cs="Arabic Transparent" w:hint="cs"/>
          <w:sz w:val="24"/>
          <w:szCs w:val="24"/>
          <w:rtl/>
          <w:lang w:bidi="ar-JO"/>
        </w:rPr>
        <w:t xml:space="preserve"> </w:t>
      </w:r>
      <w:r w:rsidR="00D129CA" w:rsidRPr="002273BC">
        <w:rPr>
          <w:rFonts w:ascii="Arabic Transparent" w:hAnsi="Arabic Transparent" w:cs="Arabic Transparent" w:hint="cs"/>
          <w:sz w:val="24"/>
          <w:szCs w:val="24"/>
          <w:rtl/>
          <w:lang w:bidi="ar-JO"/>
        </w:rPr>
        <w:t>مصدر</w:t>
      </w:r>
      <w:r w:rsidR="004C213A" w:rsidRPr="002273BC">
        <w:rPr>
          <w:rFonts w:ascii="Arabic Transparent" w:hAnsi="Arabic Transparent" w:cs="Arabic Transparent" w:hint="cs"/>
          <w:sz w:val="24"/>
          <w:szCs w:val="24"/>
          <w:rtl/>
          <w:lang w:bidi="ar-JO"/>
        </w:rPr>
        <w:t xml:space="preserve"> سابق، ج3، ص380.</w:t>
      </w:r>
    </w:p>
  </w:footnote>
  <w:footnote w:id="100">
    <w:p w14:paraId="28CB334E" w14:textId="4BDE2B54" w:rsidR="00975323" w:rsidRPr="002273BC" w:rsidRDefault="00975323"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004033F5">
        <w:rPr>
          <w:rFonts w:ascii="Arabic Transparent" w:hAnsi="Arabic Transparent" w:cs="Arabic Transparent" w:hint="cs"/>
          <w:sz w:val="24"/>
          <w:szCs w:val="24"/>
          <w:rtl/>
          <w:lang w:bidi="ar-JO"/>
        </w:rPr>
        <w:t xml:space="preserve"> </w:t>
      </w:r>
      <w:r w:rsidR="004C213A" w:rsidRPr="002273BC">
        <w:rPr>
          <w:rFonts w:ascii="Arabic Transparent" w:hAnsi="Arabic Transparent" w:cs="Arabic Transparent" w:hint="cs"/>
          <w:sz w:val="24"/>
          <w:szCs w:val="24"/>
          <w:rtl/>
          <w:lang w:bidi="ar-JO"/>
        </w:rPr>
        <w:t xml:space="preserve">ابن السبكي، </w:t>
      </w:r>
      <w:r w:rsidR="004C213A" w:rsidRPr="002273BC">
        <w:rPr>
          <w:rFonts w:ascii="Arabic Transparent" w:hAnsi="Arabic Transparent" w:cs="Arabic Transparent" w:hint="cs"/>
          <w:b/>
          <w:bCs/>
          <w:sz w:val="24"/>
          <w:szCs w:val="24"/>
          <w:rtl/>
          <w:lang w:bidi="ar-JO"/>
        </w:rPr>
        <w:t>الإبهاج</w:t>
      </w:r>
      <w:r w:rsidR="00E709A9" w:rsidRPr="002273BC">
        <w:rPr>
          <w:rFonts w:ascii="Arabic Transparent" w:hAnsi="Arabic Transparent" w:cs="Arabic Transparent" w:hint="cs"/>
          <w:b/>
          <w:bCs/>
          <w:sz w:val="24"/>
          <w:szCs w:val="24"/>
          <w:rtl/>
          <w:lang w:bidi="ar-JO"/>
        </w:rPr>
        <w:t xml:space="preserve"> في شرح المنهاج</w:t>
      </w:r>
      <w:r w:rsidR="004C213A" w:rsidRPr="002273BC">
        <w:rPr>
          <w:rFonts w:ascii="Arabic Transparent" w:hAnsi="Arabic Transparent" w:cs="Arabic Transparent" w:hint="cs"/>
          <w:sz w:val="24"/>
          <w:szCs w:val="24"/>
          <w:rtl/>
          <w:lang w:bidi="ar-JO"/>
        </w:rPr>
        <w:t xml:space="preserve">، </w:t>
      </w:r>
      <w:r w:rsidR="00D129CA" w:rsidRPr="002273BC">
        <w:rPr>
          <w:rFonts w:ascii="Arabic Transparent" w:hAnsi="Arabic Transparent" w:cs="Arabic Transparent" w:hint="cs"/>
          <w:sz w:val="24"/>
          <w:szCs w:val="24"/>
          <w:rtl/>
          <w:lang w:bidi="ar-JO"/>
        </w:rPr>
        <w:t>مصدر</w:t>
      </w:r>
      <w:r w:rsidR="004C213A" w:rsidRPr="002273BC">
        <w:rPr>
          <w:rFonts w:ascii="Arabic Transparent" w:hAnsi="Arabic Transparent" w:cs="Arabic Transparent" w:hint="cs"/>
          <w:sz w:val="24"/>
          <w:szCs w:val="24"/>
          <w:rtl/>
          <w:lang w:bidi="ar-JO"/>
        </w:rPr>
        <w:t xml:space="preserve"> سابق، ج3، ص83.</w:t>
      </w:r>
    </w:p>
  </w:footnote>
  <w:footnote w:id="101">
    <w:p w14:paraId="398E9151" w14:textId="22B0503D" w:rsidR="00975323" w:rsidRPr="002273BC" w:rsidRDefault="00975323"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004033F5">
        <w:rPr>
          <w:rFonts w:ascii="Arabic Transparent" w:hAnsi="Arabic Transparent" w:cs="Arabic Transparent" w:hint="cs"/>
          <w:sz w:val="24"/>
          <w:szCs w:val="24"/>
          <w:rtl/>
          <w:lang w:bidi="ar-JO"/>
        </w:rPr>
        <w:t xml:space="preserve"> </w:t>
      </w:r>
      <w:r w:rsidR="00876CDF" w:rsidRPr="002273BC">
        <w:rPr>
          <w:rFonts w:ascii="Arabic Transparent" w:hAnsi="Arabic Transparent" w:cs="Arabic Transparent"/>
          <w:sz w:val="24"/>
          <w:szCs w:val="24"/>
          <w:rtl/>
          <w:lang w:bidi="ar-JO"/>
        </w:rPr>
        <w:t xml:space="preserve">ابن تيمية، أحمد بن عبد الحليم، (2004م)، </w:t>
      </w:r>
      <w:r w:rsidR="00876CDF" w:rsidRPr="002273BC">
        <w:rPr>
          <w:rFonts w:ascii="Arabic Transparent" w:hAnsi="Arabic Transparent" w:cs="Arabic Transparent"/>
          <w:b/>
          <w:bCs/>
          <w:sz w:val="24"/>
          <w:szCs w:val="24"/>
          <w:rtl/>
          <w:lang w:bidi="ar-JO"/>
        </w:rPr>
        <w:t>مجموع الفتاوى</w:t>
      </w:r>
      <w:r w:rsidR="00876CDF" w:rsidRPr="002273BC">
        <w:rPr>
          <w:rFonts w:ascii="Arabic Transparent" w:hAnsi="Arabic Transparent" w:cs="Arabic Transparent"/>
          <w:sz w:val="24"/>
          <w:szCs w:val="24"/>
          <w:rtl/>
          <w:lang w:bidi="ar-JO"/>
        </w:rPr>
        <w:t xml:space="preserve">، تحقيق عبد الرحمن بن محمد بن قاسم، ط1، </w:t>
      </w:r>
      <w:r w:rsidR="00CC5C8F">
        <w:rPr>
          <w:rFonts w:ascii="Arabic Transparent" w:hAnsi="Arabic Transparent" w:cs="Arabic Transparent" w:hint="cs"/>
          <w:sz w:val="24"/>
          <w:szCs w:val="24"/>
          <w:rtl/>
          <w:lang w:bidi="ar-JO"/>
        </w:rPr>
        <w:t>ج</w:t>
      </w:r>
      <w:r w:rsidR="00876CDF" w:rsidRPr="002273BC">
        <w:rPr>
          <w:rFonts w:ascii="Arabic Transparent" w:hAnsi="Arabic Transparent" w:cs="Arabic Transparent"/>
          <w:sz w:val="24"/>
          <w:szCs w:val="24"/>
          <w:rtl/>
          <w:lang w:bidi="ar-JO"/>
        </w:rPr>
        <w:t>13، ص11/ ج19، ص16</w:t>
      </w:r>
      <w:r w:rsidR="00876CDF" w:rsidRPr="002273BC">
        <w:rPr>
          <w:rFonts w:ascii="Arabic Transparent" w:hAnsi="Arabic Transparent" w:cs="Arabic Transparent" w:hint="cs"/>
          <w:sz w:val="24"/>
          <w:szCs w:val="24"/>
          <w:rtl/>
          <w:lang w:bidi="ar-JO"/>
        </w:rPr>
        <w:t xml:space="preserve">، </w:t>
      </w:r>
      <w:r w:rsidR="00876CDF" w:rsidRPr="002273BC">
        <w:rPr>
          <w:rFonts w:ascii="Arabic Transparent" w:hAnsi="Arabic Transparent" w:cs="Arabic Transparent"/>
          <w:sz w:val="24"/>
          <w:szCs w:val="24"/>
          <w:rtl/>
          <w:lang w:bidi="ar-JO"/>
        </w:rPr>
        <w:t>مجمع الملك فهد لطباعة المصحف الشريف – المدينة المنورة.</w:t>
      </w:r>
    </w:p>
  </w:footnote>
  <w:footnote w:id="102">
    <w:p w14:paraId="68557971" w14:textId="0F675C21" w:rsidR="00975323" w:rsidRPr="002273BC" w:rsidRDefault="00975323"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000D672B" w:rsidRPr="002273BC">
        <w:rPr>
          <w:rFonts w:ascii="Arabic Transparent" w:hAnsi="Arabic Transparent" w:cs="Arabic Transparent" w:hint="cs"/>
          <w:sz w:val="24"/>
          <w:szCs w:val="24"/>
          <w:rtl/>
          <w:lang w:bidi="ar-JO"/>
        </w:rPr>
        <w:t xml:space="preserve"> الزركشي، </w:t>
      </w:r>
      <w:r w:rsidR="000D672B" w:rsidRPr="002273BC">
        <w:rPr>
          <w:rFonts w:ascii="Arabic Transparent" w:hAnsi="Arabic Transparent" w:cs="Arabic Transparent" w:hint="cs"/>
          <w:b/>
          <w:bCs/>
          <w:sz w:val="24"/>
          <w:szCs w:val="24"/>
          <w:rtl/>
          <w:lang w:bidi="ar-JO"/>
        </w:rPr>
        <w:t>البحر المحيط</w:t>
      </w:r>
      <w:r w:rsidR="000D672B" w:rsidRPr="002273BC">
        <w:rPr>
          <w:rFonts w:ascii="Arabic Transparent" w:hAnsi="Arabic Transparent" w:cs="Arabic Transparent" w:hint="cs"/>
          <w:sz w:val="24"/>
          <w:szCs w:val="24"/>
          <w:rtl/>
          <w:lang w:bidi="ar-JO"/>
        </w:rPr>
        <w:t xml:space="preserve">، </w:t>
      </w:r>
      <w:r w:rsidR="00D129CA" w:rsidRPr="002273BC">
        <w:rPr>
          <w:rFonts w:ascii="Arabic Transparent" w:hAnsi="Arabic Transparent" w:cs="Arabic Transparent" w:hint="cs"/>
          <w:sz w:val="24"/>
          <w:szCs w:val="24"/>
          <w:rtl/>
          <w:lang w:bidi="ar-JO"/>
        </w:rPr>
        <w:t>مصدر</w:t>
      </w:r>
      <w:r w:rsidR="000D672B" w:rsidRPr="002273BC">
        <w:rPr>
          <w:rFonts w:ascii="Arabic Transparent" w:hAnsi="Arabic Transparent" w:cs="Arabic Transparent" w:hint="cs"/>
          <w:sz w:val="24"/>
          <w:szCs w:val="24"/>
          <w:rtl/>
          <w:lang w:bidi="ar-JO"/>
        </w:rPr>
        <w:t xml:space="preserve"> سابق، ج5، ص256.</w:t>
      </w:r>
    </w:p>
  </w:footnote>
  <w:footnote w:id="103">
    <w:p w14:paraId="2928C78E" w14:textId="4F00B6C3" w:rsidR="00975323" w:rsidRPr="002273BC" w:rsidRDefault="00975323"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004033F5">
        <w:rPr>
          <w:rFonts w:ascii="Arabic Transparent" w:hAnsi="Arabic Transparent" w:cs="Arabic Transparent" w:hint="cs"/>
          <w:sz w:val="24"/>
          <w:szCs w:val="24"/>
          <w:rtl/>
          <w:lang w:bidi="ar-JO"/>
        </w:rPr>
        <w:t xml:space="preserve"> </w:t>
      </w:r>
      <w:r w:rsidR="002076AD" w:rsidRPr="002273BC">
        <w:rPr>
          <w:rFonts w:ascii="Arabic Transparent" w:hAnsi="Arabic Transparent" w:cs="Arabic Transparent" w:hint="cs"/>
          <w:sz w:val="24"/>
          <w:szCs w:val="24"/>
          <w:rtl/>
          <w:lang w:bidi="ar-JO"/>
        </w:rPr>
        <w:t xml:space="preserve">المرداوي، علي بن سليمان، (2000م)، التحبير </w:t>
      </w:r>
      <w:r w:rsidR="002076AD" w:rsidRPr="002273BC">
        <w:rPr>
          <w:rFonts w:ascii="Arabic Transparent" w:hAnsi="Arabic Transparent" w:cs="Arabic Transparent" w:hint="cs"/>
          <w:b/>
          <w:bCs/>
          <w:sz w:val="24"/>
          <w:szCs w:val="24"/>
          <w:rtl/>
          <w:lang w:bidi="ar-JO"/>
        </w:rPr>
        <w:t>شرح التحرير في أصول الفقه،</w:t>
      </w:r>
      <w:r w:rsidR="002076AD" w:rsidRPr="002273BC">
        <w:rPr>
          <w:rFonts w:ascii="Arabic Transparent" w:hAnsi="Arabic Transparent" w:cs="Arabic Transparent" w:hint="cs"/>
          <w:sz w:val="24"/>
          <w:szCs w:val="24"/>
          <w:rtl/>
          <w:lang w:bidi="ar-JO"/>
        </w:rPr>
        <w:t xml:space="preserve"> تحقيق عبد الرحمن الجبرين وعوض القرني وأحمد السراح، ط1، ج7، ص3453، مكتبة الرشد – الرياض.</w:t>
      </w:r>
    </w:p>
  </w:footnote>
  <w:footnote w:id="104">
    <w:p w14:paraId="4C53C5EA" w14:textId="0BB05DC4" w:rsidR="004C213A" w:rsidRPr="002273BC" w:rsidRDefault="004C213A"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w:t>
      </w:r>
      <w:r w:rsidR="001E0356" w:rsidRPr="002273BC">
        <w:rPr>
          <w:rFonts w:ascii="Arabic Transparent" w:hAnsi="Arabic Transparent" w:cs="Arabic Transparent" w:hint="cs"/>
          <w:sz w:val="24"/>
          <w:szCs w:val="24"/>
          <w:rtl/>
          <w:lang w:bidi="ar-JO"/>
        </w:rPr>
        <w:t>انظر:</w:t>
      </w:r>
      <w:r w:rsidR="000D672B" w:rsidRPr="002273BC">
        <w:rPr>
          <w:rFonts w:ascii="Arabic Transparent" w:hAnsi="Arabic Transparent" w:cs="Arabic Transparent" w:hint="cs"/>
          <w:sz w:val="24"/>
          <w:szCs w:val="24"/>
          <w:rtl/>
          <w:lang w:bidi="ar-JO"/>
        </w:rPr>
        <w:t xml:space="preserve"> </w:t>
      </w:r>
      <w:r w:rsidR="00930ACA" w:rsidRPr="002273BC">
        <w:rPr>
          <w:rFonts w:ascii="Arabic Transparent" w:hAnsi="Arabic Transparent" w:cs="Arabic Transparent"/>
          <w:sz w:val="24"/>
          <w:szCs w:val="24"/>
          <w:rtl/>
          <w:lang w:bidi="ar-JO"/>
        </w:rPr>
        <w:t xml:space="preserve">ابن النجار، محمد بن أحمد، (1997)، </w:t>
      </w:r>
      <w:r w:rsidR="00930ACA" w:rsidRPr="002273BC">
        <w:rPr>
          <w:rFonts w:ascii="Arabic Transparent" w:hAnsi="Arabic Transparent" w:cs="Arabic Transparent"/>
          <w:b/>
          <w:bCs/>
          <w:sz w:val="24"/>
          <w:szCs w:val="24"/>
          <w:rtl/>
          <w:lang w:bidi="ar-JO"/>
        </w:rPr>
        <w:t>شرح الكوكب المنير = المختبر المبتكر شرح المختصر</w:t>
      </w:r>
      <w:r w:rsidR="00930ACA" w:rsidRPr="002273BC">
        <w:rPr>
          <w:rFonts w:ascii="Arabic Transparent" w:hAnsi="Arabic Transparent" w:cs="Arabic Transparent"/>
          <w:sz w:val="24"/>
          <w:szCs w:val="24"/>
          <w:rtl/>
          <w:lang w:bidi="ar-JO"/>
        </w:rPr>
        <w:t xml:space="preserve"> (تحقيق محمد الزحيلي ونزيه حماد) ط2،</w:t>
      </w:r>
      <w:r w:rsidR="00930ACA" w:rsidRPr="002273BC">
        <w:rPr>
          <w:rFonts w:ascii="Arabic Transparent" w:hAnsi="Arabic Transparent" w:cs="Arabic Transparent" w:hint="cs"/>
          <w:sz w:val="24"/>
          <w:szCs w:val="24"/>
          <w:rtl/>
          <w:lang w:bidi="ar-JO"/>
        </w:rPr>
        <w:t xml:space="preserve"> </w:t>
      </w:r>
      <w:r w:rsidR="00930ACA" w:rsidRPr="002273BC">
        <w:rPr>
          <w:rFonts w:ascii="Arabic Transparent" w:hAnsi="Arabic Transparent" w:cs="Arabic Transparent"/>
          <w:sz w:val="24"/>
          <w:szCs w:val="24"/>
          <w:rtl/>
          <w:lang w:bidi="ar-JO"/>
        </w:rPr>
        <w:t>ج4، ص210</w:t>
      </w:r>
      <w:r w:rsidR="00930ACA" w:rsidRPr="002273BC">
        <w:rPr>
          <w:rFonts w:ascii="Arabic Transparent" w:hAnsi="Arabic Transparent" w:cs="Arabic Transparent" w:hint="cs"/>
          <w:sz w:val="24"/>
          <w:szCs w:val="24"/>
          <w:rtl/>
          <w:lang w:bidi="ar-JO"/>
        </w:rPr>
        <w:t>،</w:t>
      </w:r>
      <w:r w:rsidR="00930ACA" w:rsidRPr="002273BC">
        <w:rPr>
          <w:rFonts w:ascii="Arabic Transparent" w:hAnsi="Arabic Transparent" w:cs="Arabic Transparent"/>
          <w:sz w:val="24"/>
          <w:szCs w:val="24"/>
          <w:rtl/>
          <w:lang w:bidi="ar-JO"/>
        </w:rPr>
        <w:t xml:space="preserve"> مكتبة العبيكان - الرياض.</w:t>
      </w:r>
    </w:p>
  </w:footnote>
  <w:footnote w:id="105">
    <w:p w14:paraId="4F1AE185" w14:textId="00B92920" w:rsidR="004C213A" w:rsidRPr="002273BC" w:rsidRDefault="004C213A"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w:t>
      </w:r>
      <w:r w:rsidR="001E0356" w:rsidRPr="002273BC">
        <w:rPr>
          <w:rFonts w:ascii="Arabic Transparent" w:hAnsi="Arabic Transparent" w:cs="Arabic Transparent" w:hint="cs"/>
          <w:sz w:val="24"/>
          <w:szCs w:val="24"/>
          <w:rtl/>
          <w:lang w:bidi="ar-JO"/>
        </w:rPr>
        <w:t>انظر:</w:t>
      </w:r>
      <w:r w:rsidR="000D672B" w:rsidRPr="002273BC">
        <w:rPr>
          <w:rFonts w:ascii="Arabic Transparent" w:hAnsi="Arabic Transparent" w:cs="Arabic Transparent" w:hint="cs"/>
          <w:sz w:val="24"/>
          <w:szCs w:val="24"/>
          <w:rtl/>
          <w:lang w:bidi="ar-JO"/>
        </w:rPr>
        <w:t xml:space="preserve"> الشوكاني، </w:t>
      </w:r>
      <w:r w:rsidR="000D672B" w:rsidRPr="002273BC">
        <w:rPr>
          <w:rFonts w:ascii="Arabic Transparent" w:hAnsi="Arabic Transparent" w:cs="Arabic Transparent" w:hint="cs"/>
          <w:b/>
          <w:bCs/>
          <w:sz w:val="24"/>
          <w:szCs w:val="24"/>
          <w:rtl/>
          <w:lang w:bidi="ar-JO"/>
        </w:rPr>
        <w:t>ارشاد الفحول</w:t>
      </w:r>
      <w:r w:rsidR="002076AD" w:rsidRPr="002273BC">
        <w:rPr>
          <w:rFonts w:ascii="Arabic Transparent" w:hAnsi="Arabic Transparent" w:cs="Arabic Transparent" w:hint="cs"/>
          <w:b/>
          <w:bCs/>
          <w:sz w:val="24"/>
          <w:szCs w:val="24"/>
          <w:rtl/>
          <w:lang w:bidi="ar-JO"/>
        </w:rPr>
        <w:t xml:space="preserve"> إلى تحقيق الحق من علم الأصول</w:t>
      </w:r>
      <w:r w:rsidR="000F026C" w:rsidRPr="002273BC">
        <w:rPr>
          <w:rFonts w:ascii="Arabic Transparent" w:hAnsi="Arabic Transparent" w:cs="Arabic Transparent" w:hint="cs"/>
          <w:sz w:val="24"/>
          <w:szCs w:val="24"/>
          <w:rtl/>
          <w:lang w:bidi="ar-JO"/>
        </w:rPr>
        <w:t xml:space="preserve">، </w:t>
      </w:r>
      <w:r w:rsidR="00D129CA" w:rsidRPr="002273BC">
        <w:rPr>
          <w:rFonts w:ascii="Arabic Transparent" w:hAnsi="Arabic Transparent" w:cs="Arabic Transparent" w:hint="cs"/>
          <w:sz w:val="24"/>
          <w:szCs w:val="24"/>
          <w:rtl/>
          <w:lang w:bidi="ar-JO"/>
        </w:rPr>
        <w:t>مصدر</w:t>
      </w:r>
      <w:r w:rsidR="000D672B" w:rsidRPr="002273BC">
        <w:rPr>
          <w:rFonts w:ascii="Arabic Transparent" w:hAnsi="Arabic Transparent" w:cs="Arabic Transparent" w:hint="cs"/>
          <w:sz w:val="24"/>
          <w:szCs w:val="24"/>
          <w:rtl/>
          <w:lang w:bidi="ar-JO"/>
        </w:rPr>
        <w:t xml:space="preserve"> سابق، ج2، ص920.</w:t>
      </w:r>
    </w:p>
  </w:footnote>
  <w:footnote w:id="106">
    <w:p w14:paraId="65CE136F" w14:textId="68D825F6" w:rsidR="004C213A" w:rsidRPr="002273BC" w:rsidRDefault="004C213A"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ا</w:t>
      </w:r>
      <w:r w:rsidR="00A23E4D" w:rsidRPr="002273BC">
        <w:rPr>
          <w:rFonts w:ascii="Arabic Transparent" w:hAnsi="Arabic Transparent" w:cs="Arabic Transparent" w:hint="cs"/>
          <w:sz w:val="24"/>
          <w:szCs w:val="24"/>
          <w:rtl/>
          <w:lang w:bidi="ar-JO"/>
        </w:rPr>
        <w:t xml:space="preserve">بن </w:t>
      </w:r>
      <w:r w:rsidR="00D40089" w:rsidRPr="002273BC">
        <w:rPr>
          <w:rFonts w:ascii="Arabic Transparent" w:hAnsi="Arabic Transparent" w:cs="Arabic Transparent" w:hint="cs"/>
          <w:sz w:val="24"/>
          <w:szCs w:val="24"/>
          <w:rtl/>
          <w:lang w:bidi="ar-JO"/>
        </w:rPr>
        <w:t>قدامة</w:t>
      </w:r>
      <w:r w:rsidRPr="002273BC">
        <w:rPr>
          <w:rFonts w:ascii="Arabic Transparent" w:hAnsi="Arabic Transparent" w:cs="Arabic Transparent" w:hint="cs"/>
          <w:sz w:val="24"/>
          <w:szCs w:val="24"/>
          <w:rtl/>
          <w:lang w:bidi="ar-JO"/>
        </w:rPr>
        <w:t xml:space="preserve">، </w:t>
      </w:r>
      <w:r w:rsidR="002076AD" w:rsidRPr="002273BC">
        <w:rPr>
          <w:rFonts w:ascii="Arabic Transparent" w:hAnsi="Arabic Transparent" w:cs="Arabic Transparent" w:hint="cs"/>
          <w:b/>
          <w:bCs/>
          <w:sz w:val="24"/>
          <w:szCs w:val="24"/>
          <w:rtl/>
          <w:lang w:bidi="ar-JO"/>
        </w:rPr>
        <w:t>روضة الناظر وجنة المناظر</w:t>
      </w:r>
      <w:r w:rsidR="000F026C" w:rsidRPr="002273BC">
        <w:rPr>
          <w:rFonts w:ascii="Arabic Transparent" w:hAnsi="Arabic Transparent" w:cs="Arabic Transparent" w:hint="cs"/>
          <w:sz w:val="24"/>
          <w:szCs w:val="24"/>
          <w:rtl/>
          <w:lang w:bidi="ar-JO"/>
        </w:rPr>
        <w:t xml:space="preserve">، </w:t>
      </w:r>
      <w:r w:rsidR="00D129CA" w:rsidRPr="002273BC">
        <w:rPr>
          <w:rFonts w:ascii="Arabic Transparent" w:hAnsi="Arabic Transparent" w:cs="Arabic Transparent" w:hint="cs"/>
          <w:sz w:val="24"/>
          <w:szCs w:val="24"/>
          <w:rtl/>
          <w:lang w:bidi="ar-JO"/>
        </w:rPr>
        <w:t>مصدر</w:t>
      </w:r>
      <w:r w:rsidRPr="002273BC">
        <w:rPr>
          <w:rFonts w:ascii="Arabic Transparent" w:hAnsi="Arabic Transparent" w:cs="Arabic Transparent" w:hint="cs"/>
          <w:sz w:val="24"/>
          <w:szCs w:val="24"/>
          <w:rtl/>
          <w:lang w:bidi="ar-JO"/>
        </w:rPr>
        <w:t xml:space="preserve"> سابق، ج3، </w:t>
      </w:r>
      <w:r w:rsidR="00D75F0F">
        <w:rPr>
          <w:rFonts w:ascii="Arabic Transparent" w:hAnsi="Arabic Transparent" w:cs="Arabic Transparent" w:hint="cs"/>
          <w:sz w:val="24"/>
          <w:szCs w:val="24"/>
          <w:rtl/>
          <w:lang w:bidi="ar-JO"/>
        </w:rPr>
        <w:t>ص</w:t>
      </w:r>
      <w:r w:rsidRPr="002273BC">
        <w:rPr>
          <w:rFonts w:ascii="Arabic Transparent" w:hAnsi="Arabic Transparent" w:cs="Arabic Transparent" w:hint="cs"/>
          <w:sz w:val="24"/>
          <w:szCs w:val="24"/>
          <w:rtl/>
          <w:lang w:bidi="ar-JO"/>
        </w:rPr>
        <w:t>802.</w:t>
      </w:r>
    </w:p>
  </w:footnote>
  <w:footnote w:id="107">
    <w:p w14:paraId="0885841F" w14:textId="6C8B11B9" w:rsidR="00C20287" w:rsidRPr="002273BC" w:rsidRDefault="00C20287"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w:t>
      </w:r>
      <w:r w:rsidR="004033F5">
        <w:rPr>
          <w:rFonts w:ascii="Arabic Transparent" w:hAnsi="Arabic Transparent" w:cs="Arabic Transparent" w:hint="cs"/>
          <w:sz w:val="24"/>
          <w:szCs w:val="24"/>
          <w:rtl/>
          <w:lang w:bidi="ar-JO"/>
        </w:rPr>
        <w:t xml:space="preserve">الزبيدي، </w:t>
      </w:r>
      <w:r w:rsidR="004033F5" w:rsidRPr="004033F5">
        <w:rPr>
          <w:rFonts w:ascii="Arabic Transparent" w:hAnsi="Arabic Transparent" w:cs="Arabic Transparent"/>
          <w:b/>
          <w:bCs/>
          <w:sz w:val="24"/>
          <w:szCs w:val="24"/>
          <w:rtl/>
          <w:lang w:bidi="ar-JO"/>
        </w:rPr>
        <w:t>الاجتهاد في مناط الحكم الشرعي دراسة تأصيلية تطبيقية</w:t>
      </w:r>
      <w:r w:rsidR="004033F5">
        <w:rPr>
          <w:rFonts w:ascii="Arabic Transparent" w:hAnsi="Arabic Transparent" w:cs="Arabic Transparent" w:hint="cs"/>
          <w:sz w:val="24"/>
          <w:szCs w:val="24"/>
          <w:rtl/>
          <w:lang w:bidi="ar-JO"/>
        </w:rPr>
        <w:t>، مصدر سابق، ص264، وا</w:t>
      </w:r>
      <w:r w:rsidRPr="002273BC">
        <w:rPr>
          <w:rFonts w:ascii="Arabic Transparent" w:hAnsi="Arabic Transparent" w:cs="Arabic Transparent" w:hint="cs"/>
          <w:sz w:val="24"/>
          <w:szCs w:val="24"/>
          <w:rtl/>
          <w:lang w:bidi="ar-JO"/>
        </w:rPr>
        <w:t>نظر</w:t>
      </w:r>
      <w:r w:rsidR="00FA3D22" w:rsidRPr="002273BC">
        <w:rPr>
          <w:rFonts w:ascii="Arabic Transparent" w:hAnsi="Arabic Transparent" w:cs="Arabic Transparent" w:hint="cs"/>
          <w:sz w:val="24"/>
          <w:szCs w:val="24"/>
          <w:rtl/>
          <w:lang w:bidi="ar-JO"/>
        </w:rPr>
        <w:t>:</w:t>
      </w:r>
      <w:r w:rsidRPr="002273BC">
        <w:rPr>
          <w:rFonts w:ascii="Arabic Transparent" w:hAnsi="Arabic Transparent" w:cs="Arabic Transparent" w:hint="cs"/>
          <w:sz w:val="24"/>
          <w:szCs w:val="24"/>
          <w:rtl/>
          <w:lang w:bidi="ar-JO"/>
        </w:rPr>
        <w:t xml:space="preserve"> العكبري، </w:t>
      </w:r>
      <w:r w:rsidRPr="002273BC">
        <w:rPr>
          <w:rFonts w:ascii="Arabic Transparent" w:hAnsi="Arabic Transparent" w:cs="Arabic Transparent" w:hint="cs"/>
          <w:b/>
          <w:bCs/>
          <w:sz w:val="24"/>
          <w:szCs w:val="24"/>
          <w:rtl/>
          <w:lang w:bidi="ar-JO"/>
        </w:rPr>
        <w:t>رسالة في أصوله الفقه،</w:t>
      </w:r>
      <w:r w:rsidRPr="002273BC">
        <w:rPr>
          <w:rFonts w:ascii="Arabic Transparent" w:hAnsi="Arabic Transparent" w:cs="Arabic Transparent" w:hint="cs"/>
          <w:sz w:val="24"/>
          <w:szCs w:val="24"/>
          <w:rtl/>
          <w:lang w:bidi="ar-JO"/>
        </w:rPr>
        <w:t xml:space="preserve"> </w:t>
      </w:r>
      <w:r w:rsidR="00D129CA" w:rsidRPr="002273BC">
        <w:rPr>
          <w:rFonts w:ascii="Arabic Transparent" w:hAnsi="Arabic Transparent" w:cs="Arabic Transparent" w:hint="cs"/>
          <w:sz w:val="24"/>
          <w:szCs w:val="24"/>
          <w:rtl/>
          <w:lang w:bidi="ar-JO"/>
        </w:rPr>
        <w:t>مصدر</w:t>
      </w:r>
      <w:r w:rsidRPr="002273BC">
        <w:rPr>
          <w:rFonts w:ascii="Arabic Transparent" w:hAnsi="Arabic Transparent" w:cs="Arabic Transparent" w:hint="cs"/>
          <w:sz w:val="24"/>
          <w:szCs w:val="24"/>
          <w:rtl/>
          <w:lang w:bidi="ar-JO"/>
        </w:rPr>
        <w:t xml:space="preserve"> سابق، ج1، ص82، </w:t>
      </w:r>
      <w:r w:rsidR="00E709A9" w:rsidRPr="002273BC">
        <w:rPr>
          <w:rFonts w:ascii="Arabic Transparent" w:hAnsi="Arabic Transparent" w:cs="Arabic Transparent" w:hint="cs"/>
          <w:sz w:val="24"/>
          <w:szCs w:val="24"/>
          <w:rtl/>
          <w:lang w:bidi="ar-JO"/>
        </w:rPr>
        <w:t>و</w:t>
      </w:r>
      <w:r w:rsidR="001E0356" w:rsidRPr="002273BC">
        <w:rPr>
          <w:rFonts w:ascii="Arabic Transparent" w:hAnsi="Arabic Transparent" w:cs="Arabic Transparent" w:hint="cs"/>
          <w:sz w:val="24"/>
          <w:szCs w:val="24"/>
          <w:rtl/>
          <w:lang w:bidi="ar-JO"/>
        </w:rPr>
        <w:t>انظر:</w:t>
      </w:r>
      <w:r w:rsidR="00E709A9" w:rsidRPr="002273BC">
        <w:rPr>
          <w:rFonts w:ascii="Arabic Transparent" w:hAnsi="Arabic Transparent" w:cs="Arabic Transparent" w:hint="cs"/>
          <w:sz w:val="24"/>
          <w:szCs w:val="24"/>
          <w:rtl/>
          <w:lang w:bidi="ar-JO"/>
        </w:rPr>
        <w:t xml:space="preserve"> الشاطبي</w:t>
      </w:r>
      <w:r w:rsidR="00E709A9" w:rsidRPr="002273BC">
        <w:rPr>
          <w:rFonts w:ascii="Arabic Transparent" w:hAnsi="Arabic Transparent" w:cs="Arabic Transparent" w:hint="cs"/>
          <w:b/>
          <w:bCs/>
          <w:sz w:val="24"/>
          <w:szCs w:val="24"/>
          <w:rtl/>
          <w:lang w:bidi="ar-JO"/>
        </w:rPr>
        <w:t>، الموافقات،</w:t>
      </w:r>
      <w:r w:rsidR="00E709A9" w:rsidRPr="002273BC">
        <w:rPr>
          <w:rFonts w:ascii="Arabic Transparent" w:hAnsi="Arabic Transparent" w:cs="Arabic Transparent" w:hint="cs"/>
          <w:sz w:val="24"/>
          <w:szCs w:val="24"/>
          <w:rtl/>
          <w:lang w:bidi="ar-JO"/>
        </w:rPr>
        <w:t xml:space="preserve"> ج5، ص19، و</w:t>
      </w:r>
      <w:r w:rsidR="001E0356" w:rsidRPr="002273BC">
        <w:rPr>
          <w:rFonts w:ascii="Arabic Transparent" w:hAnsi="Arabic Transparent" w:cs="Arabic Transparent" w:hint="cs"/>
          <w:sz w:val="24"/>
          <w:szCs w:val="24"/>
          <w:rtl/>
          <w:lang w:bidi="ar-JO"/>
        </w:rPr>
        <w:t>انظر:</w:t>
      </w:r>
      <w:r w:rsidR="00E709A9" w:rsidRPr="002273BC">
        <w:rPr>
          <w:rFonts w:ascii="Arabic Transparent" w:hAnsi="Arabic Transparent" w:cs="Arabic Transparent" w:hint="cs"/>
          <w:sz w:val="24"/>
          <w:szCs w:val="24"/>
          <w:rtl/>
          <w:lang w:bidi="ar-JO"/>
        </w:rPr>
        <w:t xml:space="preserve"> ابن بدران، </w:t>
      </w:r>
      <w:r w:rsidR="00E709A9" w:rsidRPr="002273BC">
        <w:rPr>
          <w:rFonts w:ascii="Arabic Transparent" w:hAnsi="Arabic Transparent" w:cs="Arabic Transparent" w:hint="cs"/>
          <w:b/>
          <w:bCs/>
          <w:sz w:val="24"/>
          <w:szCs w:val="24"/>
          <w:rtl/>
          <w:lang w:bidi="ar-JO"/>
        </w:rPr>
        <w:t>المدخل إلى مذهب أحمد</w:t>
      </w:r>
      <w:r w:rsidR="00E709A9" w:rsidRPr="002273BC">
        <w:rPr>
          <w:rFonts w:ascii="Arabic Transparent" w:hAnsi="Arabic Transparent" w:cs="Arabic Transparent" w:hint="cs"/>
          <w:sz w:val="24"/>
          <w:szCs w:val="24"/>
          <w:rtl/>
          <w:lang w:bidi="ar-JO"/>
        </w:rPr>
        <w:t>،</w:t>
      </w:r>
      <w:r w:rsidR="00930ACA" w:rsidRPr="002273BC">
        <w:rPr>
          <w:rFonts w:ascii="Arabic Transparent" w:hAnsi="Arabic Transparent" w:cs="Arabic Transparent" w:hint="cs"/>
          <w:sz w:val="24"/>
          <w:szCs w:val="24"/>
          <w:rtl/>
          <w:lang w:bidi="ar-JO"/>
        </w:rPr>
        <w:t xml:space="preserve"> مصدر سابق،</w:t>
      </w:r>
      <w:r w:rsidR="00E709A9" w:rsidRPr="002273BC">
        <w:rPr>
          <w:rFonts w:ascii="Arabic Transparent" w:hAnsi="Arabic Transparent" w:cs="Arabic Transparent" w:hint="cs"/>
          <w:sz w:val="24"/>
          <w:szCs w:val="24"/>
          <w:rtl/>
          <w:lang w:bidi="ar-JO"/>
        </w:rPr>
        <w:t xml:space="preserve"> ص302.</w:t>
      </w:r>
    </w:p>
  </w:footnote>
  <w:footnote w:id="108">
    <w:p w14:paraId="034FC13C" w14:textId="485C8DE3" w:rsidR="000E4003" w:rsidRPr="002273BC" w:rsidRDefault="000E4003"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w:t>
      </w:r>
      <w:r w:rsidR="00E441D4" w:rsidRPr="002273BC">
        <w:rPr>
          <w:rFonts w:ascii="Arabic Transparent" w:hAnsi="Arabic Transparent" w:cs="Arabic Transparent" w:hint="cs"/>
          <w:sz w:val="24"/>
          <w:szCs w:val="24"/>
          <w:rtl/>
          <w:lang w:bidi="ar-JO"/>
        </w:rPr>
        <w:t>الذهبي، شمس الدين أبو عبد الله محمد</w:t>
      </w:r>
      <w:r w:rsidR="000F026C" w:rsidRPr="002273BC">
        <w:rPr>
          <w:rFonts w:ascii="Arabic Transparent" w:hAnsi="Arabic Transparent" w:cs="Arabic Transparent" w:hint="cs"/>
          <w:sz w:val="24"/>
          <w:szCs w:val="24"/>
          <w:rtl/>
          <w:lang w:bidi="ar-JO"/>
        </w:rPr>
        <w:t xml:space="preserve">، </w:t>
      </w:r>
      <w:r w:rsidR="00E441D4" w:rsidRPr="002273BC">
        <w:rPr>
          <w:rFonts w:ascii="Arabic Transparent" w:hAnsi="Arabic Transparent" w:cs="Arabic Transparent" w:hint="cs"/>
          <w:sz w:val="24"/>
          <w:szCs w:val="24"/>
          <w:rtl/>
          <w:lang w:bidi="ar-JO"/>
        </w:rPr>
        <w:t>(</w:t>
      </w:r>
      <w:r w:rsidR="00B277DB" w:rsidRPr="002273BC">
        <w:rPr>
          <w:rFonts w:ascii="Arabic Transparent" w:hAnsi="Arabic Transparent" w:cs="Arabic Transparent" w:hint="cs"/>
          <w:sz w:val="24"/>
          <w:szCs w:val="24"/>
          <w:rtl/>
          <w:lang w:bidi="ar-JO"/>
        </w:rPr>
        <w:t>د.ت</w:t>
      </w:r>
      <w:r w:rsidR="00E441D4" w:rsidRPr="002273BC">
        <w:rPr>
          <w:rFonts w:ascii="Arabic Transparent" w:hAnsi="Arabic Transparent" w:cs="Arabic Transparent" w:hint="cs"/>
          <w:sz w:val="24"/>
          <w:szCs w:val="24"/>
          <w:rtl/>
          <w:lang w:bidi="ar-JO"/>
        </w:rPr>
        <w:t>)</w:t>
      </w:r>
      <w:r w:rsidR="00E441D4" w:rsidRPr="002273BC">
        <w:rPr>
          <w:rFonts w:ascii="Arabic Transparent" w:hAnsi="Arabic Transparent" w:cs="Arabic Transparent" w:hint="cs"/>
          <w:b/>
          <w:bCs/>
          <w:sz w:val="24"/>
          <w:szCs w:val="24"/>
          <w:rtl/>
          <w:lang w:bidi="ar-JO"/>
        </w:rPr>
        <w:t>، المنتقى من منهاج الاعتدال في نقض كلام أهل الرفض والاعتزال</w:t>
      </w:r>
      <w:r w:rsidR="00E441D4" w:rsidRPr="002273BC">
        <w:rPr>
          <w:rFonts w:ascii="Arabic Transparent" w:hAnsi="Arabic Transparent" w:cs="Arabic Transparent" w:hint="cs"/>
          <w:sz w:val="24"/>
          <w:szCs w:val="24"/>
          <w:rtl/>
          <w:lang w:bidi="ar-JO"/>
        </w:rPr>
        <w:t xml:space="preserve"> (تحقيق محب الدين الخطيب)، د</w:t>
      </w:r>
      <w:r w:rsidR="00B277DB" w:rsidRPr="002273BC">
        <w:rPr>
          <w:rFonts w:ascii="Arabic Transparent" w:hAnsi="Arabic Transparent" w:cs="Arabic Transparent" w:hint="cs"/>
          <w:sz w:val="24"/>
          <w:szCs w:val="24"/>
          <w:rtl/>
          <w:lang w:bidi="ar-JO"/>
        </w:rPr>
        <w:t>.</w:t>
      </w:r>
      <w:r w:rsidR="00E441D4" w:rsidRPr="002273BC">
        <w:rPr>
          <w:rFonts w:ascii="Arabic Transparent" w:hAnsi="Arabic Transparent" w:cs="Arabic Transparent" w:hint="cs"/>
          <w:sz w:val="24"/>
          <w:szCs w:val="24"/>
          <w:rtl/>
          <w:lang w:bidi="ar-JO"/>
        </w:rPr>
        <w:t xml:space="preserve">ط، </w:t>
      </w:r>
      <w:r w:rsidR="00A23E4D" w:rsidRPr="002273BC">
        <w:rPr>
          <w:rFonts w:ascii="Arabic Transparent" w:hAnsi="Arabic Transparent" w:cs="Arabic Transparent" w:hint="cs"/>
          <w:sz w:val="24"/>
          <w:szCs w:val="24"/>
          <w:rtl/>
          <w:lang w:bidi="ar-JO"/>
        </w:rPr>
        <w:t xml:space="preserve">ص363، </w:t>
      </w:r>
      <w:r w:rsidR="00E441D4" w:rsidRPr="002273BC">
        <w:rPr>
          <w:rFonts w:ascii="Arabic Transparent" w:hAnsi="Arabic Transparent" w:cs="Arabic Transparent" w:hint="cs"/>
          <w:sz w:val="24"/>
          <w:szCs w:val="24"/>
          <w:rtl/>
          <w:lang w:bidi="ar-JO"/>
        </w:rPr>
        <w:t>د</w:t>
      </w:r>
      <w:r w:rsidR="00144916" w:rsidRPr="002273BC">
        <w:rPr>
          <w:rFonts w:ascii="Arabic Transparent" w:hAnsi="Arabic Transparent" w:cs="Arabic Transparent" w:hint="cs"/>
          <w:sz w:val="24"/>
          <w:szCs w:val="24"/>
          <w:rtl/>
          <w:lang w:bidi="ar-JO"/>
        </w:rPr>
        <w:t>.</w:t>
      </w:r>
      <w:r w:rsidR="00E441D4" w:rsidRPr="002273BC">
        <w:rPr>
          <w:rFonts w:ascii="Arabic Transparent" w:hAnsi="Arabic Transparent" w:cs="Arabic Transparent" w:hint="cs"/>
          <w:sz w:val="24"/>
          <w:szCs w:val="24"/>
          <w:rtl/>
          <w:lang w:bidi="ar-JO"/>
        </w:rPr>
        <w:t>ن.</w:t>
      </w:r>
    </w:p>
  </w:footnote>
  <w:footnote w:id="109">
    <w:p w14:paraId="78C6C8F2" w14:textId="1A79FADF" w:rsidR="000E4003" w:rsidRPr="002273BC" w:rsidRDefault="000E4003"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w:t>
      </w:r>
      <w:r w:rsidR="00E441D4" w:rsidRPr="002273BC">
        <w:rPr>
          <w:rFonts w:ascii="Arabic Transparent" w:hAnsi="Arabic Transparent" w:cs="Arabic Transparent" w:hint="cs"/>
          <w:sz w:val="24"/>
          <w:szCs w:val="24"/>
          <w:rtl/>
          <w:lang w:bidi="ar-JO"/>
        </w:rPr>
        <w:t xml:space="preserve">الزركشي، </w:t>
      </w:r>
      <w:r w:rsidR="00E441D4" w:rsidRPr="002273BC">
        <w:rPr>
          <w:rFonts w:ascii="Arabic Transparent" w:hAnsi="Arabic Transparent" w:cs="Arabic Transparent" w:hint="cs"/>
          <w:b/>
          <w:bCs/>
          <w:sz w:val="24"/>
          <w:szCs w:val="24"/>
          <w:rtl/>
          <w:lang w:bidi="ar-JO"/>
        </w:rPr>
        <w:t>البحر المحيط في أصول الفقه</w:t>
      </w:r>
      <w:r w:rsidR="00E441D4" w:rsidRPr="002273BC">
        <w:rPr>
          <w:rFonts w:ascii="Arabic Transparent" w:hAnsi="Arabic Transparent" w:cs="Arabic Transparent" w:hint="cs"/>
          <w:sz w:val="24"/>
          <w:szCs w:val="24"/>
          <w:rtl/>
          <w:lang w:bidi="ar-JO"/>
        </w:rPr>
        <w:t xml:space="preserve">، </w:t>
      </w:r>
      <w:r w:rsidR="00D129CA" w:rsidRPr="002273BC">
        <w:rPr>
          <w:rFonts w:ascii="Arabic Transparent" w:hAnsi="Arabic Transparent" w:cs="Arabic Transparent" w:hint="cs"/>
          <w:sz w:val="24"/>
          <w:szCs w:val="24"/>
          <w:rtl/>
          <w:lang w:bidi="ar-JO"/>
        </w:rPr>
        <w:t>مصدر</w:t>
      </w:r>
      <w:r w:rsidR="00E441D4" w:rsidRPr="002273BC">
        <w:rPr>
          <w:rFonts w:ascii="Arabic Transparent" w:hAnsi="Arabic Transparent" w:cs="Arabic Transparent" w:hint="cs"/>
          <w:sz w:val="24"/>
          <w:szCs w:val="24"/>
          <w:rtl/>
          <w:lang w:bidi="ar-JO"/>
        </w:rPr>
        <w:t xml:space="preserve"> سابق، ج7، ص384، والغزالي، </w:t>
      </w:r>
      <w:r w:rsidR="00E441D4" w:rsidRPr="002273BC">
        <w:rPr>
          <w:rFonts w:ascii="Arabic Transparent" w:hAnsi="Arabic Transparent" w:cs="Arabic Transparent" w:hint="cs"/>
          <w:b/>
          <w:bCs/>
          <w:sz w:val="24"/>
          <w:szCs w:val="24"/>
          <w:rtl/>
          <w:lang w:bidi="ar-JO"/>
        </w:rPr>
        <w:t>المستصفى</w:t>
      </w:r>
      <w:r w:rsidR="00E441D4" w:rsidRPr="002273BC">
        <w:rPr>
          <w:rFonts w:ascii="Arabic Transparent" w:hAnsi="Arabic Transparent" w:cs="Arabic Transparent" w:hint="cs"/>
          <w:sz w:val="24"/>
          <w:szCs w:val="24"/>
          <w:rtl/>
          <w:lang w:bidi="ar-JO"/>
        </w:rPr>
        <w:t xml:space="preserve">، </w:t>
      </w:r>
      <w:r w:rsidR="00D129CA" w:rsidRPr="002273BC">
        <w:rPr>
          <w:rFonts w:ascii="Arabic Transparent" w:hAnsi="Arabic Transparent" w:cs="Arabic Transparent" w:hint="cs"/>
          <w:sz w:val="24"/>
          <w:szCs w:val="24"/>
          <w:rtl/>
          <w:lang w:bidi="ar-JO"/>
        </w:rPr>
        <w:t>مصدر</w:t>
      </w:r>
      <w:r w:rsidR="00E441D4" w:rsidRPr="002273BC">
        <w:rPr>
          <w:rFonts w:ascii="Arabic Transparent" w:hAnsi="Arabic Transparent" w:cs="Arabic Transparent" w:hint="cs"/>
          <w:sz w:val="24"/>
          <w:szCs w:val="24"/>
          <w:rtl/>
          <w:lang w:bidi="ar-JO"/>
        </w:rPr>
        <w:t xml:space="preserve"> سابق، ج1، ص282.</w:t>
      </w:r>
    </w:p>
  </w:footnote>
  <w:footnote w:id="110">
    <w:p w14:paraId="1FBDEA44" w14:textId="3066C030" w:rsidR="000C3A3F" w:rsidRPr="002273BC" w:rsidRDefault="000C3A3F"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ابن تيمية، </w:t>
      </w:r>
      <w:r w:rsidRPr="002273BC">
        <w:rPr>
          <w:rFonts w:ascii="Arabic Transparent" w:hAnsi="Arabic Transparent" w:cs="Arabic Transparent" w:hint="cs"/>
          <w:b/>
          <w:bCs/>
          <w:sz w:val="24"/>
          <w:szCs w:val="24"/>
          <w:rtl/>
          <w:lang w:bidi="ar-JO"/>
        </w:rPr>
        <w:t>الفتاوى الكبرى</w:t>
      </w:r>
      <w:r w:rsidRPr="002273BC">
        <w:rPr>
          <w:rFonts w:ascii="Arabic Transparent" w:hAnsi="Arabic Transparent" w:cs="Arabic Transparent" w:hint="cs"/>
          <w:sz w:val="24"/>
          <w:szCs w:val="24"/>
          <w:rtl/>
          <w:lang w:bidi="ar-JO"/>
        </w:rPr>
        <w:t xml:space="preserve">، </w:t>
      </w:r>
      <w:r w:rsidR="00D129CA" w:rsidRPr="002273BC">
        <w:rPr>
          <w:rFonts w:ascii="Arabic Transparent" w:hAnsi="Arabic Transparent" w:cs="Arabic Transparent" w:hint="cs"/>
          <w:sz w:val="24"/>
          <w:szCs w:val="24"/>
          <w:rtl/>
          <w:lang w:bidi="ar-JO"/>
        </w:rPr>
        <w:t>مصدر</w:t>
      </w:r>
      <w:r w:rsidRPr="002273BC">
        <w:rPr>
          <w:rFonts w:ascii="Arabic Transparent" w:hAnsi="Arabic Transparent" w:cs="Arabic Transparent" w:hint="cs"/>
          <w:sz w:val="24"/>
          <w:szCs w:val="24"/>
          <w:rtl/>
          <w:lang w:bidi="ar-JO"/>
        </w:rPr>
        <w:t xml:space="preserve"> سابق، ج19، ص16.</w:t>
      </w:r>
    </w:p>
  </w:footnote>
  <w:footnote w:id="111">
    <w:p w14:paraId="50C46ED4" w14:textId="41F3DE48" w:rsidR="00B80F53" w:rsidRPr="002273BC" w:rsidRDefault="00B80F53"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w:t>
      </w:r>
      <w:r w:rsidR="001E0356" w:rsidRPr="002273BC">
        <w:rPr>
          <w:rFonts w:ascii="Arabic Transparent" w:hAnsi="Arabic Transparent" w:cs="Arabic Transparent" w:hint="cs"/>
          <w:sz w:val="24"/>
          <w:szCs w:val="24"/>
          <w:rtl/>
          <w:lang w:bidi="ar-JO"/>
        </w:rPr>
        <w:t>انظر:</w:t>
      </w:r>
      <w:r w:rsidRPr="002273BC">
        <w:rPr>
          <w:rFonts w:ascii="Arabic Transparent" w:hAnsi="Arabic Transparent" w:cs="Arabic Transparent" w:hint="cs"/>
          <w:sz w:val="24"/>
          <w:szCs w:val="24"/>
          <w:rtl/>
          <w:lang w:bidi="ar-JO"/>
        </w:rPr>
        <w:t xml:space="preserve"> القرافي، </w:t>
      </w:r>
      <w:r w:rsidR="00930ACA" w:rsidRPr="002273BC">
        <w:rPr>
          <w:rFonts w:ascii="Arabic Transparent" w:hAnsi="Arabic Transparent" w:cs="Arabic Transparent" w:hint="cs"/>
          <w:b/>
          <w:bCs/>
          <w:sz w:val="24"/>
          <w:szCs w:val="24"/>
          <w:rtl/>
          <w:lang w:bidi="ar-JO"/>
        </w:rPr>
        <w:t>الفروق</w:t>
      </w:r>
      <w:r w:rsidRPr="002273BC">
        <w:rPr>
          <w:rFonts w:ascii="Arabic Transparent" w:hAnsi="Arabic Transparent" w:cs="Arabic Transparent" w:hint="cs"/>
          <w:sz w:val="24"/>
          <w:szCs w:val="24"/>
          <w:rtl/>
          <w:lang w:bidi="ar-JO"/>
        </w:rPr>
        <w:t>، مصدر سابق، ج3</w:t>
      </w:r>
      <w:r w:rsidR="00930ACA" w:rsidRPr="002273BC">
        <w:rPr>
          <w:rFonts w:ascii="Arabic Transparent" w:hAnsi="Arabic Transparent" w:cs="Arabic Transparent" w:hint="cs"/>
          <w:sz w:val="24"/>
          <w:szCs w:val="24"/>
          <w:rtl/>
          <w:lang w:bidi="ar-JO"/>
        </w:rPr>
        <w:t>،</w:t>
      </w:r>
      <w:r w:rsidRPr="002273BC">
        <w:rPr>
          <w:rFonts w:ascii="Arabic Transparent" w:hAnsi="Arabic Transparent" w:cs="Arabic Transparent" w:hint="cs"/>
          <w:sz w:val="24"/>
          <w:szCs w:val="24"/>
          <w:rtl/>
          <w:lang w:bidi="ar-JO"/>
        </w:rPr>
        <w:t>ص171</w:t>
      </w:r>
      <w:r w:rsidR="00930ACA" w:rsidRPr="002273BC">
        <w:rPr>
          <w:rFonts w:ascii="Arabic Transparent" w:hAnsi="Arabic Transparent" w:cs="Arabic Transparent" w:hint="cs"/>
          <w:sz w:val="24"/>
          <w:szCs w:val="24"/>
          <w:rtl/>
          <w:lang w:bidi="ar-JO"/>
        </w:rPr>
        <w:t>.</w:t>
      </w:r>
    </w:p>
  </w:footnote>
  <w:footnote w:id="112">
    <w:p w14:paraId="13F6B6EF" w14:textId="22B4A043" w:rsidR="00C6011E" w:rsidRPr="002273BC" w:rsidRDefault="00C6011E"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الشهرستاني، محمد بن عبد الكريم بن أبي بكر أحمد، (د.ت)، </w:t>
      </w:r>
      <w:r w:rsidRPr="002273BC">
        <w:rPr>
          <w:rFonts w:ascii="Arabic Transparent" w:hAnsi="Arabic Transparent" w:cs="Arabic Transparent" w:hint="cs"/>
          <w:b/>
          <w:bCs/>
          <w:sz w:val="24"/>
          <w:szCs w:val="24"/>
          <w:rtl/>
          <w:lang w:bidi="ar-JO"/>
        </w:rPr>
        <w:t>الملل والنحل،</w:t>
      </w:r>
      <w:r w:rsidRPr="002273BC">
        <w:rPr>
          <w:rFonts w:ascii="Arabic Transparent" w:hAnsi="Arabic Transparent" w:cs="Arabic Transparent" w:hint="cs"/>
          <w:sz w:val="24"/>
          <w:szCs w:val="24"/>
          <w:rtl/>
          <w:lang w:bidi="ar-JO"/>
        </w:rPr>
        <w:t xml:space="preserve"> ط3، ج2، ص8، مؤسسة الحلبي - مصر.</w:t>
      </w:r>
    </w:p>
  </w:footnote>
  <w:footnote w:id="113">
    <w:p w14:paraId="4C4A3263" w14:textId="2F0F9EDF" w:rsidR="00993B39" w:rsidRPr="002273BC" w:rsidRDefault="00993B39"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w:t>
      </w:r>
      <w:r w:rsidR="00832720" w:rsidRPr="00832720">
        <w:rPr>
          <w:rFonts w:ascii="Arabic Transparent" w:hAnsi="Arabic Transparent" w:cs="Arabic Transparent"/>
          <w:sz w:val="24"/>
          <w:szCs w:val="24"/>
          <w:rtl/>
          <w:lang w:bidi="ar-JO"/>
        </w:rPr>
        <w:t xml:space="preserve">الزبيدي، </w:t>
      </w:r>
      <w:r w:rsidR="00832720" w:rsidRPr="00832720">
        <w:rPr>
          <w:rFonts w:ascii="Arabic Transparent" w:hAnsi="Arabic Transparent" w:cs="Arabic Transparent"/>
          <w:b/>
          <w:bCs/>
          <w:sz w:val="24"/>
          <w:szCs w:val="24"/>
          <w:rtl/>
          <w:lang w:bidi="ar-JO"/>
        </w:rPr>
        <w:t>الاجتهاد في مناط الحكم الشرعي دراسة تأصيلية تطبيقية،</w:t>
      </w:r>
      <w:r w:rsidR="00832720" w:rsidRPr="00832720">
        <w:rPr>
          <w:rFonts w:ascii="Arabic Transparent" w:hAnsi="Arabic Transparent" w:cs="Arabic Transparent"/>
          <w:sz w:val="24"/>
          <w:szCs w:val="24"/>
          <w:rtl/>
          <w:lang w:bidi="ar-JO"/>
        </w:rPr>
        <w:t xml:space="preserve"> مصدر سابق</w:t>
      </w:r>
      <w:r w:rsidR="00832720">
        <w:rPr>
          <w:rFonts w:ascii="Arabic Transparent" w:hAnsi="Arabic Transparent" w:cs="Arabic Transparent" w:hint="cs"/>
          <w:sz w:val="24"/>
          <w:szCs w:val="24"/>
          <w:rtl/>
          <w:lang w:bidi="ar-JO"/>
        </w:rPr>
        <w:t>.</w:t>
      </w:r>
    </w:p>
  </w:footnote>
  <w:footnote w:id="114">
    <w:p w14:paraId="3EF3B6F8" w14:textId="524FF1B8" w:rsidR="00993B39" w:rsidRPr="002273BC" w:rsidRDefault="00993B39"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w:t>
      </w:r>
      <w:r w:rsidR="00A96D5E" w:rsidRPr="002273BC">
        <w:rPr>
          <w:rFonts w:ascii="Arabic Transparent" w:hAnsi="Arabic Transparent" w:cs="Arabic Transparent" w:hint="cs"/>
          <w:sz w:val="24"/>
          <w:szCs w:val="24"/>
          <w:rtl/>
          <w:lang w:bidi="ar-JO"/>
        </w:rPr>
        <w:t xml:space="preserve">شرير، عصام صبحي، (2009)، رسالة ماجستير </w:t>
      </w:r>
      <w:r w:rsidR="005247E1" w:rsidRPr="002273BC">
        <w:rPr>
          <w:rFonts w:ascii="Arabic Transparent" w:hAnsi="Arabic Transparent" w:cs="Arabic Transparent" w:hint="cs"/>
          <w:sz w:val="24"/>
          <w:szCs w:val="24"/>
          <w:rtl/>
          <w:lang w:bidi="ar-JO"/>
        </w:rPr>
        <w:t>ب</w:t>
      </w:r>
      <w:r w:rsidR="00A96D5E" w:rsidRPr="002273BC">
        <w:rPr>
          <w:rFonts w:ascii="Arabic Transparent" w:hAnsi="Arabic Transparent" w:cs="Arabic Transparent" w:hint="cs"/>
          <w:sz w:val="24"/>
          <w:szCs w:val="24"/>
          <w:rtl/>
          <w:lang w:bidi="ar-JO"/>
        </w:rPr>
        <w:t xml:space="preserve">عنون: </w:t>
      </w:r>
      <w:r w:rsidR="00A96D5E" w:rsidRPr="002273BC">
        <w:rPr>
          <w:rFonts w:ascii="Arabic Transparent" w:hAnsi="Arabic Transparent" w:cs="Arabic Transparent" w:hint="cs"/>
          <w:b/>
          <w:bCs/>
          <w:sz w:val="24"/>
          <w:szCs w:val="24"/>
          <w:rtl/>
          <w:lang w:bidi="ar-JO"/>
        </w:rPr>
        <w:t>تحقيق المناط وأثره في اختلاف الفقهاء</w:t>
      </w:r>
      <w:r w:rsidR="00A96D5E" w:rsidRPr="002273BC">
        <w:rPr>
          <w:rFonts w:ascii="Arabic Transparent" w:hAnsi="Arabic Transparent" w:cs="Arabic Transparent" w:hint="cs"/>
          <w:sz w:val="24"/>
          <w:szCs w:val="24"/>
          <w:rtl/>
          <w:lang w:bidi="ar-JO"/>
        </w:rPr>
        <w:t>، ص127، قسم أصول الفقه، الجامعة الإسلامية بغزة - فلسطين</w:t>
      </w:r>
    </w:p>
  </w:footnote>
  <w:footnote w:id="115">
    <w:p w14:paraId="30968A91" w14:textId="77777777" w:rsidR="00F2156C" w:rsidRPr="002273BC" w:rsidRDefault="00F2156C"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w:t>
      </w:r>
      <w:r w:rsidR="00112AAB" w:rsidRPr="002273BC">
        <w:rPr>
          <w:rFonts w:ascii="Arabic Transparent" w:hAnsi="Arabic Transparent" w:cs="Arabic Transparent" w:hint="cs"/>
          <w:sz w:val="24"/>
          <w:szCs w:val="24"/>
          <w:rtl/>
          <w:lang w:bidi="ar-JO"/>
        </w:rPr>
        <w:t xml:space="preserve">الشاطبي، </w:t>
      </w:r>
      <w:r w:rsidR="00112AAB" w:rsidRPr="002273BC">
        <w:rPr>
          <w:rFonts w:ascii="Arabic Transparent" w:hAnsi="Arabic Transparent" w:cs="Arabic Transparent" w:hint="cs"/>
          <w:b/>
          <w:bCs/>
          <w:sz w:val="24"/>
          <w:szCs w:val="24"/>
          <w:rtl/>
          <w:lang w:bidi="ar-JO"/>
        </w:rPr>
        <w:t>الموافقات</w:t>
      </w:r>
      <w:r w:rsidR="00112AAB" w:rsidRPr="002273BC">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sz w:val="24"/>
          <w:szCs w:val="24"/>
          <w:rtl/>
          <w:lang w:bidi="ar-JO"/>
        </w:rPr>
        <w:t>مصدر سابق،</w:t>
      </w:r>
      <w:r w:rsidR="00112AAB" w:rsidRPr="002273BC">
        <w:rPr>
          <w:rFonts w:ascii="Arabic Transparent" w:hAnsi="Arabic Transparent" w:cs="Arabic Transparent" w:hint="cs"/>
          <w:sz w:val="24"/>
          <w:szCs w:val="24"/>
          <w:rtl/>
          <w:lang w:bidi="ar-JO"/>
        </w:rPr>
        <w:t xml:space="preserve"> ج5، ص17.</w:t>
      </w:r>
    </w:p>
  </w:footnote>
  <w:footnote w:id="116">
    <w:p w14:paraId="1A4E980F" w14:textId="6E936D37" w:rsidR="00A15C31" w:rsidRPr="002273BC" w:rsidRDefault="00A15C31"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w:t>
      </w:r>
      <w:r w:rsidR="001E0356" w:rsidRPr="002273BC">
        <w:rPr>
          <w:rFonts w:ascii="Arabic Transparent" w:hAnsi="Arabic Transparent" w:cs="Arabic Transparent" w:hint="cs"/>
          <w:sz w:val="24"/>
          <w:szCs w:val="24"/>
          <w:rtl/>
          <w:lang w:bidi="ar-JO"/>
        </w:rPr>
        <w:t>انظر:</w:t>
      </w:r>
      <w:r w:rsidR="005E489D" w:rsidRPr="002273BC">
        <w:rPr>
          <w:rFonts w:ascii="Arabic Transparent" w:hAnsi="Arabic Transparent" w:cs="Arabic Transparent" w:hint="cs"/>
          <w:sz w:val="24"/>
          <w:szCs w:val="24"/>
          <w:rtl/>
          <w:lang w:bidi="ar-JO"/>
        </w:rPr>
        <w:t xml:space="preserve"> الخنين، عبدالله بن محمد، (2006م</w:t>
      </w:r>
      <w:r w:rsidR="005E489D" w:rsidRPr="002273BC">
        <w:rPr>
          <w:rFonts w:ascii="Arabic Transparent" w:hAnsi="Arabic Transparent" w:cs="Arabic Transparent" w:hint="cs"/>
          <w:b/>
          <w:bCs/>
          <w:sz w:val="24"/>
          <w:szCs w:val="24"/>
          <w:rtl/>
          <w:lang w:bidi="ar-JO"/>
        </w:rPr>
        <w:t xml:space="preserve">)، تنزيل الأحكام على الوقائع </w:t>
      </w:r>
      <w:r w:rsidR="00A52C0B" w:rsidRPr="002273BC">
        <w:rPr>
          <w:rFonts w:ascii="Arabic Transparent" w:hAnsi="Arabic Transparent" w:cs="Arabic Transparent" w:hint="cs"/>
          <w:b/>
          <w:bCs/>
          <w:sz w:val="24"/>
          <w:szCs w:val="24"/>
          <w:rtl/>
          <w:lang w:bidi="ar-JO"/>
        </w:rPr>
        <w:t>ال</w:t>
      </w:r>
      <w:r w:rsidR="005E489D" w:rsidRPr="002273BC">
        <w:rPr>
          <w:rFonts w:ascii="Arabic Transparent" w:hAnsi="Arabic Transparent" w:cs="Arabic Transparent" w:hint="cs"/>
          <w:b/>
          <w:bCs/>
          <w:sz w:val="24"/>
          <w:szCs w:val="24"/>
          <w:rtl/>
          <w:lang w:bidi="ar-JO"/>
        </w:rPr>
        <w:t>قضائية والفتوية</w:t>
      </w:r>
      <w:r w:rsidR="005E489D" w:rsidRPr="002273BC">
        <w:rPr>
          <w:rFonts w:ascii="Arabic Transparent" w:hAnsi="Arabic Transparent" w:cs="Arabic Transparent" w:hint="cs"/>
          <w:sz w:val="24"/>
          <w:szCs w:val="24"/>
          <w:rtl/>
          <w:lang w:bidi="ar-JO"/>
        </w:rPr>
        <w:t>، ط1، ع 78،</w:t>
      </w:r>
      <w:r w:rsidR="001605D4" w:rsidRPr="002273BC">
        <w:rPr>
          <w:rFonts w:ascii="Arabic Transparent" w:hAnsi="Arabic Transparent" w:cs="Arabic Transparent" w:hint="cs"/>
          <w:sz w:val="24"/>
          <w:szCs w:val="24"/>
          <w:rtl/>
          <w:lang w:bidi="ar-JO"/>
        </w:rPr>
        <w:t xml:space="preserve"> ص229،</w:t>
      </w:r>
      <w:r w:rsidR="005E489D" w:rsidRPr="002273BC">
        <w:rPr>
          <w:rFonts w:ascii="Arabic Transparent" w:hAnsi="Arabic Transparent" w:cs="Arabic Transparent" w:hint="cs"/>
          <w:sz w:val="24"/>
          <w:szCs w:val="24"/>
          <w:rtl/>
          <w:lang w:bidi="ar-JO"/>
        </w:rPr>
        <w:t xml:space="preserve"> مجلة البحوث الإسلامية - السعودية.</w:t>
      </w:r>
    </w:p>
  </w:footnote>
  <w:footnote w:id="117">
    <w:p w14:paraId="4164F597" w14:textId="2E82CFB4" w:rsidR="00761313" w:rsidRPr="002273BC" w:rsidRDefault="00761313"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الشاطبي، </w:t>
      </w:r>
      <w:r w:rsidRPr="002273BC">
        <w:rPr>
          <w:rFonts w:ascii="Arabic Transparent" w:hAnsi="Arabic Transparent" w:cs="Arabic Transparent" w:hint="cs"/>
          <w:b/>
          <w:bCs/>
          <w:sz w:val="24"/>
          <w:szCs w:val="24"/>
          <w:rtl/>
          <w:lang w:bidi="ar-JO"/>
        </w:rPr>
        <w:t>الموافقات</w:t>
      </w:r>
      <w:r w:rsidRPr="002273BC">
        <w:rPr>
          <w:rFonts w:ascii="Arabic Transparent" w:hAnsi="Arabic Transparent" w:cs="Arabic Transparent" w:hint="cs"/>
          <w:sz w:val="24"/>
          <w:szCs w:val="24"/>
          <w:rtl/>
          <w:lang w:bidi="ar-JO"/>
        </w:rPr>
        <w:t>، مصدر سابق، ج4، ص89.</w:t>
      </w:r>
    </w:p>
  </w:footnote>
  <w:footnote w:id="118">
    <w:p w14:paraId="0AC29E4E" w14:textId="79C3C288" w:rsidR="00EF065F" w:rsidRPr="002273BC" w:rsidRDefault="00EF065F"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الفرق بين تحقيق المناط وبين التكييف الشرعي للحكم، </w:t>
      </w:r>
      <w:r>
        <w:rPr>
          <w:rFonts w:ascii="Arabic Transparent" w:hAnsi="Arabic Transparent" w:cs="Arabic Transparent" w:hint="cs"/>
          <w:sz w:val="24"/>
          <w:szCs w:val="24"/>
          <w:rtl/>
          <w:lang w:bidi="ar-JO"/>
        </w:rPr>
        <w:t>"</w:t>
      </w:r>
      <w:r w:rsidRPr="002273BC">
        <w:rPr>
          <w:rFonts w:ascii="Arabic Transparent" w:hAnsi="Arabic Transparent" w:cs="Arabic Transparent" w:hint="cs"/>
          <w:sz w:val="24"/>
          <w:szCs w:val="24"/>
          <w:rtl/>
          <w:lang w:bidi="ar-JO"/>
        </w:rPr>
        <w:t>تحقيق المناط هو عملية تحديد ما إذا كانت العلة الشرعية (السبب الذي من أجله شرع الحكم) موجودة في واقعة معينة أم لا، بينما التكييف الشرعي هو عملية الكشف عن صورة المسألة، أو معرفة حالة الشيء وصفته، الذي ينطبق على واقعة معينة منصوص عليها بناءً على أوصافها</w:t>
      </w:r>
      <w:r>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sz w:val="24"/>
          <w:szCs w:val="24"/>
          <w:rtl/>
          <w:lang w:bidi="ar-JO"/>
        </w:rPr>
        <w:t xml:space="preserve">شبير، محمد عثمان، (2014)، </w:t>
      </w:r>
      <w:r w:rsidRPr="002273BC">
        <w:rPr>
          <w:rFonts w:ascii="Arabic Transparent" w:hAnsi="Arabic Transparent" w:cs="Arabic Transparent" w:hint="cs"/>
          <w:b/>
          <w:bCs/>
          <w:sz w:val="24"/>
          <w:szCs w:val="24"/>
          <w:rtl/>
          <w:lang w:bidi="ar-JO"/>
        </w:rPr>
        <w:t>التكييف الفقهي للوقائع المستجدة وتطبيقاته الفقهية</w:t>
      </w:r>
      <w:r w:rsidRPr="002273BC">
        <w:rPr>
          <w:rFonts w:ascii="Arabic Transparent" w:hAnsi="Arabic Transparent" w:cs="Arabic Transparent" w:hint="cs"/>
          <w:sz w:val="24"/>
          <w:szCs w:val="24"/>
          <w:rtl/>
          <w:lang w:bidi="ar-JO"/>
        </w:rPr>
        <w:t>، ط2، ص12، دار القلم – دمشق.</w:t>
      </w:r>
    </w:p>
  </w:footnote>
  <w:footnote w:id="119">
    <w:p w14:paraId="400E29F6" w14:textId="77777777" w:rsidR="00937632" w:rsidRPr="002273BC" w:rsidRDefault="00937632"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ابن عبد السلام، عبد العزيز بن عبد السلام، (1991</w:t>
      </w:r>
      <w:r w:rsidRPr="002273BC">
        <w:rPr>
          <w:rFonts w:ascii="Arabic Transparent" w:hAnsi="Arabic Transparent" w:cs="Arabic Transparent" w:hint="cs"/>
          <w:b/>
          <w:bCs/>
          <w:sz w:val="24"/>
          <w:szCs w:val="24"/>
          <w:rtl/>
          <w:lang w:bidi="ar-JO"/>
        </w:rPr>
        <w:t>)، قواعد الأحكام في مصالح الأنام</w:t>
      </w:r>
      <w:r w:rsidRPr="002273BC">
        <w:rPr>
          <w:rFonts w:ascii="Arabic Transparent" w:hAnsi="Arabic Transparent" w:cs="Arabic Transparent" w:hint="cs"/>
          <w:sz w:val="24"/>
          <w:szCs w:val="24"/>
          <w:rtl/>
          <w:lang w:bidi="ar-JO"/>
        </w:rPr>
        <w:t xml:space="preserve"> (مراجعة وتعليق طه عبد الرؤوف سعد) ط1، ج2، ص143، مكتبة الكليات الأزهرية - القاهرة.</w:t>
      </w:r>
    </w:p>
  </w:footnote>
  <w:footnote w:id="120">
    <w:p w14:paraId="77F6B6F0" w14:textId="3FD75272" w:rsidR="00EF065F" w:rsidRPr="002273BC" w:rsidRDefault="00EF065F"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00B15CC5">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sz w:val="24"/>
          <w:szCs w:val="24"/>
          <w:rtl/>
          <w:lang w:bidi="ar-JO"/>
        </w:rPr>
        <w:t xml:space="preserve">ابن القيم، </w:t>
      </w:r>
      <w:r w:rsidRPr="002273BC">
        <w:rPr>
          <w:rFonts w:ascii="Arabic Transparent" w:hAnsi="Arabic Transparent" w:cs="Arabic Transparent" w:hint="cs"/>
          <w:b/>
          <w:bCs/>
          <w:sz w:val="24"/>
          <w:szCs w:val="24"/>
          <w:rtl/>
          <w:lang w:bidi="ar-JO"/>
        </w:rPr>
        <w:t>إعلام الموقعين عن رب العالمين</w:t>
      </w:r>
      <w:r w:rsidRPr="002273BC">
        <w:rPr>
          <w:rFonts w:ascii="Arabic Transparent" w:hAnsi="Arabic Transparent" w:cs="Arabic Transparent" w:hint="cs"/>
          <w:sz w:val="24"/>
          <w:szCs w:val="24"/>
          <w:rtl/>
          <w:lang w:bidi="ar-JO"/>
        </w:rPr>
        <w:t>، مصدر سابق، ج3، ص131.</w:t>
      </w:r>
    </w:p>
  </w:footnote>
  <w:footnote w:id="121">
    <w:p w14:paraId="4E4FC3F5" w14:textId="7303D424" w:rsidR="00D3232D" w:rsidRPr="002273BC" w:rsidRDefault="00D3232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w:t>
      </w:r>
      <w:r w:rsidR="001E0356" w:rsidRPr="002273BC">
        <w:rPr>
          <w:rFonts w:ascii="Arabic Transparent" w:hAnsi="Arabic Transparent" w:cs="Arabic Transparent" w:hint="cs"/>
          <w:sz w:val="24"/>
          <w:szCs w:val="24"/>
          <w:rtl/>
          <w:lang w:bidi="ar-JO"/>
        </w:rPr>
        <w:t>انظر:</w:t>
      </w:r>
      <w:r w:rsidR="00487DB4" w:rsidRPr="002273BC">
        <w:rPr>
          <w:rFonts w:ascii="Arabic Transparent" w:hAnsi="Arabic Transparent" w:cs="Arabic Transparent" w:hint="cs"/>
          <w:sz w:val="24"/>
          <w:szCs w:val="24"/>
          <w:rtl/>
          <w:lang w:bidi="ar-JO"/>
        </w:rPr>
        <w:t xml:space="preserve"> بن بيه،</w:t>
      </w:r>
      <w:r w:rsidR="00AE2892" w:rsidRPr="002273BC">
        <w:rPr>
          <w:rFonts w:ascii="Arabic Transparent" w:hAnsi="Arabic Transparent" w:cs="Arabic Transparent" w:hint="cs"/>
          <w:sz w:val="24"/>
          <w:szCs w:val="24"/>
          <w:rtl/>
          <w:lang w:bidi="ar-JO"/>
        </w:rPr>
        <w:t xml:space="preserve"> </w:t>
      </w:r>
      <w:r w:rsidR="00487DB4" w:rsidRPr="002273BC">
        <w:rPr>
          <w:rFonts w:ascii="Arabic Transparent" w:hAnsi="Arabic Transparent" w:cs="Arabic Transparent" w:hint="cs"/>
          <w:sz w:val="24"/>
          <w:szCs w:val="24"/>
          <w:rtl/>
          <w:lang w:bidi="ar-JO"/>
        </w:rPr>
        <w:t>عبد الله بن محفوظ (2013)</w:t>
      </w:r>
      <w:r w:rsidR="00AE2892" w:rsidRPr="002273BC">
        <w:rPr>
          <w:rFonts w:ascii="Arabic Transparent" w:hAnsi="Arabic Transparent" w:cs="Arabic Transparent" w:hint="cs"/>
          <w:sz w:val="24"/>
          <w:szCs w:val="24"/>
          <w:rtl/>
          <w:lang w:bidi="ar-JO"/>
        </w:rPr>
        <w:t xml:space="preserve">، </w:t>
      </w:r>
      <w:r w:rsidR="00487DB4" w:rsidRPr="002273BC">
        <w:rPr>
          <w:rFonts w:ascii="Arabic Transparent" w:hAnsi="Arabic Transparent" w:cs="Arabic Transparent" w:hint="cs"/>
          <w:sz w:val="24"/>
          <w:szCs w:val="24"/>
          <w:rtl/>
          <w:lang w:bidi="ar-JO"/>
        </w:rPr>
        <w:t xml:space="preserve">البيان الختامي لمؤتمر: </w:t>
      </w:r>
      <w:r w:rsidR="00487DB4" w:rsidRPr="002273BC">
        <w:rPr>
          <w:rFonts w:ascii="Arabic Transparent" w:hAnsi="Arabic Transparent" w:cs="Arabic Transparent" w:hint="cs"/>
          <w:b/>
          <w:bCs/>
          <w:sz w:val="24"/>
          <w:szCs w:val="24"/>
          <w:rtl/>
          <w:lang w:bidi="ar-JO"/>
        </w:rPr>
        <w:t>الاجتهاد بتحقيق المناط: فقه الواقع والتوقع،</w:t>
      </w:r>
      <w:r w:rsidR="00487DB4" w:rsidRPr="002273BC">
        <w:rPr>
          <w:rFonts w:ascii="Arabic Transparent" w:hAnsi="Arabic Transparent" w:cs="Arabic Transparent" w:hint="cs"/>
          <w:sz w:val="24"/>
          <w:szCs w:val="24"/>
          <w:rtl/>
          <w:lang w:bidi="ar-JO"/>
        </w:rPr>
        <w:t xml:space="preserve"> ص10، فندق شيراتون- الكويت.</w:t>
      </w:r>
    </w:p>
  </w:footnote>
  <w:footnote w:id="122">
    <w:p w14:paraId="246C5F43" w14:textId="4511DF02" w:rsidR="00AE2892" w:rsidRPr="002273BC" w:rsidRDefault="00AE2892"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الفتوحي، محمد بن أحمد، (1997)، </w:t>
      </w:r>
      <w:r w:rsidRPr="002273BC">
        <w:rPr>
          <w:rFonts w:ascii="Arabic Transparent" w:hAnsi="Arabic Transparent" w:cs="Arabic Transparent" w:hint="cs"/>
          <w:b/>
          <w:bCs/>
          <w:sz w:val="24"/>
          <w:szCs w:val="24"/>
          <w:rtl/>
          <w:lang w:bidi="ar-JO"/>
        </w:rPr>
        <w:t>شرح الكوكب المنير = المختبر المبتكر شرح المختصر</w:t>
      </w:r>
      <w:r w:rsidRPr="002273BC">
        <w:rPr>
          <w:rFonts w:ascii="Arabic Transparent" w:hAnsi="Arabic Transparent" w:cs="Arabic Transparent" w:hint="cs"/>
          <w:sz w:val="24"/>
          <w:szCs w:val="24"/>
          <w:rtl/>
          <w:lang w:bidi="ar-JO"/>
        </w:rPr>
        <w:t xml:space="preserve"> (تحقيق محمد الزحيلي ونزيه حماد) ط2، ج1، ص50، مكتبة العبيكان – الرياض، و ابن حجر</w:t>
      </w:r>
      <w:r w:rsidR="0099058E" w:rsidRPr="002273BC">
        <w:rPr>
          <w:rFonts w:ascii="Arabic Transparent" w:hAnsi="Arabic Transparent" w:cs="Arabic Transparent" w:hint="cs"/>
          <w:sz w:val="24"/>
          <w:szCs w:val="24"/>
          <w:rtl/>
          <w:lang w:bidi="ar-JO"/>
        </w:rPr>
        <w:t>،</w:t>
      </w:r>
      <w:r w:rsidRPr="002273BC">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b/>
          <w:bCs/>
          <w:sz w:val="24"/>
          <w:szCs w:val="24"/>
          <w:rtl/>
          <w:lang w:bidi="ar-JO"/>
        </w:rPr>
        <w:t>تحفة المحتاج في شرح المنهاج</w:t>
      </w:r>
      <w:r w:rsidR="0099058E" w:rsidRPr="002273BC">
        <w:rPr>
          <w:rFonts w:ascii="Arabic Transparent" w:hAnsi="Arabic Transparent" w:cs="Arabic Transparent" w:hint="cs"/>
          <w:b/>
          <w:bCs/>
          <w:sz w:val="24"/>
          <w:szCs w:val="24"/>
          <w:rtl/>
          <w:lang w:bidi="ar-JO"/>
        </w:rPr>
        <w:t xml:space="preserve">، </w:t>
      </w:r>
      <w:r w:rsidR="0099058E" w:rsidRPr="007476DB">
        <w:rPr>
          <w:rFonts w:ascii="Arabic Transparent" w:hAnsi="Arabic Transparent" w:cs="Arabic Transparent" w:hint="cs"/>
          <w:sz w:val="24"/>
          <w:szCs w:val="24"/>
          <w:rtl/>
          <w:lang w:bidi="ar-JO"/>
        </w:rPr>
        <w:t>مصدر سابق</w:t>
      </w:r>
      <w:r w:rsidR="0099058E" w:rsidRPr="002273BC">
        <w:rPr>
          <w:rFonts w:ascii="Arabic Transparent" w:hAnsi="Arabic Transparent" w:cs="Arabic Transparent" w:hint="cs"/>
          <w:b/>
          <w:bCs/>
          <w:sz w:val="24"/>
          <w:szCs w:val="24"/>
          <w:rtl/>
          <w:lang w:bidi="ar-JO"/>
        </w:rPr>
        <w:t>،</w:t>
      </w:r>
      <w:r w:rsidR="0099058E" w:rsidRPr="002273BC">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sz w:val="24"/>
          <w:szCs w:val="24"/>
          <w:rtl/>
          <w:lang w:bidi="ar-JO"/>
        </w:rPr>
        <w:t xml:space="preserve">ج1، ص287، </w:t>
      </w:r>
      <w:r w:rsidR="00A21718" w:rsidRPr="002273BC">
        <w:rPr>
          <w:rFonts w:ascii="Arabic Transparent" w:hAnsi="Arabic Transparent" w:cs="Arabic Transparent" w:hint="cs"/>
          <w:sz w:val="24"/>
          <w:szCs w:val="24"/>
          <w:rtl/>
          <w:lang w:bidi="ar-JO"/>
        </w:rPr>
        <w:t xml:space="preserve">والخطيب الشربيني، محمد بن محمد، (1994)، </w:t>
      </w:r>
      <w:r w:rsidR="00A21718" w:rsidRPr="002273BC">
        <w:rPr>
          <w:rFonts w:ascii="Arabic Transparent" w:hAnsi="Arabic Transparent" w:cs="Arabic Transparent" w:hint="cs"/>
          <w:b/>
          <w:bCs/>
          <w:sz w:val="24"/>
          <w:szCs w:val="24"/>
          <w:rtl/>
          <w:lang w:bidi="ar-JO"/>
        </w:rPr>
        <w:t>مغني المحتاج إلى معرفة معاني ألفاظ المنهاج</w:t>
      </w:r>
      <w:r w:rsidR="00A21718" w:rsidRPr="002273BC">
        <w:rPr>
          <w:rFonts w:ascii="Arabic Transparent" w:hAnsi="Arabic Transparent" w:cs="Arabic Transparent" w:hint="cs"/>
          <w:sz w:val="24"/>
          <w:szCs w:val="24"/>
          <w:rtl/>
          <w:lang w:bidi="ar-JO"/>
        </w:rPr>
        <w:t xml:space="preserve"> (تحقيق علي محمد معوض وعادل أحمد عبد الموجود) ط1، ج3، ص498، دار الكتب العلمية - بيروت.</w:t>
      </w:r>
    </w:p>
  </w:footnote>
  <w:footnote w:id="123">
    <w:p w14:paraId="33EAA292" w14:textId="4EA16917" w:rsidR="002709CB" w:rsidRPr="002273BC" w:rsidRDefault="002709CB" w:rsidP="00EA3738">
      <w:pPr>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007476DB">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sz w:val="24"/>
          <w:szCs w:val="24"/>
          <w:rtl/>
          <w:lang w:bidi="ar-JO"/>
        </w:rPr>
        <w:t xml:space="preserve">لوكيلي، حفيظة، (2020)، </w:t>
      </w:r>
      <w:r w:rsidRPr="002273BC">
        <w:rPr>
          <w:rFonts w:ascii="Arabic Transparent" w:hAnsi="Arabic Transparent" w:cs="Arabic Transparent" w:hint="cs"/>
          <w:b/>
          <w:bCs/>
          <w:sz w:val="24"/>
          <w:szCs w:val="24"/>
          <w:rtl/>
          <w:lang w:bidi="ar-JO"/>
        </w:rPr>
        <w:t>تحقيق المناط وأثره في اختلاف الفقهاء في فقه الأموال نموذجاً دراسة تنظرية تطبيقية</w:t>
      </w:r>
      <w:r w:rsidRPr="002273BC">
        <w:rPr>
          <w:rFonts w:ascii="Arabic Transparent" w:hAnsi="Arabic Transparent" w:cs="Arabic Transparent" w:hint="cs"/>
          <w:sz w:val="24"/>
          <w:szCs w:val="24"/>
          <w:rtl/>
          <w:lang w:bidi="ar-JO"/>
        </w:rPr>
        <w:t>، ط1، ص</w:t>
      </w:r>
      <w:r w:rsidR="007476DB">
        <w:rPr>
          <w:rFonts w:ascii="Arabic Transparent" w:hAnsi="Arabic Transparent" w:cs="Arabic Transparent" w:hint="cs"/>
          <w:sz w:val="24"/>
          <w:szCs w:val="24"/>
          <w:rtl/>
          <w:lang w:bidi="ar-JO"/>
        </w:rPr>
        <w:t>9</w:t>
      </w:r>
      <w:r w:rsidRPr="002273BC">
        <w:rPr>
          <w:rFonts w:ascii="Arabic Transparent" w:hAnsi="Arabic Transparent" w:cs="Arabic Transparent" w:hint="cs"/>
          <w:sz w:val="24"/>
          <w:szCs w:val="24"/>
          <w:rtl/>
          <w:lang w:bidi="ar-JO"/>
        </w:rPr>
        <w:t>، دار الكتب العلمية -بيروت، لبنان.</w:t>
      </w:r>
    </w:p>
  </w:footnote>
  <w:footnote w:id="124">
    <w:p w14:paraId="269B61EC" w14:textId="5CEEA33E" w:rsidR="00AE2892" w:rsidRPr="002273BC" w:rsidRDefault="00AE2892"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00A13B75" w:rsidRPr="002273BC">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sz w:val="24"/>
          <w:szCs w:val="24"/>
          <w:rtl/>
          <w:lang w:bidi="ar-JO"/>
        </w:rPr>
        <w:t>بن بيه</w:t>
      </w:r>
      <w:r w:rsidR="00A13B75" w:rsidRPr="002273BC">
        <w:rPr>
          <w:rFonts w:ascii="Arabic Transparent" w:hAnsi="Arabic Transparent" w:cs="Arabic Transparent" w:hint="cs"/>
          <w:sz w:val="24"/>
          <w:szCs w:val="24"/>
          <w:rtl/>
          <w:lang w:bidi="ar-JO"/>
        </w:rPr>
        <w:t>،</w:t>
      </w:r>
      <w:r w:rsidRPr="002273BC">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b/>
          <w:bCs/>
          <w:sz w:val="24"/>
          <w:szCs w:val="24"/>
          <w:rtl/>
          <w:lang w:bidi="ar-JO"/>
        </w:rPr>
        <w:t>الاجتهاد بتحقيق المناط: فقه الواقع والتوقع</w:t>
      </w:r>
      <w:r w:rsidRPr="002273BC">
        <w:rPr>
          <w:rFonts w:ascii="Arabic Transparent" w:hAnsi="Arabic Transparent" w:cs="Arabic Transparent" w:hint="cs"/>
          <w:sz w:val="24"/>
          <w:szCs w:val="24"/>
          <w:rtl/>
          <w:lang w:bidi="ar-JO"/>
        </w:rPr>
        <w:t>، مصدر سابق، ص10-11</w:t>
      </w:r>
      <w:r w:rsidR="00A21718" w:rsidRPr="002273BC">
        <w:rPr>
          <w:rFonts w:ascii="Arabic Transparent" w:hAnsi="Arabic Transparent" w:cs="Arabic Transparent" w:hint="cs"/>
          <w:sz w:val="24"/>
          <w:szCs w:val="24"/>
          <w:rtl/>
          <w:lang w:bidi="ar-JO"/>
        </w:rPr>
        <w:t>.</w:t>
      </w:r>
    </w:p>
  </w:footnote>
  <w:footnote w:id="125">
    <w:p w14:paraId="753E44E5" w14:textId="48F1E2ED" w:rsidR="009150C6" w:rsidRPr="002273BC" w:rsidRDefault="009150C6"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عرفت النوازل </w:t>
      </w:r>
      <w:r w:rsidR="001A596B" w:rsidRPr="002273BC">
        <w:rPr>
          <w:rFonts w:ascii="Arabic Transparent" w:hAnsi="Arabic Transparent" w:cs="Arabic Transparent" w:hint="cs"/>
          <w:sz w:val="24"/>
          <w:szCs w:val="24"/>
          <w:rtl/>
          <w:lang w:bidi="ar-JO"/>
        </w:rPr>
        <w:t>ب</w:t>
      </w:r>
      <w:r w:rsidRPr="002273BC">
        <w:rPr>
          <w:rFonts w:ascii="Arabic Transparent" w:hAnsi="Arabic Transparent" w:cs="Arabic Transparent" w:hint="cs"/>
          <w:sz w:val="24"/>
          <w:szCs w:val="24"/>
          <w:rtl/>
          <w:lang w:bidi="ar-JO"/>
        </w:rPr>
        <w:t>أنها</w:t>
      </w:r>
      <w:r w:rsidR="001A596B" w:rsidRPr="002273BC">
        <w:rPr>
          <w:rFonts w:ascii="Arabic Transparent" w:hAnsi="Arabic Transparent" w:cs="Arabic Transparent" w:hint="cs"/>
          <w:sz w:val="24"/>
          <w:szCs w:val="24"/>
          <w:rtl/>
          <w:lang w:bidi="ar-JO"/>
        </w:rPr>
        <w:t>:</w:t>
      </w:r>
      <w:r w:rsidRPr="002273BC">
        <w:rPr>
          <w:rFonts w:ascii="Arabic Transparent" w:hAnsi="Arabic Transparent" w:cs="Arabic Transparent" w:hint="cs"/>
          <w:sz w:val="24"/>
          <w:szCs w:val="24"/>
          <w:rtl/>
          <w:lang w:bidi="ar-JO"/>
        </w:rPr>
        <w:t xml:space="preserve"> </w:t>
      </w:r>
      <w:r w:rsidR="00476F10" w:rsidRPr="002273BC">
        <w:rPr>
          <w:rFonts w:ascii="Arabic Transparent" w:hAnsi="Arabic Transparent" w:cs="Arabic Transparent" w:hint="cs"/>
          <w:sz w:val="24"/>
          <w:szCs w:val="24"/>
          <w:rtl/>
          <w:lang w:bidi="ar-JO"/>
        </w:rPr>
        <w:t>"</w:t>
      </w:r>
      <w:r w:rsidRPr="002273BC">
        <w:rPr>
          <w:rFonts w:ascii="Arabic Transparent" w:hAnsi="Arabic Transparent" w:cs="Arabic Transparent" w:hint="cs"/>
          <w:sz w:val="24"/>
          <w:szCs w:val="24"/>
          <w:rtl/>
          <w:lang w:bidi="ar-JO"/>
        </w:rPr>
        <w:t>الوقائع والمسائل الجديدة التي لم تقطع من قبل</w:t>
      </w:r>
      <w:r w:rsidR="001A596B" w:rsidRPr="002273BC">
        <w:rPr>
          <w:rFonts w:ascii="Arabic Transparent" w:hAnsi="Arabic Transparent" w:cs="Arabic Transparent" w:hint="cs"/>
          <w:sz w:val="24"/>
          <w:szCs w:val="24"/>
          <w:rtl/>
          <w:lang w:bidi="ar-JO"/>
        </w:rPr>
        <w:t>،</w:t>
      </w:r>
      <w:r w:rsidRPr="002273BC">
        <w:rPr>
          <w:rFonts w:ascii="Arabic Transparent" w:hAnsi="Arabic Transparent" w:cs="Arabic Transparent" w:hint="cs"/>
          <w:sz w:val="24"/>
          <w:szCs w:val="24"/>
          <w:rtl/>
          <w:lang w:bidi="ar-JO"/>
        </w:rPr>
        <w:t xml:space="preserve"> وليس فيها نص شرعي</w:t>
      </w:r>
      <w:r w:rsidR="001A596B" w:rsidRPr="002273BC">
        <w:rPr>
          <w:rFonts w:ascii="Arabic Transparent" w:hAnsi="Arabic Transparent" w:cs="Arabic Transparent" w:hint="cs"/>
          <w:sz w:val="24"/>
          <w:szCs w:val="24"/>
          <w:rtl/>
          <w:lang w:bidi="ar-JO"/>
        </w:rPr>
        <w:t>،</w:t>
      </w:r>
      <w:r w:rsidRPr="002273BC">
        <w:rPr>
          <w:rFonts w:ascii="Arabic Transparent" w:hAnsi="Arabic Transparent" w:cs="Arabic Transparent" w:hint="cs"/>
          <w:sz w:val="24"/>
          <w:szCs w:val="24"/>
          <w:rtl/>
          <w:lang w:bidi="ar-JO"/>
        </w:rPr>
        <w:t xml:space="preserve"> ولم يسبق فيها اجتهاد</w:t>
      </w:r>
      <w:r w:rsidR="00476F10" w:rsidRPr="002273BC">
        <w:rPr>
          <w:rFonts w:ascii="Arabic Transparent" w:hAnsi="Arabic Transparent" w:cs="Arabic Transparent" w:hint="cs"/>
          <w:sz w:val="24"/>
          <w:szCs w:val="24"/>
          <w:rtl/>
          <w:lang w:bidi="ar-JO"/>
        </w:rPr>
        <w:t>"</w:t>
      </w:r>
      <w:r w:rsidRPr="002273BC">
        <w:rPr>
          <w:rFonts w:ascii="Arabic Transparent" w:hAnsi="Arabic Transparent" w:cs="Arabic Transparent" w:hint="cs"/>
          <w:sz w:val="24"/>
          <w:szCs w:val="24"/>
          <w:rtl/>
          <w:lang w:bidi="ar-JO"/>
        </w:rPr>
        <w:t xml:space="preserve">، المصلح، خالد بن عبدالله، 2015، </w:t>
      </w:r>
      <w:r w:rsidRPr="002273BC">
        <w:rPr>
          <w:rFonts w:ascii="Arabic Transparent" w:hAnsi="Arabic Transparent" w:cs="Arabic Transparent" w:hint="cs"/>
          <w:b/>
          <w:bCs/>
          <w:sz w:val="24"/>
          <w:szCs w:val="24"/>
          <w:rtl/>
          <w:lang w:bidi="ar-JO"/>
        </w:rPr>
        <w:t>النوازل الفقهية دراسة تأصيلية تطبيقية</w:t>
      </w:r>
      <w:r w:rsidRPr="002273BC">
        <w:rPr>
          <w:rFonts w:ascii="Arabic Transparent" w:hAnsi="Arabic Transparent" w:cs="Arabic Transparent" w:hint="cs"/>
          <w:sz w:val="24"/>
          <w:szCs w:val="24"/>
          <w:rtl/>
          <w:lang w:bidi="ar-JO"/>
        </w:rPr>
        <w:t xml:space="preserve">، </w:t>
      </w:r>
      <w:r w:rsidR="00476F10" w:rsidRPr="002273BC">
        <w:rPr>
          <w:rFonts w:ascii="Arabic Transparent" w:hAnsi="Arabic Transparent" w:cs="Arabic Transparent" w:hint="cs"/>
          <w:sz w:val="24"/>
          <w:szCs w:val="24"/>
          <w:rtl/>
          <w:lang w:bidi="ar-JO"/>
        </w:rPr>
        <w:t>د</w:t>
      </w:r>
      <w:r w:rsidR="00144916" w:rsidRPr="002273BC">
        <w:rPr>
          <w:rFonts w:ascii="Arabic Transparent" w:hAnsi="Arabic Transparent" w:cs="Arabic Transparent" w:hint="cs"/>
          <w:sz w:val="24"/>
          <w:szCs w:val="24"/>
          <w:rtl/>
          <w:lang w:bidi="ar-JO"/>
        </w:rPr>
        <w:t>.</w:t>
      </w:r>
      <w:r w:rsidR="00476F10" w:rsidRPr="002273BC">
        <w:rPr>
          <w:rFonts w:ascii="Arabic Transparent" w:hAnsi="Arabic Transparent" w:cs="Arabic Transparent" w:hint="cs"/>
          <w:sz w:val="24"/>
          <w:szCs w:val="24"/>
          <w:rtl/>
          <w:lang w:bidi="ar-JO"/>
        </w:rPr>
        <w:t xml:space="preserve">ط، ص1775، </w:t>
      </w:r>
      <w:r w:rsidR="0099058E" w:rsidRPr="002273BC">
        <w:rPr>
          <w:rFonts w:ascii="Arabic Transparent" w:hAnsi="Arabic Transparent" w:cs="Arabic Transparent" w:hint="cs"/>
          <w:sz w:val="24"/>
          <w:szCs w:val="24"/>
          <w:rtl/>
          <w:lang w:bidi="ar-JO"/>
        </w:rPr>
        <w:t>الندوة</w:t>
      </w:r>
      <w:r w:rsidR="00476F10" w:rsidRPr="002273BC">
        <w:rPr>
          <w:rFonts w:ascii="Arabic Transparent" w:hAnsi="Arabic Transparent" w:cs="Arabic Transparent" w:hint="cs"/>
          <w:sz w:val="24"/>
          <w:szCs w:val="24"/>
          <w:rtl/>
          <w:lang w:bidi="ar-JO"/>
        </w:rPr>
        <w:t xml:space="preserve"> العلمية، جامعة القصيم.</w:t>
      </w:r>
    </w:p>
  </w:footnote>
  <w:footnote w:id="126">
    <w:p w14:paraId="2E08A21A" w14:textId="15B07CCA" w:rsidR="00476F10" w:rsidRPr="002273BC" w:rsidRDefault="00476F10"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من أشار إلى هذا الترتيب ابن القيم</w:t>
      </w:r>
      <w:r w:rsidR="00A52C0B" w:rsidRPr="002273BC">
        <w:rPr>
          <w:rFonts w:ascii="Arabic Transparent" w:hAnsi="Arabic Transparent" w:cs="Arabic Transparent" w:hint="cs"/>
          <w:sz w:val="24"/>
          <w:szCs w:val="24"/>
          <w:rtl/>
          <w:lang w:bidi="ar-JO"/>
        </w:rPr>
        <w:t>،</w:t>
      </w:r>
      <w:r w:rsidRPr="002273BC">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b/>
          <w:bCs/>
          <w:sz w:val="24"/>
          <w:szCs w:val="24"/>
          <w:rtl/>
          <w:lang w:bidi="ar-JO"/>
        </w:rPr>
        <w:t>إعلام الموقعين عن رب العالمين</w:t>
      </w:r>
      <w:r w:rsidRPr="002273BC">
        <w:rPr>
          <w:rFonts w:ascii="Arabic Transparent" w:hAnsi="Arabic Transparent" w:cs="Arabic Transparent" w:hint="cs"/>
          <w:sz w:val="24"/>
          <w:szCs w:val="24"/>
          <w:rtl/>
          <w:lang w:bidi="ar-JO"/>
        </w:rPr>
        <w:t>، مصدر سابق، ج1، ص69.</w:t>
      </w:r>
    </w:p>
  </w:footnote>
  <w:footnote w:id="127">
    <w:p w14:paraId="461B244E" w14:textId="04F0112E" w:rsidR="005E1818" w:rsidRPr="002273BC" w:rsidRDefault="005E1818"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مجمع اللغة العربية، </w:t>
      </w:r>
      <w:r w:rsidRPr="002273BC">
        <w:rPr>
          <w:rFonts w:ascii="Arabic Transparent" w:hAnsi="Arabic Transparent" w:cs="Arabic Transparent" w:hint="cs"/>
          <w:b/>
          <w:bCs/>
          <w:sz w:val="24"/>
          <w:szCs w:val="24"/>
          <w:rtl/>
          <w:lang w:bidi="ar-JO"/>
        </w:rPr>
        <w:t>المعجم الوسيط</w:t>
      </w:r>
      <w:r w:rsidRPr="002273BC">
        <w:rPr>
          <w:rFonts w:ascii="Arabic Transparent" w:hAnsi="Arabic Transparent" w:cs="Arabic Transparent" w:hint="cs"/>
          <w:sz w:val="24"/>
          <w:szCs w:val="24"/>
          <w:rtl/>
          <w:lang w:bidi="ar-JO"/>
        </w:rPr>
        <w:t xml:space="preserve">، </w:t>
      </w:r>
      <w:r w:rsidR="00D129CA" w:rsidRPr="002273BC">
        <w:rPr>
          <w:rFonts w:ascii="Arabic Transparent" w:hAnsi="Arabic Transparent" w:cs="Arabic Transparent" w:hint="cs"/>
          <w:sz w:val="24"/>
          <w:szCs w:val="24"/>
          <w:rtl/>
          <w:lang w:bidi="ar-JO"/>
        </w:rPr>
        <w:t>مصدر</w:t>
      </w:r>
      <w:r w:rsidRPr="002273BC">
        <w:rPr>
          <w:rFonts w:ascii="Arabic Transparent" w:hAnsi="Arabic Transparent" w:cs="Arabic Transparent" w:hint="cs"/>
          <w:sz w:val="24"/>
          <w:szCs w:val="24"/>
          <w:rtl/>
          <w:lang w:bidi="ar-JO"/>
        </w:rPr>
        <w:t xml:space="preserve"> سابق، ج1، ص528.</w:t>
      </w:r>
    </w:p>
  </w:footnote>
  <w:footnote w:id="128">
    <w:p w14:paraId="3B90CF07" w14:textId="124EEB67" w:rsidR="005E1818" w:rsidRPr="002273BC" w:rsidRDefault="005E1818"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الجرجاني،</w:t>
      </w:r>
      <w:r w:rsidRPr="002273BC">
        <w:rPr>
          <w:rFonts w:ascii="Arabic Transparent" w:hAnsi="Arabic Transparent" w:cs="Arabic Transparent" w:hint="cs"/>
          <w:b/>
          <w:bCs/>
          <w:sz w:val="24"/>
          <w:szCs w:val="24"/>
          <w:rtl/>
          <w:lang w:bidi="ar-JO"/>
        </w:rPr>
        <w:t xml:space="preserve"> التعريفات</w:t>
      </w:r>
      <w:r w:rsidR="001A596B" w:rsidRPr="002273BC">
        <w:rPr>
          <w:rFonts w:ascii="Arabic Transparent" w:hAnsi="Arabic Transparent" w:cs="Arabic Transparent" w:hint="cs"/>
          <w:sz w:val="24"/>
          <w:szCs w:val="24"/>
          <w:rtl/>
          <w:lang w:bidi="ar-JO"/>
        </w:rPr>
        <w:t>، مصدر سابق،</w:t>
      </w:r>
      <w:r w:rsidRPr="002273BC">
        <w:rPr>
          <w:rFonts w:ascii="Arabic Transparent" w:hAnsi="Arabic Transparent" w:cs="Arabic Transparent" w:hint="cs"/>
          <w:sz w:val="24"/>
          <w:szCs w:val="24"/>
          <w:rtl/>
          <w:lang w:bidi="ar-JO"/>
        </w:rPr>
        <w:t xml:space="preserve"> ص59، </w:t>
      </w:r>
      <w:r w:rsidR="005E7EFA" w:rsidRPr="002273BC">
        <w:rPr>
          <w:rFonts w:ascii="Arabic Transparent" w:hAnsi="Arabic Transparent" w:cs="Arabic Transparent" w:hint="cs"/>
          <w:sz w:val="24"/>
          <w:szCs w:val="24"/>
          <w:rtl/>
          <w:lang w:bidi="ar-JO"/>
        </w:rPr>
        <w:t>و</w:t>
      </w:r>
      <w:r w:rsidR="001E0356" w:rsidRPr="002273BC">
        <w:rPr>
          <w:rFonts w:ascii="Arabic Transparent" w:hAnsi="Arabic Transparent" w:cs="Arabic Transparent" w:hint="cs"/>
          <w:sz w:val="24"/>
          <w:szCs w:val="24"/>
          <w:rtl/>
          <w:lang w:bidi="ar-JO"/>
        </w:rPr>
        <w:t>انظر:</w:t>
      </w:r>
      <w:r w:rsidR="005E7EFA" w:rsidRPr="002273BC">
        <w:rPr>
          <w:rFonts w:ascii="Arabic Transparent" w:hAnsi="Arabic Transparent" w:cs="Arabic Transparent" w:hint="cs"/>
          <w:sz w:val="24"/>
          <w:szCs w:val="24"/>
          <w:rtl/>
          <w:lang w:bidi="ar-JO"/>
        </w:rPr>
        <w:t xml:space="preserve"> السيوطي، عبد الرحمن بن أبي بكر جلال الدين، (2004)، </w:t>
      </w:r>
      <w:r w:rsidR="005E7EFA" w:rsidRPr="002273BC">
        <w:rPr>
          <w:rFonts w:ascii="Arabic Transparent" w:hAnsi="Arabic Transparent" w:cs="Arabic Transparent" w:hint="cs"/>
          <w:b/>
          <w:bCs/>
          <w:sz w:val="24"/>
          <w:szCs w:val="24"/>
          <w:rtl/>
          <w:lang w:bidi="ar-JO"/>
        </w:rPr>
        <w:t>معجم مقاليد العلوم في الحدود والرسوم</w:t>
      </w:r>
      <w:r w:rsidR="005E7EFA" w:rsidRPr="002273BC">
        <w:rPr>
          <w:rFonts w:ascii="Arabic Transparent" w:hAnsi="Arabic Transparent" w:cs="Arabic Transparent" w:hint="cs"/>
          <w:sz w:val="24"/>
          <w:szCs w:val="24"/>
          <w:rtl/>
          <w:lang w:bidi="ar-JO"/>
        </w:rPr>
        <w:t xml:space="preserve"> (تحقيق محمد إبراهيم عبادة)، ط1، ص117، مكتبة الآداب - القاهرة، مصر.</w:t>
      </w:r>
    </w:p>
  </w:footnote>
  <w:footnote w:id="129">
    <w:p w14:paraId="76250B6F" w14:textId="24DB1EFA" w:rsidR="008E1822" w:rsidRPr="002273BC" w:rsidRDefault="008E1822"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ابن عربشاه، أحمد بن محمد، (2001)، </w:t>
      </w:r>
      <w:r w:rsidRPr="002273BC">
        <w:rPr>
          <w:rFonts w:ascii="Arabic Transparent" w:hAnsi="Arabic Transparent" w:cs="Arabic Transparent" w:hint="cs"/>
          <w:b/>
          <w:bCs/>
          <w:sz w:val="24"/>
          <w:szCs w:val="24"/>
          <w:rtl/>
          <w:lang w:bidi="ar-JO"/>
        </w:rPr>
        <w:t>فاكهة الخلفاء ومفاكهة الظرفاء</w:t>
      </w:r>
      <w:r w:rsidRPr="002273BC">
        <w:rPr>
          <w:rFonts w:ascii="Arabic Transparent" w:hAnsi="Arabic Transparent" w:cs="Arabic Transparent" w:hint="cs"/>
          <w:sz w:val="24"/>
          <w:szCs w:val="24"/>
          <w:rtl/>
          <w:lang w:bidi="ar-JO"/>
        </w:rPr>
        <w:t xml:space="preserve"> (تحقيق وتعليق أيمن عبد الجابر البحيري)، ط1، ص191، دار الآفاق العربية </w:t>
      </w:r>
      <w:r w:rsidR="00DE616C" w:rsidRPr="002273BC">
        <w:rPr>
          <w:rFonts w:ascii="Arabic Transparent" w:hAnsi="Arabic Transparent" w:cs="Arabic Transparent" w:hint="cs"/>
          <w:sz w:val="24"/>
          <w:szCs w:val="24"/>
          <w:rtl/>
          <w:lang w:bidi="ar-JO"/>
        </w:rPr>
        <w:t>–</w:t>
      </w:r>
      <w:r w:rsidRPr="002273BC">
        <w:rPr>
          <w:rFonts w:ascii="Arabic Transparent" w:hAnsi="Arabic Transparent" w:cs="Arabic Transparent" w:hint="cs"/>
          <w:sz w:val="24"/>
          <w:szCs w:val="24"/>
          <w:rtl/>
          <w:lang w:bidi="ar-JO"/>
        </w:rPr>
        <w:t xml:space="preserve"> مصر</w:t>
      </w:r>
      <w:r w:rsidR="00DE616C" w:rsidRPr="002273BC">
        <w:rPr>
          <w:rFonts w:ascii="Arabic Transparent" w:hAnsi="Arabic Transparent" w:cs="Arabic Transparent" w:hint="cs"/>
          <w:sz w:val="24"/>
          <w:szCs w:val="24"/>
          <w:rtl/>
          <w:lang w:bidi="ar-JO"/>
        </w:rPr>
        <w:t xml:space="preserve">، وابن النجار، </w:t>
      </w:r>
      <w:r w:rsidR="00DE616C" w:rsidRPr="002273BC">
        <w:rPr>
          <w:rFonts w:ascii="Arabic Transparent" w:hAnsi="Arabic Transparent" w:cs="Arabic Transparent" w:hint="cs"/>
          <w:b/>
          <w:bCs/>
          <w:sz w:val="24"/>
          <w:szCs w:val="24"/>
          <w:rtl/>
          <w:lang w:bidi="ar-JO"/>
        </w:rPr>
        <w:t>شرح الكوكب المنير</w:t>
      </w:r>
      <w:r w:rsidR="00DE616C" w:rsidRPr="002273BC">
        <w:rPr>
          <w:rFonts w:ascii="Arabic Transparent" w:hAnsi="Arabic Transparent" w:cs="Arabic Transparent" w:hint="cs"/>
          <w:sz w:val="24"/>
          <w:szCs w:val="24"/>
          <w:rtl/>
          <w:lang w:bidi="ar-JO"/>
        </w:rPr>
        <w:t xml:space="preserve">، </w:t>
      </w:r>
      <w:r w:rsidR="00D129CA" w:rsidRPr="002273BC">
        <w:rPr>
          <w:rFonts w:ascii="Arabic Transparent" w:hAnsi="Arabic Transparent" w:cs="Arabic Transparent" w:hint="cs"/>
          <w:sz w:val="24"/>
          <w:szCs w:val="24"/>
          <w:rtl/>
          <w:lang w:bidi="ar-JO"/>
        </w:rPr>
        <w:t>مصدر</w:t>
      </w:r>
      <w:r w:rsidR="00DE616C" w:rsidRPr="002273BC">
        <w:rPr>
          <w:rFonts w:ascii="Arabic Transparent" w:hAnsi="Arabic Transparent" w:cs="Arabic Transparent" w:hint="cs"/>
          <w:sz w:val="24"/>
          <w:szCs w:val="24"/>
          <w:rtl/>
          <w:lang w:bidi="ar-JO"/>
        </w:rPr>
        <w:t xml:space="preserve"> سابق، ج1، ص50.</w:t>
      </w:r>
    </w:p>
  </w:footnote>
  <w:footnote w:id="130">
    <w:p w14:paraId="0DA75879" w14:textId="04525DC9" w:rsidR="00444B42" w:rsidRPr="002273BC" w:rsidRDefault="00444B42"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w:t>
      </w:r>
      <w:r w:rsidR="001E0356" w:rsidRPr="002273BC">
        <w:rPr>
          <w:rFonts w:ascii="Arabic Transparent" w:hAnsi="Arabic Transparent" w:cs="Arabic Transparent" w:hint="cs"/>
          <w:sz w:val="24"/>
          <w:szCs w:val="24"/>
          <w:rtl/>
          <w:lang w:bidi="ar-JO"/>
        </w:rPr>
        <w:t>انظر:</w:t>
      </w:r>
      <w:r w:rsidRPr="002273BC">
        <w:rPr>
          <w:rFonts w:ascii="Arabic Transparent" w:hAnsi="Arabic Transparent" w:cs="Arabic Transparent" w:hint="cs"/>
          <w:sz w:val="24"/>
          <w:szCs w:val="24"/>
          <w:rtl/>
          <w:lang w:bidi="ar-JO"/>
        </w:rPr>
        <w:t xml:space="preserve"> ا</w:t>
      </w:r>
      <w:r w:rsidR="00A52C0B" w:rsidRPr="002273BC">
        <w:rPr>
          <w:rFonts w:ascii="Arabic Transparent" w:hAnsi="Arabic Transparent" w:cs="Arabic Transparent" w:hint="cs"/>
          <w:sz w:val="24"/>
          <w:szCs w:val="24"/>
          <w:rtl/>
          <w:lang w:bidi="ar-JO"/>
        </w:rPr>
        <w:t>بن القيم</w:t>
      </w:r>
      <w:r w:rsidRPr="002273BC">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b/>
          <w:bCs/>
          <w:sz w:val="24"/>
          <w:szCs w:val="24"/>
          <w:rtl/>
          <w:lang w:bidi="ar-JO"/>
        </w:rPr>
        <w:t xml:space="preserve">اعلام الموقعين عن </w:t>
      </w:r>
      <w:r w:rsidR="00EC7C5A" w:rsidRPr="002273BC">
        <w:rPr>
          <w:rFonts w:ascii="Arabic Transparent" w:hAnsi="Arabic Transparent" w:cs="Arabic Transparent" w:hint="cs"/>
          <w:b/>
          <w:bCs/>
          <w:sz w:val="24"/>
          <w:szCs w:val="24"/>
          <w:rtl/>
          <w:lang w:bidi="ar-JO"/>
        </w:rPr>
        <w:t>رب العالمين</w:t>
      </w:r>
      <w:r w:rsidR="00EC7C5A" w:rsidRPr="002273BC">
        <w:rPr>
          <w:rFonts w:ascii="Arabic Transparent" w:hAnsi="Arabic Transparent" w:cs="Arabic Transparent" w:hint="cs"/>
          <w:sz w:val="24"/>
          <w:szCs w:val="24"/>
          <w:rtl/>
          <w:lang w:bidi="ar-JO"/>
        </w:rPr>
        <w:t xml:space="preserve">، </w:t>
      </w:r>
      <w:r w:rsidR="00D129CA" w:rsidRPr="002273BC">
        <w:rPr>
          <w:rFonts w:ascii="Arabic Transparent" w:hAnsi="Arabic Transparent" w:cs="Arabic Transparent" w:hint="cs"/>
          <w:sz w:val="24"/>
          <w:szCs w:val="24"/>
          <w:rtl/>
          <w:lang w:bidi="ar-JO"/>
        </w:rPr>
        <w:t>مصدر</w:t>
      </w:r>
      <w:r w:rsidR="00EC7C5A" w:rsidRPr="002273BC">
        <w:rPr>
          <w:rFonts w:ascii="Arabic Transparent" w:hAnsi="Arabic Transparent" w:cs="Arabic Transparent" w:hint="cs"/>
          <w:sz w:val="24"/>
          <w:szCs w:val="24"/>
          <w:rtl/>
          <w:lang w:bidi="ar-JO"/>
        </w:rPr>
        <w:t xml:space="preserve"> سابق، ج1، ص69.</w:t>
      </w:r>
    </w:p>
  </w:footnote>
  <w:footnote w:id="131">
    <w:p w14:paraId="3CAED7DF" w14:textId="69683B96" w:rsidR="005A0DF6" w:rsidRPr="002273BC" w:rsidRDefault="005A0DF6"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الباقلاني، محمد بن الطيب، (1998)، </w:t>
      </w:r>
      <w:r w:rsidRPr="002273BC">
        <w:rPr>
          <w:rFonts w:ascii="Arabic Transparent" w:hAnsi="Arabic Transparent" w:cs="Arabic Transparent" w:hint="cs"/>
          <w:b/>
          <w:bCs/>
          <w:sz w:val="24"/>
          <w:szCs w:val="24"/>
          <w:rtl/>
          <w:lang w:bidi="ar-JO"/>
        </w:rPr>
        <w:t>التقريب والإرشاد (الصغير)</w:t>
      </w:r>
      <w:r w:rsidRPr="002273BC">
        <w:rPr>
          <w:rFonts w:ascii="Arabic Transparent" w:hAnsi="Arabic Transparent" w:cs="Arabic Transparent" w:hint="cs"/>
          <w:sz w:val="24"/>
          <w:szCs w:val="24"/>
          <w:rtl/>
          <w:lang w:bidi="ar-JO"/>
        </w:rPr>
        <w:t xml:space="preserve"> (تحقيق عبد الحميد بن علي أبو زنيد)، ط2، </w:t>
      </w:r>
      <w:r w:rsidR="0015726E" w:rsidRPr="002273BC">
        <w:rPr>
          <w:rFonts w:ascii="Arabic Transparent" w:hAnsi="Arabic Transparent" w:cs="Arabic Transparent" w:hint="cs"/>
          <w:sz w:val="24"/>
          <w:szCs w:val="24"/>
          <w:rtl/>
          <w:lang w:bidi="ar-JO"/>
        </w:rPr>
        <w:t xml:space="preserve">ج1، ص214، </w:t>
      </w:r>
      <w:r w:rsidRPr="002273BC">
        <w:rPr>
          <w:rFonts w:ascii="Arabic Transparent" w:hAnsi="Arabic Transparent" w:cs="Arabic Transparent" w:hint="cs"/>
          <w:sz w:val="24"/>
          <w:szCs w:val="24"/>
          <w:rtl/>
          <w:lang w:bidi="ar-JO"/>
        </w:rPr>
        <w:t>مؤسسة الرسالة – بيروت، لبنان.</w:t>
      </w:r>
    </w:p>
  </w:footnote>
  <w:footnote w:id="132">
    <w:p w14:paraId="6620F95F" w14:textId="15A4473A" w:rsidR="005A0DF6" w:rsidRPr="002273BC" w:rsidRDefault="005A0DF6"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w:t>
      </w:r>
      <w:r w:rsidR="0015726E" w:rsidRPr="002273BC">
        <w:rPr>
          <w:rFonts w:ascii="Arabic Transparent" w:hAnsi="Arabic Transparent" w:cs="Arabic Transparent" w:hint="cs"/>
          <w:sz w:val="24"/>
          <w:szCs w:val="24"/>
          <w:rtl/>
          <w:lang w:bidi="ar-JO"/>
        </w:rPr>
        <w:t xml:space="preserve">الحجوي: </w:t>
      </w:r>
      <w:r w:rsidR="00D049A2" w:rsidRPr="002273BC">
        <w:rPr>
          <w:rFonts w:ascii="Arabic Transparent" w:hAnsi="Arabic Transparent" w:cs="Arabic Transparent" w:hint="cs"/>
          <w:sz w:val="24"/>
          <w:szCs w:val="24"/>
          <w:rtl/>
          <w:lang w:bidi="ar-JO"/>
        </w:rPr>
        <w:t xml:space="preserve">هو </w:t>
      </w:r>
      <w:r w:rsidR="0015726E" w:rsidRPr="002273BC">
        <w:rPr>
          <w:rFonts w:ascii="Arabic Transparent" w:hAnsi="Arabic Transparent" w:cs="Arabic Transparent" w:hint="cs"/>
          <w:sz w:val="24"/>
          <w:szCs w:val="24"/>
          <w:rtl/>
          <w:lang w:bidi="ar-JO"/>
        </w:rPr>
        <w:t>محمد بن الحسن الثعالبي القاضي، من مدينة فاس في المغرب، وتتلمذ على يد علماء المغرب العربي (المغرب، تونس، الجزائر)، وتولى العديد من المناصب، ودرس في العديد من مدن المغرب، وله مؤلفات، أهمها: الفكر السامي في تاريخ الفقه الإسلامي، ت: 176هـ، الزركلي، خير الدين بن محمود، (2002)، ا</w:t>
      </w:r>
      <w:r w:rsidR="0015726E" w:rsidRPr="002273BC">
        <w:rPr>
          <w:rFonts w:ascii="Arabic Transparent" w:hAnsi="Arabic Transparent" w:cs="Arabic Transparent" w:hint="cs"/>
          <w:b/>
          <w:bCs/>
          <w:sz w:val="24"/>
          <w:szCs w:val="24"/>
          <w:rtl/>
          <w:lang w:bidi="ar-JO"/>
        </w:rPr>
        <w:t>لأعلام</w:t>
      </w:r>
      <w:r w:rsidR="0015726E" w:rsidRPr="002273BC">
        <w:rPr>
          <w:rFonts w:ascii="Arabic Transparent" w:hAnsi="Arabic Transparent" w:cs="Arabic Transparent" w:hint="cs"/>
          <w:sz w:val="24"/>
          <w:szCs w:val="24"/>
          <w:rtl/>
          <w:lang w:bidi="ar-JO"/>
        </w:rPr>
        <w:t>، ط15، ج6، ص96، دار العلم للملايين – بيروت، لبنان.</w:t>
      </w:r>
    </w:p>
  </w:footnote>
  <w:footnote w:id="133">
    <w:p w14:paraId="5CB3DAEA" w14:textId="77777777" w:rsidR="001C2DF2" w:rsidRPr="002273BC" w:rsidRDefault="001C2DF2"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الحجوي، محمد بن الحسن الثعالبي، (1995)، </w:t>
      </w:r>
      <w:r w:rsidRPr="002273BC">
        <w:rPr>
          <w:rFonts w:ascii="Arabic Transparent" w:hAnsi="Arabic Transparent" w:cs="Arabic Transparent" w:hint="cs"/>
          <w:b/>
          <w:bCs/>
          <w:sz w:val="24"/>
          <w:szCs w:val="24"/>
          <w:rtl/>
          <w:lang w:bidi="ar-JO"/>
        </w:rPr>
        <w:t>الفكر الإسلامي في تاريخ الفقه الإسلامي</w:t>
      </w:r>
      <w:r w:rsidRPr="002273BC">
        <w:rPr>
          <w:rFonts w:ascii="Arabic Transparent" w:hAnsi="Arabic Transparent" w:cs="Arabic Transparent" w:hint="cs"/>
          <w:sz w:val="24"/>
          <w:szCs w:val="24"/>
          <w:rtl/>
          <w:lang w:bidi="ar-JO"/>
        </w:rPr>
        <w:t>، ط1، ج1، ص24، دار الكتب العلمية -بيروت.</w:t>
      </w:r>
    </w:p>
  </w:footnote>
  <w:footnote w:id="134">
    <w:p w14:paraId="00EACE57" w14:textId="51FECC20" w:rsidR="005A0DF6" w:rsidRPr="002273BC" w:rsidRDefault="005A0DF6"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w:t>
      </w:r>
      <w:r w:rsidR="0099058E" w:rsidRPr="002273BC">
        <w:rPr>
          <w:rFonts w:ascii="Arabic Transparent" w:hAnsi="Arabic Transparent" w:cs="Arabic Transparent"/>
          <w:sz w:val="24"/>
          <w:szCs w:val="24"/>
          <w:rtl/>
          <w:lang w:bidi="ar-JO"/>
        </w:rPr>
        <w:t xml:space="preserve">القرضاوي، يوسف، 1995، </w:t>
      </w:r>
      <w:r w:rsidR="0099058E" w:rsidRPr="002273BC">
        <w:rPr>
          <w:rFonts w:ascii="Arabic Transparent" w:hAnsi="Arabic Transparent" w:cs="Arabic Transparent"/>
          <w:b/>
          <w:bCs/>
          <w:sz w:val="24"/>
          <w:szCs w:val="24"/>
          <w:rtl/>
          <w:lang w:bidi="ar-JO"/>
        </w:rPr>
        <w:t>الفتوى بين الانضباط والتسيب</w:t>
      </w:r>
      <w:r w:rsidR="0099058E" w:rsidRPr="002273BC">
        <w:rPr>
          <w:rFonts w:ascii="Arabic Transparent" w:hAnsi="Arabic Transparent" w:cs="Arabic Transparent"/>
          <w:sz w:val="24"/>
          <w:szCs w:val="24"/>
          <w:rtl/>
          <w:lang w:bidi="ar-JO"/>
        </w:rPr>
        <w:t>. ط2 ،</w:t>
      </w:r>
      <w:r w:rsidR="0099058E" w:rsidRPr="002273BC">
        <w:rPr>
          <w:rFonts w:ascii="Arabic Transparent" w:hAnsi="Arabic Transparent" w:cs="Arabic Transparent" w:hint="cs"/>
          <w:sz w:val="24"/>
          <w:szCs w:val="24"/>
          <w:rtl/>
          <w:lang w:bidi="ar-JO"/>
        </w:rPr>
        <w:t xml:space="preserve"> </w:t>
      </w:r>
      <w:r w:rsidR="0099058E" w:rsidRPr="002273BC">
        <w:rPr>
          <w:rFonts w:ascii="Arabic Transparent" w:hAnsi="Arabic Transparent" w:cs="Arabic Transparent"/>
          <w:sz w:val="24"/>
          <w:szCs w:val="24"/>
          <w:rtl/>
          <w:lang w:bidi="ar-JO"/>
        </w:rPr>
        <w:t>ص72</w:t>
      </w:r>
      <w:r w:rsidR="0099058E" w:rsidRPr="002273BC">
        <w:rPr>
          <w:rFonts w:ascii="Arabic Transparent" w:hAnsi="Arabic Transparent" w:cs="Arabic Transparent" w:hint="cs"/>
          <w:sz w:val="24"/>
          <w:szCs w:val="24"/>
          <w:rtl/>
          <w:lang w:bidi="ar-JO"/>
        </w:rPr>
        <w:t xml:space="preserve">، </w:t>
      </w:r>
      <w:r w:rsidR="0099058E" w:rsidRPr="002273BC">
        <w:rPr>
          <w:rFonts w:ascii="Arabic Transparent" w:hAnsi="Arabic Transparent" w:cs="Arabic Transparent"/>
          <w:sz w:val="24"/>
          <w:szCs w:val="24"/>
          <w:rtl/>
          <w:lang w:bidi="ar-JO"/>
        </w:rPr>
        <w:t xml:space="preserve"> المكتب الإسلامي للطباعة والنشر، القاهرة.</w:t>
      </w:r>
      <w:r w:rsidRPr="002273BC">
        <w:rPr>
          <w:rFonts w:ascii="Arabic Transparent" w:hAnsi="Arabic Transparent" w:cs="Arabic Transparent" w:hint="cs"/>
          <w:sz w:val="24"/>
          <w:szCs w:val="24"/>
          <w:rtl/>
          <w:lang w:bidi="ar-JO"/>
        </w:rPr>
        <w:t xml:space="preserve"> </w:t>
      </w:r>
    </w:p>
  </w:footnote>
  <w:footnote w:id="135">
    <w:p w14:paraId="4984CBDA" w14:textId="44994016" w:rsidR="00444B42" w:rsidRPr="002273BC" w:rsidRDefault="00444B42"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w:t>
      </w:r>
      <w:r w:rsidR="00617CEC" w:rsidRPr="002273BC">
        <w:rPr>
          <w:rFonts w:ascii="Arabic Transparent" w:hAnsi="Arabic Transparent" w:cs="Arabic Transparent" w:hint="cs"/>
          <w:sz w:val="24"/>
          <w:szCs w:val="24"/>
          <w:rtl/>
          <w:lang w:bidi="ar-JO"/>
        </w:rPr>
        <w:t xml:space="preserve">الشيباني، أبو عمرو إسحاق بن مرّار، (1974)، </w:t>
      </w:r>
      <w:r w:rsidR="005247E1" w:rsidRPr="002273BC">
        <w:rPr>
          <w:rFonts w:ascii="Arabic Transparent" w:hAnsi="Arabic Transparent" w:cs="Arabic Transparent" w:hint="cs"/>
          <w:b/>
          <w:bCs/>
          <w:sz w:val="24"/>
          <w:szCs w:val="24"/>
          <w:rtl/>
          <w:lang w:bidi="ar-JO"/>
        </w:rPr>
        <w:t xml:space="preserve">معجم </w:t>
      </w:r>
      <w:r w:rsidR="00617CEC" w:rsidRPr="002273BC">
        <w:rPr>
          <w:rFonts w:ascii="Arabic Transparent" w:hAnsi="Arabic Transparent" w:cs="Arabic Transparent" w:hint="cs"/>
          <w:b/>
          <w:bCs/>
          <w:sz w:val="24"/>
          <w:szCs w:val="24"/>
          <w:rtl/>
          <w:lang w:bidi="ar-JO"/>
        </w:rPr>
        <w:t>الجيم</w:t>
      </w:r>
      <w:r w:rsidR="00617CEC" w:rsidRPr="002273BC">
        <w:rPr>
          <w:rFonts w:ascii="Arabic Transparent" w:hAnsi="Arabic Transparent" w:cs="Arabic Transparent" w:hint="cs"/>
          <w:sz w:val="24"/>
          <w:szCs w:val="24"/>
          <w:rtl/>
          <w:lang w:bidi="ar-JO"/>
        </w:rPr>
        <w:t xml:space="preserve"> (تحقيق إبراهيم الأبياري، مراجعة محمد خلف الله أحمد)، ط1، ج3، ص163، الهيئة العامة لشئون المطابع الأميرية - القاهرة.</w:t>
      </w:r>
    </w:p>
  </w:footnote>
  <w:footnote w:id="136">
    <w:p w14:paraId="6440B63F" w14:textId="2BF797E7" w:rsidR="00444B42" w:rsidRPr="002273BC" w:rsidRDefault="00444B42"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w:t>
      </w:r>
      <w:r w:rsidR="00617CEC" w:rsidRPr="002273BC">
        <w:rPr>
          <w:rFonts w:ascii="Arabic Transparent" w:hAnsi="Arabic Transparent" w:cs="Arabic Transparent" w:hint="cs"/>
          <w:sz w:val="24"/>
          <w:szCs w:val="24"/>
          <w:rtl/>
          <w:lang w:bidi="ar-JO"/>
        </w:rPr>
        <w:t xml:space="preserve">الزبيدي، </w:t>
      </w:r>
      <w:r w:rsidR="00617CEC" w:rsidRPr="002273BC">
        <w:rPr>
          <w:rFonts w:ascii="Arabic Transparent" w:hAnsi="Arabic Transparent" w:cs="Arabic Transparent" w:hint="cs"/>
          <w:b/>
          <w:bCs/>
          <w:sz w:val="24"/>
          <w:szCs w:val="24"/>
          <w:rtl/>
          <w:lang w:bidi="ar-JO"/>
        </w:rPr>
        <w:t>تاج العروس من جواهر القاموس</w:t>
      </w:r>
      <w:r w:rsidR="003A2DCE" w:rsidRPr="002273BC">
        <w:rPr>
          <w:rFonts w:ascii="Arabic Transparent" w:hAnsi="Arabic Transparent" w:cs="Arabic Transparent" w:hint="cs"/>
          <w:sz w:val="24"/>
          <w:szCs w:val="24"/>
          <w:rtl/>
          <w:lang w:bidi="ar-JO"/>
        </w:rPr>
        <w:t xml:space="preserve">، مصدر سابق، </w:t>
      </w:r>
      <w:r w:rsidR="00617CEC" w:rsidRPr="002273BC">
        <w:rPr>
          <w:rFonts w:ascii="Arabic Transparent" w:hAnsi="Arabic Transparent" w:cs="Arabic Transparent" w:hint="cs"/>
          <w:sz w:val="24"/>
          <w:szCs w:val="24"/>
          <w:rtl/>
          <w:lang w:bidi="ar-JO"/>
        </w:rPr>
        <w:t>ج24</w:t>
      </w:r>
      <w:r w:rsidR="000F026C" w:rsidRPr="002273BC">
        <w:rPr>
          <w:rFonts w:ascii="Arabic Transparent" w:hAnsi="Arabic Transparent" w:cs="Arabic Transparent" w:hint="cs"/>
          <w:sz w:val="24"/>
          <w:szCs w:val="24"/>
          <w:rtl/>
          <w:lang w:bidi="ar-JO"/>
        </w:rPr>
        <w:t xml:space="preserve">، </w:t>
      </w:r>
      <w:r w:rsidR="003A2DCE" w:rsidRPr="002273BC">
        <w:rPr>
          <w:rFonts w:ascii="Arabic Transparent" w:hAnsi="Arabic Transparent" w:cs="Arabic Transparent" w:hint="cs"/>
          <w:sz w:val="24"/>
          <w:szCs w:val="24"/>
          <w:rtl/>
          <w:lang w:bidi="ar-JO"/>
        </w:rPr>
        <w:t>ص213.</w:t>
      </w:r>
    </w:p>
  </w:footnote>
  <w:footnote w:id="137">
    <w:p w14:paraId="276FC7A0" w14:textId="6B8327C6" w:rsidR="00444B42" w:rsidRPr="002273BC" w:rsidRDefault="00444B42"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w:t>
      </w:r>
      <w:r w:rsidR="0069269F" w:rsidRPr="002273BC">
        <w:rPr>
          <w:rFonts w:ascii="Arabic Transparent" w:hAnsi="Arabic Transparent" w:cs="Arabic Transparent" w:hint="cs"/>
          <w:sz w:val="24"/>
          <w:szCs w:val="24"/>
          <w:rtl/>
          <w:lang w:bidi="ar-JO"/>
        </w:rPr>
        <w:t xml:space="preserve">عمر، أحمد مختار عبد الحميد، (2008)، </w:t>
      </w:r>
      <w:r w:rsidR="0069269F" w:rsidRPr="002273BC">
        <w:rPr>
          <w:rFonts w:ascii="Arabic Transparent" w:hAnsi="Arabic Transparent" w:cs="Arabic Transparent" w:hint="cs"/>
          <w:b/>
          <w:bCs/>
          <w:sz w:val="24"/>
          <w:szCs w:val="24"/>
          <w:rtl/>
          <w:lang w:bidi="ar-JO"/>
        </w:rPr>
        <w:t>معجم اللغة العربية المعاصرة،</w:t>
      </w:r>
      <w:r w:rsidR="0069269F" w:rsidRPr="002273BC">
        <w:rPr>
          <w:rFonts w:ascii="Arabic Transparent" w:hAnsi="Arabic Transparent" w:cs="Arabic Transparent" w:hint="cs"/>
          <w:sz w:val="24"/>
          <w:szCs w:val="24"/>
          <w:rtl/>
          <w:lang w:bidi="ar-JO"/>
        </w:rPr>
        <w:t xml:space="preserve"> ط1، ج3، ص1979، عالم الكتب – القاهرة.</w:t>
      </w:r>
    </w:p>
  </w:footnote>
  <w:footnote w:id="138">
    <w:p w14:paraId="6D5AE9D9" w14:textId="10649034" w:rsidR="00EC7C5A" w:rsidRPr="002273BC" w:rsidRDefault="00EC7C5A"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ا</w:t>
      </w:r>
      <w:r w:rsidR="00A52C0B" w:rsidRPr="002273BC">
        <w:rPr>
          <w:rFonts w:ascii="Arabic Transparent" w:hAnsi="Arabic Transparent" w:cs="Arabic Transparent" w:hint="cs"/>
          <w:sz w:val="24"/>
          <w:szCs w:val="24"/>
          <w:rtl/>
          <w:lang w:bidi="ar-JO"/>
        </w:rPr>
        <w:t>بن القيم</w:t>
      </w:r>
      <w:r w:rsidRPr="002273BC">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b/>
          <w:bCs/>
          <w:sz w:val="24"/>
          <w:szCs w:val="24"/>
          <w:rtl/>
          <w:lang w:bidi="ar-JO"/>
        </w:rPr>
        <w:t>اعلام الموقعين عن رب العالمين</w:t>
      </w:r>
      <w:r w:rsidRPr="002273BC">
        <w:rPr>
          <w:rFonts w:ascii="Arabic Transparent" w:hAnsi="Arabic Transparent" w:cs="Arabic Transparent" w:hint="cs"/>
          <w:sz w:val="24"/>
          <w:szCs w:val="24"/>
          <w:rtl/>
          <w:lang w:bidi="ar-JO"/>
        </w:rPr>
        <w:t xml:space="preserve">، </w:t>
      </w:r>
      <w:r w:rsidR="00D129CA" w:rsidRPr="002273BC">
        <w:rPr>
          <w:rFonts w:ascii="Arabic Transparent" w:hAnsi="Arabic Transparent" w:cs="Arabic Transparent" w:hint="cs"/>
          <w:sz w:val="24"/>
          <w:szCs w:val="24"/>
          <w:rtl/>
          <w:lang w:bidi="ar-JO"/>
        </w:rPr>
        <w:t>مصدر</w:t>
      </w:r>
      <w:r w:rsidRPr="002273BC">
        <w:rPr>
          <w:rFonts w:ascii="Arabic Transparent" w:hAnsi="Arabic Transparent" w:cs="Arabic Transparent" w:hint="cs"/>
          <w:sz w:val="24"/>
          <w:szCs w:val="24"/>
          <w:rtl/>
          <w:lang w:bidi="ar-JO"/>
        </w:rPr>
        <w:t xml:space="preserve"> سابق، ج1، ص69.</w:t>
      </w:r>
    </w:p>
  </w:footnote>
  <w:footnote w:id="139">
    <w:p w14:paraId="65A82C2D" w14:textId="79E856D4" w:rsidR="009F1413" w:rsidRPr="002273BC" w:rsidRDefault="009F1413"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ابن عبد البر، يوسف بن عبد الله، (1994)، </w:t>
      </w:r>
      <w:r w:rsidRPr="002273BC">
        <w:rPr>
          <w:rFonts w:ascii="Arabic Transparent" w:hAnsi="Arabic Transparent" w:cs="Arabic Transparent" w:hint="cs"/>
          <w:b/>
          <w:bCs/>
          <w:sz w:val="24"/>
          <w:szCs w:val="24"/>
          <w:rtl/>
          <w:lang w:bidi="ar-JO"/>
        </w:rPr>
        <w:t>جامع بيان العلم وفضله</w:t>
      </w:r>
      <w:r w:rsidRPr="002273BC">
        <w:rPr>
          <w:rFonts w:ascii="Arabic Transparent" w:hAnsi="Arabic Transparent" w:cs="Arabic Transparent" w:hint="cs"/>
          <w:sz w:val="24"/>
          <w:szCs w:val="24"/>
          <w:rtl/>
          <w:lang w:bidi="ar-JO"/>
        </w:rPr>
        <w:t xml:space="preserve">، ط1، </w:t>
      </w:r>
      <w:r w:rsidR="007B339D" w:rsidRPr="002273BC">
        <w:rPr>
          <w:rFonts w:ascii="Arabic Transparent" w:hAnsi="Arabic Transparent" w:cs="Arabic Transparent" w:hint="cs"/>
          <w:sz w:val="24"/>
          <w:szCs w:val="24"/>
          <w:rtl/>
          <w:lang w:bidi="ar-JO"/>
        </w:rPr>
        <w:t xml:space="preserve">ج2، ص867، </w:t>
      </w:r>
      <w:r w:rsidRPr="002273BC">
        <w:rPr>
          <w:rFonts w:ascii="Arabic Transparent" w:hAnsi="Arabic Transparent" w:cs="Arabic Transparent" w:hint="cs"/>
          <w:sz w:val="24"/>
          <w:szCs w:val="24"/>
          <w:rtl/>
          <w:lang w:bidi="ar-JO"/>
        </w:rPr>
        <w:t>دار ابن الجوزي – السعودية.</w:t>
      </w:r>
    </w:p>
  </w:footnote>
  <w:footnote w:id="140">
    <w:p w14:paraId="4FCE169A" w14:textId="4DF18666" w:rsidR="00280166" w:rsidRPr="002273BC" w:rsidRDefault="00280166"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القرضاوي، </w:t>
      </w:r>
      <w:r w:rsidRPr="002273BC">
        <w:rPr>
          <w:rFonts w:ascii="Arabic Transparent" w:hAnsi="Arabic Transparent" w:cs="Arabic Transparent" w:hint="cs"/>
          <w:b/>
          <w:bCs/>
          <w:sz w:val="24"/>
          <w:szCs w:val="24"/>
          <w:rtl/>
          <w:lang w:bidi="ar-JO"/>
        </w:rPr>
        <w:t>الفتوى بين الانضباط والتسيب</w:t>
      </w:r>
      <w:r w:rsidR="003A2DCE" w:rsidRPr="002273BC">
        <w:rPr>
          <w:rFonts w:ascii="Arabic Transparent" w:hAnsi="Arabic Transparent" w:cs="Arabic Transparent" w:hint="cs"/>
          <w:sz w:val="24"/>
          <w:szCs w:val="24"/>
          <w:rtl/>
          <w:lang w:bidi="ar-JO"/>
        </w:rPr>
        <w:t xml:space="preserve">، مصدر سابق، </w:t>
      </w:r>
      <w:r w:rsidR="003A2DCE" w:rsidRPr="002273BC">
        <w:rPr>
          <w:rFonts w:ascii="Arabic Transparent" w:hAnsi="Arabic Transparent" w:cs="Arabic Transparent"/>
          <w:sz w:val="24"/>
          <w:szCs w:val="24"/>
          <w:rtl/>
          <w:lang w:bidi="ar-JO"/>
        </w:rPr>
        <w:t>ص72</w:t>
      </w:r>
      <w:r w:rsidR="003A2DCE" w:rsidRPr="002273BC">
        <w:rPr>
          <w:rFonts w:ascii="Arabic Transparent" w:hAnsi="Arabic Transparent" w:cs="Arabic Transparent" w:hint="cs"/>
          <w:sz w:val="24"/>
          <w:szCs w:val="24"/>
          <w:rtl/>
          <w:lang w:bidi="ar-JO"/>
        </w:rPr>
        <w:t>.</w:t>
      </w:r>
    </w:p>
  </w:footnote>
  <w:footnote w:id="141">
    <w:p w14:paraId="6638D54A" w14:textId="2DE952D1" w:rsidR="00280166" w:rsidRPr="002273BC" w:rsidRDefault="00280166" w:rsidP="00EA3738">
      <w:pPr>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00F647F4">
        <w:rPr>
          <w:rFonts w:ascii="Arabic Transparent" w:hAnsi="Arabic Transparent" w:cs="Arabic Transparent" w:hint="cs"/>
          <w:sz w:val="24"/>
          <w:szCs w:val="24"/>
          <w:rtl/>
          <w:lang w:bidi="ar-JO"/>
        </w:rPr>
        <w:t xml:space="preserve"> </w:t>
      </w:r>
      <w:r w:rsidR="00C16E33" w:rsidRPr="002273BC">
        <w:rPr>
          <w:rFonts w:ascii="Arabic Transparent" w:hAnsi="Arabic Transparent" w:cs="Arabic Transparent" w:hint="cs"/>
          <w:sz w:val="24"/>
          <w:szCs w:val="24"/>
          <w:rtl/>
          <w:lang w:bidi="ar-JO"/>
        </w:rPr>
        <w:t>هنية، مازن، وبركة، إيمان</w:t>
      </w:r>
      <w:r w:rsidR="00144916" w:rsidRPr="002273BC">
        <w:rPr>
          <w:rFonts w:ascii="Arabic Transparent" w:hAnsi="Arabic Transparent" w:cs="Arabic Transparent" w:hint="cs"/>
          <w:sz w:val="24"/>
          <w:szCs w:val="24"/>
          <w:rtl/>
          <w:lang w:bidi="ar-JO"/>
        </w:rPr>
        <w:t>، (</w:t>
      </w:r>
      <w:r w:rsidR="00C16E33" w:rsidRPr="002273BC">
        <w:rPr>
          <w:rFonts w:ascii="Arabic Transparent" w:hAnsi="Arabic Transparent" w:cs="Arabic Transparent" w:hint="cs"/>
          <w:sz w:val="24"/>
          <w:szCs w:val="24"/>
          <w:rtl/>
          <w:lang w:bidi="ar-JO"/>
        </w:rPr>
        <w:t xml:space="preserve">2019) دراسة بعنوان: </w:t>
      </w:r>
      <w:r w:rsidR="00C16E33" w:rsidRPr="002273BC">
        <w:rPr>
          <w:rFonts w:ascii="Arabic Transparent" w:hAnsi="Arabic Transparent" w:cs="Arabic Transparent" w:hint="cs"/>
          <w:b/>
          <w:bCs/>
          <w:sz w:val="24"/>
          <w:szCs w:val="24"/>
          <w:rtl/>
          <w:lang w:bidi="ar-JO"/>
        </w:rPr>
        <w:t>التكييف الفقهي في الاجتهاد ودور العلم فيه،</w:t>
      </w:r>
      <w:r w:rsidR="00C16E33" w:rsidRPr="002273BC">
        <w:rPr>
          <w:rFonts w:ascii="Arabic Transparent" w:hAnsi="Arabic Transparent" w:cs="Arabic Transparent" w:hint="cs"/>
          <w:sz w:val="24"/>
          <w:szCs w:val="24"/>
          <w:rtl/>
          <w:lang w:bidi="ar-JO"/>
        </w:rPr>
        <w:t xml:space="preserve"> ص42، مجلة الجامعة الإسلامية للدراسات الإسلامية والقانونية -غزة. </w:t>
      </w:r>
    </w:p>
  </w:footnote>
  <w:footnote w:id="142">
    <w:p w14:paraId="01F18732" w14:textId="39F2C5F1" w:rsidR="00C16E33" w:rsidRPr="002273BC" w:rsidRDefault="00C16E33"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الخفيف، علي، (1974)، </w:t>
      </w:r>
      <w:r w:rsidR="005247E1" w:rsidRPr="002273BC">
        <w:rPr>
          <w:rFonts w:ascii="Arabic Transparent" w:hAnsi="Arabic Transparent" w:cs="Arabic Transparent" w:hint="cs"/>
          <w:sz w:val="24"/>
          <w:szCs w:val="24"/>
          <w:rtl/>
          <w:lang w:bidi="ar-JO"/>
        </w:rPr>
        <w:t>دراسة</w:t>
      </w:r>
      <w:r w:rsidRPr="002273BC">
        <w:rPr>
          <w:rFonts w:ascii="Arabic Transparent" w:hAnsi="Arabic Transparent" w:cs="Arabic Transparent" w:hint="cs"/>
          <w:sz w:val="24"/>
          <w:szCs w:val="24"/>
          <w:rtl/>
          <w:lang w:bidi="ar-JO"/>
        </w:rPr>
        <w:t xml:space="preserve"> بعنوان: </w:t>
      </w:r>
      <w:r w:rsidRPr="002273BC">
        <w:rPr>
          <w:rFonts w:ascii="Arabic Transparent" w:hAnsi="Arabic Transparent" w:cs="Arabic Transparent" w:hint="cs"/>
          <w:b/>
          <w:bCs/>
          <w:sz w:val="24"/>
          <w:szCs w:val="24"/>
          <w:rtl/>
          <w:lang w:bidi="ar-JO"/>
        </w:rPr>
        <w:t>شهادات الاستثمار في حكم الشريعة بأنواعها الثلاث تطبيقاً للقواعد الفقهية العامة والأصول الشرعية للمعاملات،</w:t>
      </w:r>
      <w:r w:rsidRPr="002273BC">
        <w:rPr>
          <w:rFonts w:ascii="Arabic Transparent" w:hAnsi="Arabic Transparent" w:cs="Arabic Transparent" w:hint="cs"/>
          <w:sz w:val="24"/>
          <w:szCs w:val="24"/>
          <w:rtl/>
          <w:lang w:bidi="ar-JO"/>
        </w:rPr>
        <w:t xml:space="preserve"> ص117، مجمع البحوث الإسلامية في الأزهر، القاهرة.</w:t>
      </w:r>
      <w:r w:rsidR="00D457EE" w:rsidRPr="002273BC">
        <w:rPr>
          <w:rFonts w:ascii="Arabic Transparent" w:hAnsi="Arabic Transparent" w:cs="Arabic Transparent" w:hint="cs"/>
          <w:sz w:val="24"/>
          <w:szCs w:val="24"/>
          <w:rtl/>
          <w:lang w:bidi="ar-JO"/>
        </w:rPr>
        <w:t xml:space="preserve"> </w:t>
      </w:r>
    </w:p>
  </w:footnote>
  <w:footnote w:id="143">
    <w:p w14:paraId="43F1B6A4" w14:textId="51CCAE90" w:rsidR="00482A3F" w:rsidRPr="002273BC" w:rsidRDefault="00482A3F"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w:t>
      </w:r>
      <w:r w:rsidR="009F60EC" w:rsidRPr="002273BC">
        <w:rPr>
          <w:rFonts w:ascii="Arabic Transparent" w:hAnsi="Arabic Transparent" w:cs="Arabic Transparent" w:hint="cs"/>
          <w:sz w:val="24"/>
          <w:szCs w:val="24"/>
          <w:rtl/>
          <w:lang w:bidi="ar-JO"/>
        </w:rPr>
        <w:t xml:space="preserve">قلعجي، محمد رواس، وقنيبي، حامد صادق، (1988م)، </w:t>
      </w:r>
      <w:r w:rsidR="009F60EC" w:rsidRPr="002273BC">
        <w:rPr>
          <w:rFonts w:ascii="Arabic Transparent" w:hAnsi="Arabic Transparent" w:cs="Arabic Transparent" w:hint="cs"/>
          <w:b/>
          <w:bCs/>
          <w:sz w:val="24"/>
          <w:szCs w:val="24"/>
          <w:rtl/>
          <w:lang w:bidi="ar-JO"/>
        </w:rPr>
        <w:t>معجم لغة الفقهاء</w:t>
      </w:r>
      <w:r w:rsidR="009F60EC" w:rsidRPr="002273BC">
        <w:rPr>
          <w:rFonts w:ascii="Arabic Transparent" w:hAnsi="Arabic Transparent" w:cs="Arabic Transparent" w:hint="cs"/>
          <w:sz w:val="24"/>
          <w:szCs w:val="24"/>
          <w:rtl/>
          <w:lang w:bidi="ar-JO"/>
        </w:rPr>
        <w:t>، ط2، ص143، دار النفائس للطباعة والنشر والتوزيع، عمّان.</w:t>
      </w:r>
    </w:p>
  </w:footnote>
  <w:footnote w:id="144">
    <w:p w14:paraId="42722093" w14:textId="084AD175" w:rsidR="00270A9D" w:rsidRPr="002273BC" w:rsidRDefault="00270A9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w:t>
      </w:r>
      <w:r w:rsidR="00F0789F" w:rsidRPr="002273BC">
        <w:rPr>
          <w:rFonts w:ascii="Arabic Transparent" w:hAnsi="Arabic Transparent" w:cs="Arabic Transparent" w:hint="cs"/>
          <w:sz w:val="24"/>
          <w:szCs w:val="24"/>
          <w:rtl/>
          <w:lang w:bidi="ar-JO"/>
        </w:rPr>
        <w:t xml:space="preserve">ابن فارس، </w:t>
      </w:r>
      <w:r w:rsidR="00F0789F" w:rsidRPr="002273BC">
        <w:rPr>
          <w:rFonts w:ascii="Arabic Transparent" w:hAnsi="Arabic Transparent" w:cs="Arabic Transparent" w:hint="cs"/>
          <w:b/>
          <w:bCs/>
          <w:sz w:val="24"/>
          <w:szCs w:val="24"/>
          <w:rtl/>
          <w:lang w:bidi="ar-JO"/>
        </w:rPr>
        <w:t>معجم مقاييس اللغة</w:t>
      </w:r>
      <w:r w:rsidR="00F0789F" w:rsidRPr="002273BC">
        <w:rPr>
          <w:rFonts w:ascii="Arabic Transparent" w:hAnsi="Arabic Transparent" w:cs="Arabic Transparent" w:hint="cs"/>
          <w:sz w:val="24"/>
          <w:szCs w:val="24"/>
          <w:rtl/>
          <w:lang w:bidi="ar-JO"/>
        </w:rPr>
        <w:t xml:space="preserve">، </w:t>
      </w:r>
      <w:r w:rsidR="00D129CA" w:rsidRPr="002273BC">
        <w:rPr>
          <w:rFonts w:ascii="Arabic Transparent" w:hAnsi="Arabic Transparent" w:cs="Arabic Transparent" w:hint="cs"/>
          <w:sz w:val="24"/>
          <w:szCs w:val="24"/>
          <w:rtl/>
          <w:lang w:bidi="ar-JO"/>
        </w:rPr>
        <w:t>مصدر</w:t>
      </w:r>
      <w:r w:rsidR="00F0789F" w:rsidRPr="002273BC">
        <w:rPr>
          <w:rFonts w:ascii="Arabic Transparent" w:hAnsi="Arabic Transparent" w:cs="Arabic Transparent" w:hint="cs"/>
          <w:sz w:val="24"/>
          <w:szCs w:val="24"/>
          <w:rtl/>
          <w:lang w:bidi="ar-JO"/>
        </w:rPr>
        <w:t xml:space="preserve"> سابق، ج3، ص439.</w:t>
      </w:r>
    </w:p>
  </w:footnote>
  <w:footnote w:id="145">
    <w:p w14:paraId="2E4C99BF" w14:textId="26862175" w:rsidR="00270A9D" w:rsidRPr="002273BC" w:rsidRDefault="00270A9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w:t>
      </w:r>
      <w:r w:rsidR="00F0789F" w:rsidRPr="002273BC">
        <w:rPr>
          <w:rFonts w:ascii="Arabic Transparent" w:hAnsi="Arabic Transparent" w:cs="Arabic Transparent" w:hint="cs"/>
          <w:sz w:val="24"/>
          <w:szCs w:val="24"/>
          <w:rtl/>
          <w:lang w:bidi="ar-JO"/>
        </w:rPr>
        <w:t xml:space="preserve">أبو شاويش، ماهر ذيب (2013)، </w:t>
      </w:r>
      <w:r w:rsidR="00F0789F" w:rsidRPr="002273BC">
        <w:rPr>
          <w:rFonts w:ascii="Arabic Transparent" w:hAnsi="Arabic Transparent" w:cs="Arabic Transparent" w:hint="cs"/>
          <w:b/>
          <w:bCs/>
          <w:sz w:val="24"/>
          <w:szCs w:val="24"/>
          <w:rtl/>
          <w:lang w:bidi="ar-JO"/>
        </w:rPr>
        <w:t>ضوابط النظر في النوازل ومدارك الحكم عليها،</w:t>
      </w:r>
      <w:r w:rsidR="00F0789F" w:rsidRPr="002273BC">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sz w:val="24"/>
          <w:szCs w:val="24"/>
          <w:rtl/>
          <w:lang w:bidi="ar-JO"/>
        </w:rPr>
        <w:t xml:space="preserve">ص239، </w:t>
      </w:r>
      <w:r w:rsidR="00F0789F" w:rsidRPr="002273BC">
        <w:rPr>
          <w:rFonts w:ascii="Arabic Transparent" w:hAnsi="Arabic Transparent" w:cs="Arabic Transparent" w:hint="cs"/>
          <w:sz w:val="24"/>
          <w:szCs w:val="24"/>
          <w:rtl/>
          <w:lang w:bidi="ar-JO"/>
        </w:rPr>
        <w:t>مجلة الشريعة والقانون، جامعة الإمارات العربية المتحدة.</w:t>
      </w:r>
    </w:p>
  </w:footnote>
  <w:footnote w:id="146">
    <w:p w14:paraId="2BBB0383" w14:textId="28E22A73" w:rsidR="00C12981" w:rsidRPr="002273BC" w:rsidRDefault="00C12981"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00F647F4">
        <w:rPr>
          <w:rFonts w:ascii="Arabic Transparent" w:hAnsi="Arabic Transparent" w:cs="Arabic Transparent" w:hint="cs"/>
          <w:sz w:val="24"/>
          <w:szCs w:val="24"/>
          <w:rtl/>
          <w:lang w:bidi="ar-JO"/>
        </w:rPr>
        <w:t xml:space="preserve">  </w:t>
      </w:r>
      <w:r w:rsidR="001B0F0B" w:rsidRPr="002273BC">
        <w:rPr>
          <w:rFonts w:ascii="Arabic Transparent" w:hAnsi="Arabic Transparent" w:cs="Arabic Transparent" w:hint="cs"/>
          <w:sz w:val="24"/>
          <w:szCs w:val="24"/>
          <w:rtl/>
          <w:lang w:bidi="ar-JO"/>
        </w:rPr>
        <w:t xml:space="preserve">الرميلي، عبدالحكيم، (دت) </w:t>
      </w:r>
      <w:r w:rsidR="001B0F0B" w:rsidRPr="002273BC">
        <w:rPr>
          <w:rFonts w:ascii="Arabic Transparent" w:hAnsi="Arabic Transparent" w:cs="Arabic Transparent" w:hint="cs"/>
          <w:b/>
          <w:bCs/>
          <w:sz w:val="24"/>
          <w:szCs w:val="24"/>
          <w:rtl/>
          <w:lang w:bidi="ar-JO"/>
        </w:rPr>
        <w:t>تغيّر الفتوى في الفقه الإسلامي</w:t>
      </w:r>
      <w:r w:rsidR="001B0F0B" w:rsidRPr="002273BC">
        <w:rPr>
          <w:rFonts w:ascii="Arabic Transparent" w:hAnsi="Arabic Transparent" w:cs="Arabic Transparent" w:hint="cs"/>
          <w:sz w:val="24"/>
          <w:szCs w:val="24"/>
          <w:rtl/>
          <w:lang w:bidi="ar-JO"/>
        </w:rPr>
        <w:t xml:space="preserve">، ط1، </w:t>
      </w:r>
      <w:r w:rsidR="00E15818" w:rsidRPr="002273BC">
        <w:rPr>
          <w:rFonts w:ascii="Arabic Transparent" w:hAnsi="Arabic Transparent" w:cs="Arabic Transparent" w:hint="cs"/>
          <w:sz w:val="24"/>
          <w:szCs w:val="24"/>
          <w:rtl/>
          <w:lang w:bidi="ar-JO"/>
        </w:rPr>
        <w:t xml:space="preserve">ص80، </w:t>
      </w:r>
      <w:r w:rsidR="001B0F0B" w:rsidRPr="002273BC">
        <w:rPr>
          <w:rFonts w:ascii="Arabic Transparent" w:hAnsi="Arabic Transparent" w:cs="Arabic Transparent" w:hint="cs"/>
          <w:sz w:val="24"/>
          <w:szCs w:val="24"/>
          <w:rtl/>
          <w:lang w:bidi="ar-JO"/>
        </w:rPr>
        <w:t>دار الكتب العلمية -بيروت.</w:t>
      </w:r>
    </w:p>
  </w:footnote>
  <w:footnote w:id="147">
    <w:p w14:paraId="665FEC08" w14:textId="13BD8A20" w:rsidR="00C12981" w:rsidRPr="002273BC" w:rsidRDefault="00C12981"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w:t>
      </w:r>
      <w:r w:rsidR="001E0356" w:rsidRPr="002273BC">
        <w:rPr>
          <w:rFonts w:ascii="Arabic Transparent" w:hAnsi="Arabic Transparent" w:cs="Arabic Transparent" w:hint="cs"/>
          <w:sz w:val="24"/>
          <w:szCs w:val="24"/>
          <w:rtl/>
          <w:lang w:bidi="ar-JO"/>
        </w:rPr>
        <w:t>انظر:</w:t>
      </w:r>
      <w:r w:rsidRPr="002273BC">
        <w:rPr>
          <w:rFonts w:ascii="Arabic Transparent" w:hAnsi="Arabic Transparent" w:cs="Arabic Transparent" w:hint="cs"/>
          <w:sz w:val="24"/>
          <w:szCs w:val="24"/>
          <w:rtl/>
          <w:lang w:bidi="ar-JO"/>
        </w:rPr>
        <w:t xml:space="preserve"> المزيني،</w:t>
      </w:r>
      <w:r w:rsidR="001B0F0B" w:rsidRPr="002273BC">
        <w:rPr>
          <w:rFonts w:ascii="Arabic Transparent" w:hAnsi="Arabic Transparent" w:cs="Arabic Transparent" w:hint="cs"/>
          <w:sz w:val="24"/>
          <w:szCs w:val="24"/>
          <w:rtl/>
          <w:lang w:bidi="ar-JO"/>
        </w:rPr>
        <w:t xml:space="preserve"> خالد بن عبدالله</w:t>
      </w:r>
      <w:r w:rsidR="00ED149A" w:rsidRPr="002273BC">
        <w:rPr>
          <w:rFonts w:ascii="Arabic Transparent" w:hAnsi="Arabic Transparent" w:cs="Arabic Transparent" w:hint="cs"/>
          <w:sz w:val="24"/>
          <w:szCs w:val="24"/>
          <w:rtl/>
          <w:lang w:bidi="ar-JO"/>
        </w:rPr>
        <w:t xml:space="preserve"> </w:t>
      </w:r>
      <w:r w:rsidR="001B0F0B" w:rsidRPr="002273BC">
        <w:rPr>
          <w:rFonts w:ascii="Arabic Transparent" w:hAnsi="Arabic Transparent" w:cs="Arabic Transparent" w:hint="cs"/>
          <w:sz w:val="24"/>
          <w:szCs w:val="24"/>
          <w:rtl/>
          <w:lang w:bidi="ar-JO"/>
        </w:rPr>
        <w:t xml:space="preserve">(2009) </w:t>
      </w:r>
      <w:r w:rsidR="001B0F0B" w:rsidRPr="002273BC">
        <w:rPr>
          <w:rFonts w:ascii="Arabic Transparent" w:hAnsi="Arabic Transparent" w:cs="Arabic Transparent" w:hint="cs"/>
          <w:b/>
          <w:bCs/>
          <w:sz w:val="24"/>
          <w:szCs w:val="24"/>
          <w:rtl/>
          <w:lang w:bidi="ar-JO"/>
        </w:rPr>
        <w:t>مراحل النظر في النازل الفقهية</w:t>
      </w:r>
      <w:r w:rsidR="001B0F0B" w:rsidRPr="002273BC">
        <w:rPr>
          <w:rFonts w:ascii="Arabic Transparent" w:hAnsi="Arabic Transparent" w:cs="Arabic Transparent" w:hint="cs"/>
          <w:sz w:val="24"/>
          <w:szCs w:val="24"/>
          <w:rtl/>
          <w:lang w:bidi="ar-JO"/>
        </w:rPr>
        <w:t>، ط1، ص24- 25، مركز التميز البحثي في فقه القضايا المعاصرة – السعودية.</w:t>
      </w:r>
      <w:r w:rsidRPr="002273BC">
        <w:rPr>
          <w:rFonts w:ascii="Arabic Transparent" w:hAnsi="Arabic Transparent" w:cs="Arabic Transparent" w:hint="cs"/>
          <w:sz w:val="24"/>
          <w:szCs w:val="24"/>
          <w:rtl/>
          <w:lang w:bidi="ar-JO"/>
        </w:rPr>
        <w:t xml:space="preserve"> مراحل النظر في النازلة</w:t>
      </w:r>
      <w:r w:rsidR="001B0F0B" w:rsidRPr="002273BC">
        <w:rPr>
          <w:rFonts w:ascii="Arabic Transparent" w:hAnsi="Arabic Transparent" w:cs="Arabic Transparent" w:hint="cs"/>
          <w:sz w:val="24"/>
          <w:szCs w:val="24"/>
          <w:rtl/>
          <w:lang w:bidi="ar-JO"/>
        </w:rPr>
        <w:t>.</w:t>
      </w:r>
    </w:p>
  </w:footnote>
  <w:footnote w:id="148">
    <w:p w14:paraId="2FAF8911" w14:textId="3A9DCE04" w:rsidR="008F18C1" w:rsidRPr="002273BC" w:rsidRDefault="008F18C1" w:rsidP="00EA3738">
      <w:pPr>
        <w:pStyle w:val="FootnoteText"/>
        <w:spacing w:line="336"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أشار ابن بيه إلى هذا التقسيم في ندوة علمية متخصصة، انظر: ابن بيه، </w:t>
      </w:r>
      <w:r w:rsidRPr="002273BC">
        <w:rPr>
          <w:rFonts w:ascii="Arabic Transparent" w:hAnsi="Arabic Transparent" w:cs="Arabic Transparent" w:hint="cs"/>
          <w:b/>
          <w:bCs/>
          <w:sz w:val="24"/>
          <w:szCs w:val="24"/>
          <w:rtl/>
          <w:lang w:bidi="ar-JO"/>
        </w:rPr>
        <w:t>تحقيق المناط بين الواقع والمتوقع</w:t>
      </w:r>
      <w:r w:rsidRPr="002273BC">
        <w:rPr>
          <w:rFonts w:ascii="Arabic Transparent" w:hAnsi="Arabic Transparent" w:cs="Arabic Transparent" w:hint="cs"/>
          <w:sz w:val="24"/>
          <w:szCs w:val="24"/>
          <w:rtl/>
          <w:lang w:bidi="ar-JO"/>
        </w:rPr>
        <w:t>، مصدر سابق، ص21.</w:t>
      </w:r>
    </w:p>
  </w:footnote>
  <w:footnote w:id="149">
    <w:p w14:paraId="4B12F592" w14:textId="370D0AFA" w:rsidR="003D7D66" w:rsidRPr="002273BC" w:rsidRDefault="003D7D66" w:rsidP="00EA3738">
      <w:pPr>
        <w:pStyle w:val="FootnoteText"/>
        <w:spacing w:line="336" w:lineRule="auto"/>
        <w:jc w:val="both"/>
        <w:rPr>
          <w:rFonts w:ascii="Arabic Transparent" w:hAnsi="Arabic Transparent" w:cs="Arabic Transparent"/>
          <w:sz w:val="24"/>
          <w:szCs w:val="24"/>
          <w:rtl/>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w:t>
      </w:r>
      <w:r w:rsidR="001E0356" w:rsidRPr="002273BC">
        <w:rPr>
          <w:rFonts w:ascii="Arabic Transparent" w:hAnsi="Arabic Transparent" w:cs="Arabic Transparent" w:hint="cs"/>
          <w:sz w:val="24"/>
          <w:szCs w:val="24"/>
          <w:rtl/>
          <w:lang w:bidi="ar-JO"/>
        </w:rPr>
        <w:t>انظر:</w:t>
      </w:r>
      <w:r w:rsidRPr="002273BC">
        <w:rPr>
          <w:rFonts w:ascii="Arabic Transparent" w:hAnsi="Arabic Transparent" w:cs="Arabic Transparent" w:hint="cs"/>
          <w:sz w:val="24"/>
          <w:szCs w:val="24"/>
          <w:rtl/>
          <w:lang w:bidi="ar-JO"/>
        </w:rPr>
        <w:t xml:space="preserve"> الدريني، فتحي، (2013)، </w:t>
      </w:r>
      <w:r w:rsidRPr="002273BC">
        <w:rPr>
          <w:rFonts w:ascii="Arabic Transparent" w:hAnsi="Arabic Transparent" w:cs="Arabic Transparent" w:hint="cs"/>
          <w:b/>
          <w:bCs/>
          <w:sz w:val="24"/>
          <w:szCs w:val="24"/>
          <w:rtl/>
          <w:lang w:bidi="ar-JO"/>
        </w:rPr>
        <w:t>المناهج الأصولية في الاجتهاد بالرأي في التشريع الإسلامي</w:t>
      </w:r>
      <w:r w:rsidRPr="002273BC">
        <w:rPr>
          <w:rFonts w:ascii="Arabic Transparent" w:hAnsi="Arabic Transparent" w:cs="Arabic Transparent" w:hint="cs"/>
          <w:sz w:val="24"/>
          <w:szCs w:val="24"/>
          <w:rtl/>
          <w:lang w:bidi="ar-JO"/>
        </w:rPr>
        <w:t xml:space="preserve">، ط3، </w:t>
      </w:r>
      <w:r w:rsidR="00ED149A" w:rsidRPr="002273BC">
        <w:rPr>
          <w:rFonts w:ascii="Arabic Transparent" w:hAnsi="Arabic Transparent" w:cs="Arabic Transparent" w:hint="cs"/>
          <w:sz w:val="24"/>
          <w:szCs w:val="24"/>
          <w:rtl/>
          <w:lang w:bidi="ar-JO"/>
        </w:rPr>
        <w:t xml:space="preserve">ص64، </w:t>
      </w:r>
      <w:r w:rsidRPr="002273BC">
        <w:rPr>
          <w:rFonts w:ascii="Arabic Transparent" w:hAnsi="Arabic Transparent" w:cs="Arabic Transparent" w:hint="cs"/>
          <w:sz w:val="24"/>
          <w:szCs w:val="24"/>
          <w:rtl/>
          <w:lang w:bidi="ar-JO"/>
        </w:rPr>
        <w:t>مؤسسة الرسالة- بيروت، و</w:t>
      </w:r>
      <w:r w:rsidR="001E0356" w:rsidRPr="002273BC">
        <w:rPr>
          <w:rFonts w:ascii="Arabic Transparent" w:hAnsi="Arabic Transparent" w:cs="Arabic Transparent" w:hint="cs"/>
          <w:sz w:val="24"/>
          <w:szCs w:val="24"/>
          <w:rtl/>
          <w:lang w:bidi="ar-JO"/>
        </w:rPr>
        <w:t>انظر:</w:t>
      </w:r>
      <w:r w:rsidRPr="002273BC">
        <w:rPr>
          <w:rFonts w:ascii="Arabic Transparent" w:hAnsi="Arabic Transparent" w:cs="Arabic Transparent" w:hint="cs"/>
          <w:sz w:val="24"/>
          <w:szCs w:val="24"/>
          <w:rtl/>
          <w:lang w:bidi="ar-JO"/>
        </w:rPr>
        <w:t xml:space="preserve"> الدريني، فتحي، (2013)، </w:t>
      </w:r>
      <w:r w:rsidRPr="002273BC">
        <w:rPr>
          <w:rFonts w:ascii="Arabic Transparent" w:hAnsi="Arabic Transparent" w:cs="Arabic Transparent" w:hint="cs"/>
          <w:b/>
          <w:bCs/>
          <w:sz w:val="24"/>
          <w:szCs w:val="24"/>
          <w:rtl/>
          <w:lang w:bidi="ar-JO"/>
        </w:rPr>
        <w:t>خصائص التشريع الإسلامي في السياسة والحكم</w:t>
      </w:r>
      <w:r w:rsidRPr="002273BC">
        <w:rPr>
          <w:rFonts w:ascii="Arabic Transparent" w:hAnsi="Arabic Transparent" w:cs="Arabic Transparent" w:hint="cs"/>
          <w:sz w:val="24"/>
          <w:szCs w:val="24"/>
          <w:rtl/>
          <w:lang w:bidi="ar-JO"/>
        </w:rPr>
        <w:t>، ط3،</w:t>
      </w:r>
      <w:r w:rsidR="00ED149A" w:rsidRPr="002273BC">
        <w:rPr>
          <w:rFonts w:ascii="Arabic Transparent" w:hAnsi="Arabic Transparent" w:cs="Arabic Transparent" w:hint="cs"/>
          <w:sz w:val="24"/>
          <w:szCs w:val="24"/>
          <w:rtl/>
          <w:lang w:bidi="ar-JO"/>
        </w:rPr>
        <w:t xml:space="preserve"> ص186</w:t>
      </w:r>
      <w:r w:rsidRPr="002273BC">
        <w:rPr>
          <w:rFonts w:ascii="Arabic Transparent" w:hAnsi="Arabic Transparent" w:cs="Arabic Transparent" w:hint="cs"/>
          <w:sz w:val="24"/>
          <w:szCs w:val="24"/>
          <w:rtl/>
          <w:lang w:bidi="ar-JO"/>
        </w:rPr>
        <w:t xml:space="preserve"> مؤسسة الرسالة، بيروت.</w:t>
      </w:r>
    </w:p>
  </w:footnote>
  <w:footnote w:id="150">
    <w:p w14:paraId="36A99E89" w14:textId="23DFC178" w:rsidR="00C55BAB" w:rsidRPr="002273BC" w:rsidRDefault="00C55BAB" w:rsidP="00EA3738">
      <w:pPr>
        <w:pStyle w:val="FootnoteText"/>
        <w:spacing w:line="336"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انظر: الباجي، سليمان بن خلف، (1914)، </w:t>
      </w:r>
      <w:r w:rsidRPr="002273BC">
        <w:rPr>
          <w:rFonts w:ascii="Arabic Transparent" w:hAnsi="Arabic Transparent" w:cs="Arabic Transparent" w:hint="cs"/>
          <w:b/>
          <w:bCs/>
          <w:sz w:val="24"/>
          <w:szCs w:val="24"/>
          <w:rtl/>
          <w:lang w:bidi="ar-JO"/>
        </w:rPr>
        <w:t>المنتقى شرح الموطأ،</w:t>
      </w:r>
      <w:r w:rsidRPr="002273BC">
        <w:rPr>
          <w:rFonts w:ascii="Arabic Transparent" w:hAnsi="Arabic Transparent" w:cs="Arabic Transparent" w:hint="cs"/>
          <w:sz w:val="24"/>
          <w:szCs w:val="24"/>
          <w:rtl/>
          <w:lang w:bidi="ar-JO"/>
        </w:rPr>
        <w:t xml:space="preserve"> ط1،</w:t>
      </w:r>
      <w:r w:rsidR="00D75F0F">
        <w:rPr>
          <w:rFonts w:ascii="Arabic Transparent" w:hAnsi="Arabic Transparent" w:cs="Arabic Transparent" w:hint="cs"/>
          <w:sz w:val="24"/>
          <w:szCs w:val="24"/>
          <w:rtl/>
          <w:lang w:bidi="ar-JO"/>
        </w:rPr>
        <w:t xml:space="preserve"> ج5، ص269،ص</w:t>
      </w:r>
      <w:r w:rsidRPr="002273BC">
        <w:rPr>
          <w:rFonts w:ascii="Arabic Transparent" w:hAnsi="Arabic Transparent" w:cs="Arabic Transparent" w:hint="cs"/>
          <w:sz w:val="24"/>
          <w:szCs w:val="24"/>
          <w:rtl/>
          <w:lang w:bidi="ar-JO"/>
        </w:rPr>
        <w:t xml:space="preserve"> مطبعة السعادة – مصر، </w:t>
      </w:r>
      <w:r w:rsidRPr="002273BC">
        <w:rPr>
          <w:rFonts w:ascii="Arabic Transparent" w:hAnsi="Arabic Transparent" w:cs="Arabic Transparent"/>
          <w:sz w:val="24"/>
          <w:szCs w:val="24"/>
          <w:rtl/>
          <w:lang w:bidi="ar-JO"/>
        </w:rPr>
        <w:t xml:space="preserve">الدريني، محمد فتحي، (1991م)، </w:t>
      </w:r>
      <w:r w:rsidRPr="00D75F0F">
        <w:rPr>
          <w:rFonts w:ascii="Arabic Transparent" w:hAnsi="Arabic Transparent" w:cs="Arabic Transparent"/>
          <w:b/>
          <w:bCs/>
          <w:sz w:val="24"/>
          <w:szCs w:val="24"/>
          <w:rtl/>
          <w:lang w:bidi="ar-JO"/>
        </w:rPr>
        <w:t>الفقه الإسلامي المقارن مع المذاهب</w:t>
      </w:r>
      <w:r w:rsidRPr="002273BC">
        <w:rPr>
          <w:rFonts w:ascii="Arabic Transparent" w:hAnsi="Arabic Transparent" w:cs="Arabic Transparent"/>
          <w:sz w:val="24"/>
          <w:szCs w:val="24"/>
          <w:rtl/>
          <w:lang w:bidi="ar-JO"/>
        </w:rPr>
        <w:t>، ط3،</w:t>
      </w:r>
      <w:r w:rsidRPr="002273BC">
        <w:rPr>
          <w:rFonts w:ascii="Arabic Transparent" w:hAnsi="Arabic Transparent" w:cs="Arabic Transparent" w:hint="cs"/>
          <w:sz w:val="24"/>
          <w:szCs w:val="24"/>
          <w:rtl/>
          <w:lang w:bidi="ar-JO"/>
        </w:rPr>
        <w:t xml:space="preserve"> ص191،</w:t>
      </w:r>
      <w:r w:rsidRPr="002273BC">
        <w:rPr>
          <w:rFonts w:ascii="Arabic Transparent" w:hAnsi="Arabic Transparent" w:cs="Arabic Transparent"/>
          <w:sz w:val="24"/>
          <w:szCs w:val="24"/>
          <w:rtl/>
          <w:lang w:bidi="ar-JO"/>
        </w:rPr>
        <w:t xml:space="preserve"> منشورات جامعة دمشق، سوريا.</w:t>
      </w:r>
    </w:p>
  </w:footnote>
  <w:footnote w:id="151">
    <w:p w14:paraId="33851D9A" w14:textId="1F26844F" w:rsidR="00DE7B18" w:rsidRPr="002273BC" w:rsidRDefault="00DE7B18" w:rsidP="00EA3738">
      <w:pPr>
        <w:pStyle w:val="FootnoteText"/>
        <w:spacing w:line="336"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00C55BAB">
        <w:rPr>
          <w:rFonts w:ascii="Arabic Transparent" w:hAnsi="Arabic Transparent" w:cs="Arabic Transparent" w:hint="cs"/>
          <w:sz w:val="24"/>
          <w:szCs w:val="24"/>
          <w:rtl/>
          <w:lang w:bidi="ar-JO"/>
        </w:rPr>
        <w:t xml:space="preserve"> </w:t>
      </w:r>
      <w:r w:rsidR="00527E20" w:rsidRPr="002273BC">
        <w:rPr>
          <w:rFonts w:ascii="Arabic Transparent" w:hAnsi="Arabic Transparent" w:cs="Arabic Transparent" w:hint="cs"/>
          <w:sz w:val="24"/>
          <w:szCs w:val="24"/>
          <w:rtl/>
          <w:lang w:bidi="ar-JO"/>
        </w:rPr>
        <w:t xml:space="preserve">ابن نجيم، زين الدين بن إبراهيم، (د.ت)، </w:t>
      </w:r>
      <w:r w:rsidR="00527E20" w:rsidRPr="002273BC">
        <w:rPr>
          <w:rFonts w:ascii="Arabic Transparent" w:hAnsi="Arabic Transparent" w:cs="Arabic Transparent" w:hint="cs"/>
          <w:b/>
          <w:bCs/>
          <w:sz w:val="24"/>
          <w:szCs w:val="24"/>
          <w:rtl/>
          <w:lang w:bidi="ar-JO"/>
        </w:rPr>
        <w:t>البحر الرائق شرح كنز الدقائق</w:t>
      </w:r>
      <w:r w:rsidR="00527E20" w:rsidRPr="002273BC">
        <w:rPr>
          <w:rFonts w:ascii="Arabic Transparent" w:hAnsi="Arabic Transparent" w:cs="Arabic Transparent" w:hint="cs"/>
          <w:sz w:val="24"/>
          <w:szCs w:val="24"/>
          <w:rtl/>
          <w:lang w:bidi="ar-JO"/>
        </w:rPr>
        <w:t>، ط2، ج5، ص11، دار الكتاب الإسلامي – القاهرة.</w:t>
      </w:r>
    </w:p>
  </w:footnote>
  <w:footnote w:id="152">
    <w:p w14:paraId="58378D95" w14:textId="25345954" w:rsidR="0054258A" w:rsidRPr="002273BC" w:rsidRDefault="0054258A"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w:t>
      </w:r>
      <w:r w:rsidR="003A2DCE" w:rsidRPr="002273BC">
        <w:rPr>
          <w:rFonts w:ascii="Arabic Transparent" w:hAnsi="Arabic Transparent" w:cs="Arabic Transparent" w:hint="cs"/>
          <w:sz w:val="24"/>
          <w:szCs w:val="24"/>
          <w:rtl/>
          <w:lang w:bidi="ar-JO"/>
        </w:rPr>
        <w:t xml:space="preserve">أخرجه </w:t>
      </w:r>
      <w:r w:rsidRPr="002273BC">
        <w:rPr>
          <w:rFonts w:ascii="Arabic Transparent" w:hAnsi="Arabic Transparent" w:cs="Arabic Transparent" w:hint="cs"/>
          <w:sz w:val="24"/>
          <w:szCs w:val="24"/>
          <w:rtl/>
          <w:lang w:bidi="ar-JO"/>
        </w:rPr>
        <w:t>مسلم</w:t>
      </w:r>
      <w:r w:rsidR="003A2DCE" w:rsidRPr="002273BC">
        <w:rPr>
          <w:rFonts w:ascii="Arabic Transparent" w:hAnsi="Arabic Transparent" w:cs="Arabic Transparent" w:hint="cs"/>
          <w:sz w:val="24"/>
          <w:szCs w:val="24"/>
          <w:rtl/>
          <w:lang w:bidi="ar-JO"/>
        </w:rPr>
        <w:t xml:space="preserve"> صحيحه</w:t>
      </w:r>
      <w:r w:rsidRPr="002273BC">
        <w:rPr>
          <w:rFonts w:ascii="Arabic Transparent" w:hAnsi="Arabic Transparent" w:cs="Arabic Transparent" w:hint="cs"/>
          <w:sz w:val="24"/>
          <w:szCs w:val="24"/>
          <w:rtl/>
          <w:lang w:bidi="ar-JO"/>
        </w:rPr>
        <w:t xml:space="preserve">، </w:t>
      </w:r>
      <w:r w:rsidR="003A2DCE" w:rsidRPr="002273BC">
        <w:rPr>
          <w:rFonts w:ascii="Arabic Transparent" w:hAnsi="Arabic Transparent" w:cs="Arabic Transparent" w:hint="cs"/>
          <w:b/>
          <w:bCs/>
          <w:sz w:val="24"/>
          <w:szCs w:val="24"/>
          <w:rtl/>
          <w:lang w:bidi="ar-JO"/>
        </w:rPr>
        <w:t>صحيح مسلم</w:t>
      </w:r>
      <w:r w:rsidRPr="002273BC">
        <w:rPr>
          <w:rFonts w:ascii="Arabic Transparent" w:hAnsi="Arabic Transparent" w:cs="Arabic Transparent" w:hint="cs"/>
          <w:sz w:val="24"/>
          <w:szCs w:val="24"/>
          <w:rtl/>
          <w:lang w:bidi="ar-JO"/>
        </w:rPr>
        <w:t>،</w:t>
      </w:r>
      <w:r w:rsidR="003A2DCE" w:rsidRPr="002273BC">
        <w:rPr>
          <w:rFonts w:ascii="Arabic Transparent" w:hAnsi="Arabic Transparent" w:cs="Arabic Transparent" w:hint="cs"/>
          <w:sz w:val="24"/>
          <w:szCs w:val="24"/>
          <w:rtl/>
          <w:lang w:bidi="ar-JO"/>
        </w:rPr>
        <w:t xml:space="preserve"> مصدر سابق،</w:t>
      </w:r>
      <w:r w:rsidRPr="002273BC">
        <w:rPr>
          <w:rFonts w:ascii="Arabic Transparent" w:hAnsi="Arabic Transparent" w:cs="Arabic Transparent" w:hint="cs"/>
          <w:sz w:val="24"/>
          <w:szCs w:val="24"/>
          <w:rtl/>
          <w:lang w:bidi="ar-JO"/>
        </w:rPr>
        <w:t xml:space="preserve"> </w:t>
      </w:r>
      <w:r w:rsidR="00084037" w:rsidRPr="002273BC">
        <w:rPr>
          <w:rFonts w:ascii="Arabic Transparent" w:hAnsi="Arabic Transparent" w:cs="Arabic Transparent" w:hint="cs"/>
          <w:sz w:val="24"/>
          <w:szCs w:val="24"/>
          <w:rtl/>
          <w:lang w:bidi="ar-JO"/>
        </w:rPr>
        <w:t>كتاب الحدود</w:t>
      </w:r>
      <w:r w:rsidR="000F026C" w:rsidRPr="002273BC">
        <w:rPr>
          <w:rFonts w:ascii="Arabic Transparent" w:hAnsi="Arabic Transparent" w:cs="Arabic Transparent" w:hint="cs"/>
          <w:sz w:val="24"/>
          <w:szCs w:val="24"/>
          <w:rtl/>
          <w:lang w:bidi="ar-JO"/>
        </w:rPr>
        <w:t xml:space="preserve">، </w:t>
      </w:r>
      <w:r w:rsidR="00084037" w:rsidRPr="002273BC">
        <w:rPr>
          <w:rFonts w:ascii="Arabic Transparent" w:hAnsi="Arabic Transparent" w:cs="Arabic Transparent" w:hint="cs"/>
          <w:sz w:val="24"/>
          <w:szCs w:val="24"/>
          <w:rtl/>
          <w:lang w:bidi="ar-JO"/>
        </w:rPr>
        <w:t xml:space="preserve">باب من اعترف على نفسه بالزنا، </w:t>
      </w:r>
      <w:r w:rsidRPr="002273BC">
        <w:rPr>
          <w:rFonts w:ascii="Arabic Transparent" w:hAnsi="Arabic Transparent" w:cs="Arabic Transparent" w:hint="cs"/>
          <w:sz w:val="24"/>
          <w:szCs w:val="24"/>
          <w:rtl/>
          <w:lang w:bidi="ar-JO"/>
        </w:rPr>
        <w:t>مصدر سابق، رقم الحديث، 1696، ج1، ص673.</w:t>
      </w:r>
    </w:p>
  </w:footnote>
  <w:footnote w:id="153">
    <w:p w14:paraId="71ECF0E0" w14:textId="6B4971DE" w:rsidR="00BB20D6" w:rsidRPr="002273BC" w:rsidRDefault="00BB20D6"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w:t>
      </w:r>
      <w:r w:rsidR="001E0356" w:rsidRPr="002273BC">
        <w:rPr>
          <w:rFonts w:ascii="Arabic Transparent" w:hAnsi="Arabic Transparent" w:cs="Arabic Transparent" w:hint="cs"/>
          <w:sz w:val="24"/>
          <w:szCs w:val="24"/>
          <w:rtl/>
          <w:lang w:bidi="ar-JO"/>
        </w:rPr>
        <w:t>انظر:</w:t>
      </w:r>
      <w:r w:rsidR="001260D8" w:rsidRPr="002273BC">
        <w:rPr>
          <w:rFonts w:ascii="Arabic Transparent" w:hAnsi="Arabic Transparent" w:cs="Arabic Transparent" w:hint="cs"/>
          <w:sz w:val="24"/>
          <w:szCs w:val="24"/>
          <w:rtl/>
          <w:lang w:bidi="ar-JO"/>
        </w:rPr>
        <w:t xml:space="preserve"> الكيلاني، (2009) عبدالله، </w:t>
      </w:r>
      <w:r w:rsidR="001260D8" w:rsidRPr="002273BC">
        <w:rPr>
          <w:rFonts w:ascii="Arabic Transparent" w:hAnsi="Arabic Transparent" w:cs="Arabic Transparent" w:hint="cs"/>
          <w:b/>
          <w:bCs/>
          <w:sz w:val="24"/>
          <w:szCs w:val="24"/>
          <w:rtl/>
          <w:lang w:bidi="ar-JO"/>
        </w:rPr>
        <w:t>السياسة الشرعية مدخل إلى تجديد الخطاب الإسلامي،</w:t>
      </w:r>
      <w:r w:rsidR="001260D8" w:rsidRPr="002273BC">
        <w:rPr>
          <w:rFonts w:ascii="Arabic Transparent" w:hAnsi="Arabic Transparent" w:cs="Arabic Transparent" w:hint="cs"/>
          <w:sz w:val="24"/>
          <w:szCs w:val="24"/>
          <w:rtl/>
          <w:lang w:bidi="ar-JO"/>
        </w:rPr>
        <w:t xml:space="preserve"> ط1، ص40-41، ص دار الفرقان للنشر والتوزيع – الأردن.</w:t>
      </w:r>
    </w:p>
  </w:footnote>
  <w:footnote w:id="154">
    <w:p w14:paraId="0D4508BA" w14:textId="0BC4DECA" w:rsidR="00BB20D6" w:rsidRPr="002273BC" w:rsidRDefault="00BB20D6"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008757FB">
        <w:rPr>
          <w:rFonts w:ascii="Arabic Transparent" w:hAnsi="Arabic Transparent" w:cs="Arabic Transparent" w:hint="cs"/>
          <w:sz w:val="24"/>
          <w:szCs w:val="24"/>
          <w:rtl/>
          <w:lang w:bidi="ar-JO"/>
        </w:rPr>
        <w:t xml:space="preserve"> </w:t>
      </w:r>
      <w:r w:rsidR="00625C31" w:rsidRPr="002273BC">
        <w:rPr>
          <w:rFonts w:ascii="Arabic Transparent" w:hAnsi="Arabic Transparent" w:cs="Arabic Transparent" w:hint="cs"/>
          <w:sz w:val="24"/>
          <w:szCs w:val="24"/>
          <w:rtl/>
          <w:lang w:bidi="ar-JO"/>
        </w:rPr>
        <w:t xml:space="preserve">الريسوني، </w:t>
      </w:r>
      <w:r w:rsidR="00625C31" w:rsidRPr="002273BC">
        <w:rPr>
          <w:rFonts w:ascii="Arabic Transparent" w:hAnsi="Arabic Transparent" w:cs="Arabic Transparent" w:hint="cs"/>
          <w:b/>
          <w:bCs/>
          <w:sz w:val="24"/>
          <w:szCs w:val="24"/>
          <w:rtl/>
          <w:lang w:bidi="ar-JO"/>
        </w:rPr>
        <w:t xml:space="preserve">نظرية المقاصد عند الشاطبي، </w:t>
      </w:r>
      <w:r w:rsidR="00D129CA" w:rsidRPr="002273BC">
        <w:rPr>
          <w:rFonts w:ascii="Arabic Transparent" w:hAnsi="Arabic Transparent" w:cs="Arabic Transparent" w:hint="cs"/>
          <w:sz w:val="24"/>
          <w:szCs w:val="24"/>
          <w:rtl/>
          <w:lang w:bidi="ar-JO"/>
        </w:rPr>
        <w:t>مصدر</w:t>
      </w:r>
      <w:r w:rsidR="00625C31" w:rsidRPr="002273BC">
        <w:rPr>
          <w:rFonts w:ascii="Arabic Transparent" w:hAnsi="Arabic Transparent" w:cs="Arabic Transparent" w:hint="cs"/>
          <w:sz w:val="24"/>
          <w:szCs w:val="24"/>
          <w:rtl/>
          <w:lang w:bidi="ar-JO"/>
        </w:rPr>
        <w:t xml:space="preserve"> سابق</w:t>
      </w:r>
      <w:r w:rsidR="001260D8" w:rsidRPr="002273BC">
        <w:rPr>
          <w:rFonts w:ascii="Arabic Transparent" w:hAnsi="Arabic Transparent" w:cs="Arabic Transparent" w:hint="cs"/>
          <w:sz w:val="24"/>
          <w:szCs w:val="24"/>
          <w:rtl/>
          <w:lang w:bidi="ar-JO"/>
        </w:rPr>
        <w:t>، ص355.</w:t>
      </w:r>
    </w:p>
  </w:footnote>
  <w:footnote w:id="155">
    <w:p w14:paraId="3F903FCF" w14:textId="35B107CB" w:rsidR="00BB20D6" w:rsidRPr="002273BC" w:rsidRDefault="00BB20D6"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w:t>
      </w:r>
      <w:r w:rsidR="001260D8" w:rsidRPr="002273BC">
        <w:rPr>
          <w:rFonts w:ascii="Arabic Transparent" w:hAnsi="Arabic Transparent" w:cs="Arabic Transparent" w:hint="cs"/>
          <w:sz w:val="24"/>
          <w:szCs w:val="24"/>
          <w:rtl/>
          <w:lang w:bidi="ar-JO"/>
        </w:rPr>
        <w:t xml:space="preserve">الشاطبي، </w:t>
      </w:r>
      <w:r w:rsidR="00C33355" w:rsidRPr="002273BC">
        <w:rPr>
          <w:rFonts w:ascii="Arabic Transparent" w:hAnsi="Arabic Transparent" w:cs="Arabic Transparent" w:hint="cs"/>
          <w:b/>
          <w:bCs/>
          <w:sz w:val="24"/>
          <w:szCs w:val="24"/>
          <w:rtl/>
          <w:lang w:bidi="ar-JO"/>
        </w:rPr>
        <w:t>الموافقات</w:t>
      </w:r>
      <w:r w:rsidR="001260D8" w:rsidRPr="002273BC">
        <w:rPr>
          <w:rFonts w:ascii="Arabic Transparent" w:hAnsi="Arabic Transparent" w:cs="Arabic Transparent" w:hint="cs"/>
          <w:sz w:val="24"/>
          <w:szCs w:val="24"/>
          <w:rtl/>
          <w:lang w:bidi="ar-JO"/>
        </w:rPr>
        <w:t xml:space="preserve">، </w:t>
      </w:r>
      <w:r w:rsidR="00D129CA" w:rsidRPr="002273BC">
        <w:rPr>
          <w:rFonts w:ascii="Arabic Transparent" w:hAnsi="Arabic Transparent" w:cs="Arabic Transparent" w:hint="cs"/>
          <w:sz w:val="24"/>
          <w:szCs w:val="24"/>
          <w:rtl/>
          <w:lang w:bidi="ar-JO"/>
        </w:rPr>
        <w:t>مصدر</w:t>
      </w:r>
      <w:r w:rsidR="001260D8" w:rsidRPr="002273BC">
        <w:rPr>
          <w:rFonts w:ascii="Arabic Transparent" w:hAnsi="Arabic Transparent" w:cs="Arabic Transparent" w:hint="cs"/>
          <w:sz w:val="24"/>
          <w:szCs w:val="24"/>
          <w:rtl/>
          <w:lang w:bidi="ar-JO"/>
        </w:rPr>
        <w:t xml:space="preserve"> سابق، ج3، ص231.</w:t>
      </w:r>
    </w:p>
  </w:footnote>
  <w:footnote w:id="156">
    <w:p w14:paraId="7D5CA1C9" w14:textId="246778E0" w:rsidR="0029602C" w:rsidRPr="002273BC" w:rsidRDefault="0029602C"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w:t>
      </w:r>
      <w:r w:rsidR="00C33355" w:rsidRPr="002273BC">
        <w:rPr>
          <w:rFonts w:ascii="Arabic Transparent" w:hAnsi="Arabic Transparent" w:cs="Arabic Transparent" w:hint="cs"/>
          <w:sz w:val="24"/>
          <w:szCs w:val="24"/>
          <w:rtl/>
          <w:lang w:bidi="ar-JO"/>
        </w:rPr>
        <w:t>للتوسع في هذا الجانب</w:t>
      </w:r>
      <w:r w:rsidR="00084037" w:rsidRPr="002273BC">
        <w:rPr>
          <w:rFonts w:ascii="Arabic Transparent" w:hAnsi="Arabic Transparent" w:cs="Arabic Transparent" w:hint="cs"/>
          <w:sz w:val="24"/>
          <w:szCs w:val="24"/>
          <w:rtl/>
          <w:lang w:bidi="ar-JO"/>
        </w:rPr>
        <w:t>،</w:t>
      </w:r>
      <w:r w:rsidR="00C33355" w:rsidRPr="002273BC">
        <w:rPr>
          <w:rFonts w:ascii="Arabic Transparent" w:hAnsi="Arabic Transparent" w:cs="Arabic Transparent" w:hint="cs"/>
          <w:sz w:val="24"/>
          <w:szCs w:val="24"/>
          <w:rtl/>
          <w:lang w:bidi="ar-JO"/>
        </w:rPr>
        <w:t xml:space="preserve"> </w:t>
      </w:r>
      <w:r w:rsidR="001E0356" w:rsidRPr="002273BC">
        <w:rPr>
          <w:rFonts w:ascii="Arabic Transparent" w:hAnsi="Arabic Transparent" w:cs="Arabic Transparent" w:hint="cs"/>
          <w:sz w:val="24"/>
          <w:szCs w:val="24"/>
          <w:rtl/>
          <w:lang w:bidi="ar-JO"/>
        </w:rPr>
        <w:t>انظر:</w:t>
      </w:r>
      <w:r w:rsidR="00C33355" w:rsidRPr="002273BC">
        <w:rPr>
          <w:rFonts w:ascii="Arabic Transparent" w:hAnsi="Arabic Transparent" w:cs="Arabic Transparent" w:hint="cs"/>
          <w:sz w:val="24"/>
          <w:szCs w:val="24"/>
          <w:rtl/>
          <w:lang w:bidi="ar-JO"/>
        </w:rPr>
        <w:t xml:space="preserve"> </w:t>
      </w:r>
      <w:r w:rsidR="009C51DC" w:rsidRPr="002273BC">
        <w:rPr>
          <w:rFonts w:ascii="Arabic Transparent" w:hAnsi="Arabic Transparent" w:cs="Arabic Transparent" w:hint="cs"/>
          <w:sz w:val="24"/>
          <w:szCs w:val="24"/>
          <w:rtl/>
          <w:lang w:bidi="ar-JO"/>
        </w:rPr>
        <w:t xml:space="preserve">ابن بيه، </w:t>
      </w:r>
      <w:r w:rsidR="00C33355" w:rsidRPr="002273BC">
        <w:rPr>
          <w:rFonts w:ascii="Arabic Transparent" w:hAnsi="Arabic Transparent" w:cs="Arabic Transparent" w:hint="cs"/>
          <w:b/>
          <w:bCs/>
          <w:sz w:val="24"/>
          <w:szCs w:val="24"/>
          <w:rtl/>
          <w:lang w:bidi="ar-JO"/>
        </w:rPr>
        <w:t>مجالات تحقيق المناط،</w:t>
      </w:r>
      <w:r w:rsidR="000F026C" w:rsidRPr="002273BC">
        <w:rPr>
          <w:rFonts w:ascii="Arabic Transparent" w:hAnsi="Arabic Transparent" w:cs="Arabic Transparent" w:hint="cs"/>
          <w:sz w:val="24"/>
          <w:szCs w:val="24"/>
          <w:rtl/>
          <w:lang w:bidi="ar-JO"/>
        </w:rPr>
        <w:t xml:space="preserve"> </w:t>
      </w:r>
      <w:r w:rsidR="00C33355" w:rsidRPr="002273BC">
        <w:rPr>
          <w:rFonts w:ascii="Arabic Transparent" w:hAnsi="Arabic Transparent" w:cs="Arabic Transparent" w:hint="cs"/>
          <w:sz w:val="24"/>
          <w:szCs w:val="24"/>
          <w:rtl/>
          <w:lang w:bidi="ar-JO"/>
        </w:rPr>
        <w:t>تحقيق المناط بين الوا</w:t>
      </w:r>
      <w:r w:rsidR="00144916" w:rsidRPr="002273BC">
        <w:rPr>
          <w:rFonts w:ascii="Arabic Transparent" w:hAnsi="Arabic Transparent" w:cs="Arabic Transparent" w:hint="cs"/>
          <w:sz w:val="24"/>
          <w:szCs w:val="24"/>
          <w:rtl/>
          <w:lang w:bidi="ar-JO"/>
        </w:rPr>
        <w:t>ق</w:t>
      </w:r>
      <w:r w:rsidR="00C33355" w:rsidRPr="002273BC">
        <w:rPr>
          <w:rFonts w:ascii="Arabic Transparent" w:hAnsi="Arabic Transparent" w:cs="Arabic Transparent" w:hint="cs"/>
          <w:sz w:val="24"/>
          <w:szCs w:val="24"/>
          <w:rtl/>
          <w:lang w:bidi="ar-JO"/>
        </w:rPr>
        <w:t xml:space="preserve">ع والمتوقع، </w:t>
      </w:r>
      <w:r w:rsidR="00D129CA" w:rsidRPr="002273BC">
        <w:rPr>
          <w:rFonts w:ascii="Arabic Transparent" w:hAnsi="Arabic Transparent" w:cs="Arabic Transparent" w:hint="cs"/>
          <w:sz w:val="24"/>
          <w:szCs w:val="24"/>
          <w:rtl/>
          <w:lang w:bidi="ar-JO"/>
        </w:rPr>
        <w:t>مصدر</w:t>
      </w:r>
      <w:r w:rsidR="00C33355" w:rsidRPr="002273BC">
        <w:rPr>
          <w:rFonts w:ascii="Arabic Transparent" w:hAnsi="Arabic Transparent" w:cs="Arabic Transparent" w:hint="cs"/>
          <w:sz w:val="24"/>
          <w:szCs w:val="24"/>
          <w:rtl/>
          <w:lang w:bidi="ar-JO"/>
        </w:rPr>
        <w:t xml:space="preserve"> سابق، ص21.</w:t>
      </w:r>
    </w:p>
  </w:footnote>
  <w:footnote w:id="157">
    <w:p w14:paraId="0996A9F8" w14:textId="0BB7306C" w:rsidR="00453800" w:rsidRPr="002273BC" w:rsidRDefault="00453800"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00C0128E">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sz w:val="24"/>
          <w:szCs w:val="24"/>
          <w:rtl/>
          <w:lang w:bidi="ar-JO"/>
        </w:rPr>
        <w:t xml:space="preserve">الريسوني، قطب، (1986–2007)، </w:t>
      </w:r>
      <w:r w:rsidRPr="002273BC">
        <w:rPr>
          <w:rFonts w:ascii="Arabic Transparent" w:hAnsi="Arabic Transparent" w:cs="Arabic Transparent" w:hint="cs"/>
          <w:b/>
          <w:bCs/>
          <w:sz w:val="24"/>
          <w:szCs w:val="24"/>
          <w:rtl/>
          <w:lang w:bidi="ar-JO"/>
        </w:rPr>
        <w:t>مجلة البيان مقال بعنوان: ضوابط في مجال الفتوى</w:t>
      </w:r>
      <w:r w:rsidRPr="002273BC">
        <w:rPr>
          <w:rFonts w:ascii="Arabic Transparent" w:hAnsi="Arabic Transparent" w:cs="Arabic Transparent" w:hint="cs"/>
          <w:sz w:val="24"/>
          <w:szCs w:val="24"/>
          <w:rtl/>
          <w:lang w:bidi="ar-JO"/>
        </w:rPr>
        <w:t>، ع223، ص36، المنتدى الإسلامي – المملكة العربية السعودية.</w:t>
      </w:r>
    </w:p>
  </w:footnote>
  <w:footnote w:id="158">
    <w:p w14:paraId="3FDED423" w14:textId="2EA18FA5" w:rsidR="00084037" w:rsidRPr="002273BC" w:rsidRDefault="00084037"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انظر ابن تيمية، </w:t>
      </w:r>
      <w:r w:rsidRPr="002273BC">
        <w:rPr>
          <w:rFonts w:ascii="Arabic Transparent" w:hAnsi="Arabic Transparent" w:cs="Arabic Transparent" w:hint="cs"/>
          <w:b/>
          <w:bCs/>
          <w:sz w:val="24"/>
          <w:szCs w:val="24"/>
          <w:rtl/>
          <w:lang w:bidi="ar-JO"/>
        </w:rPr>
        <w:t>مجموع الفتاوى</w:t>
      </w:r>
      <w:r w:rsidRPr="002273BC">
        <w:rPr>
          <w:rFonts w:ascii="Arabic Transparent" w:hAnsi="Arabic Transparent" w:cs="Arabic Transparent" w:hint="cs"/>
          <w:sz w:val="24"/>
          <w:szCs w:val="24"/>
          <w:rtl/>
          <w:lang w:bidi="ar-JO"/>
        </w:rPr>
        <w:t>، مصدر سابق، ج29، ص467-468.</w:t>
      </w:r>
    </w:p>
  </w:footnote>
  <w:footnote w:id="159">
    <w:p w14:paraId="04C9C625" w14:textId="33FBF083" w:rsidR="00CF60D8" w:rsidRPr="002273BC" w:rsidRDefault="00CF60D8"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w:t>
      </w:r>
      <w:r w:rsidR="00052C8B" w:rsidRPr="002273BC">
        <w:rPr>
          <w:rFonts w:ascii="Arabic Transparent" w:hAnsi="Arabic Transparent" w:cs="Arabic Transparent" w:hint="cs"/>
          <w:sz w:val="24"/>
          <w:szCs w:val="24"/>
          <w:rtl/>
          <w:lang w:bidi="ar-JO"/>
        </w:rPr>
        <w:t xml:space="preserve">احمين، محمد (2015، </w:t>
      </w:r>
      <w:r w:rsidRPr="002273BC">
        <w:rPr>
          <w:rFonts w:ascii="Arabic Transparent" w:hAnsi="Arabic Transparent" w:cs="Arabic Transparent" w:hint="cs"/>
          <w:b/>
          <w:bCs/>
          <w:sz w:val="24"/>
          <w:szCs w:val="24"/>
          <w:rtl/>
          <w:lang w:bidi="ar-JO"/>
        </w:rPr>
        <w:t xml:space="preserve">مدخل إلى الرقابة الشرعية </w:t>
      </w:r>
      <w:r w:rsidR="00052C8B" w:rsidRPr="002273BC">
        <w:rPr>
          <w:rFonts w:ascii="Arabic Transparent" w:hAnsi="Arabic Transparent" w:cs="Arabic Transparent" w:hint="cs"/>
          <w:b/>
          <w:bCs/>
          <w:sz w:val="24"/>
          <w:szCs w:val="24"/>
          <w:rtl/>
          <w:lang w:bidi="ar-JO"/>
        </w:rPr>
        <w:t>دليل علمي وعملي للفتوى والتدقيق الشرعي في المؤسسات المالية الإسلامية</w:t>
      </w:r>
      <w:r w:rsidR="00052C8B" w:rsidRPr="002273BC">
        <w:rPr>
          <w:rFonts w:ascii="Arabic Transparent" w:hAnsi="Arabic Transparent" w:cs="Arabic Transparent" w:hint="cs"/>
          <w:sz w:val="24"/>
          <w:szCs w:val="24"/>
          <w:rtl/>
          <w:lang w:bidi="ar-JO"/>
        </w:rPr>
        <w:t>، ط1، ص22، دار ابن حزم – بيروت.</w:t>
      </w:r>
    </w:p>
  </w:footnote>
  <w:footnote w:id="160">
    <w:p w14:paraId="211084FA" w14:textId="32AC8288" w:rsidR="00FB171D" w:rsidRPr="002273BC" w:rsidRDefault="00FB171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w:t>
      </w:r>
      <w:r w:rsidR="001E0356" w:rsidRPr="002273BC">
        <w:rPr>
          <w:rFonts w:ascii="Arabic Transparent" w:hAnsi="Arabic Transparent" w:cs="Arabic Transparent" w:hint="cs"/>
          <w:sz w:val="24"/>
          <w:szCs w:val="24"/>
          <w:rtl/>
          <w:lang w:bidi="ar-JO"/>
        </w:rPr>
        <w:t>انظر:</w:t>
      </w:r>
      <w:r w:rsidR="00C33355" w:rsidRPr="002273BC">
        <w:rPr>
          <w:rFonts w:ascii="Arabic Transparent" w:hAnsi="Arabic Transparent" w:cs="Arabic Transparent" w:hint="cs"/>
          <w:sz w:val="24"/>
          <w:szCs w:val="24"/>
          <w:rtl/>
          <w:lang w:bidi="ar-JO"/>
        </w:rPr>
        <w:t xml:space="preserve"> الزبيدي، </w:t>
      </w:r>
      <w:r w:rsidR="00C33355" w:rsidRPr="002273BC">
        <w:rPr>
          <w:rFonts w:ascii="Arabic Transparent" w:hAnsi="Arabic Transparent" w:cs="Arabic Transparent" w:hint="cs"/>
          <w:b/>
          <w:bCs/>
          <w:sz w:val="24"/>
          <w:szCs w:val="24"/>
          <w:rtl/>
          <w:lang w:bidi="ar-JO"/>
        </w:rPr>
        <w:t>الاجتهاد في مناط الحكم الشرعي</w:t>
      </w:r>
      <w:r w:rsidR="00C33355" w:rsidRPr="002273BC">
        <w:rPr>
          <w:rFonts w:ascii="Arabic Transparent" w:hAnsi="Arabic Transparent" w:cs="Arabic Transparent" w:hint="cs"/>
          <w:sz w:val="24"/>
          <w:szCs w:val="24"/>
          <w:rtl/>
          <w:lang w:bidi="ar-JO"/>
        </w:rPr>
        <w:t xml:space="preserve">، </w:t>
      </w:r>
      <w:r w:rsidR="00D129CA" w:rsidRPr="002273BC">
        <w:rPr>
          <w:rFonts w:ascii="Arabic Transparent" w:hAnsi="Arabic Transparent" w:cs="Arabic Transparent" w:hint="cs"/>
          <w:sz w:val="24"/>
          <w:szCs w:val="24"/>
          <w:rtl/>
          <w:lang w:bidi="ar-JO"/>
        </w:rPr>
        <w:t>مصدر</w:t>
      </w:r>
      <w:r w:rsidR="00C33355" w:rsidRPr="002273BC">
        <w:rPr>
          <w:rFonts w:ascii="Arabic Transparent" w:hAnsi="Arabic Transparent" w:cs="Arabic Transparent" w:hint="cs"/>
          <w:sz w:val="24"/>
          <w:szCs w:val="24"/>
          <w:rtl/>
          <w:lang w:bidi="ar-JO"/>
        </w:rPr>
        <w:t xml:space="preserve"> سابق، ص279.</w:t>
      </w:r>
    </w:p>
  </w:footnote>
  <w:footnote w:id="161">
    <w:p w14:paraId="7D2CB9ED" w14:textId="13B7C927" w:rsidR="00FB171D" w:rsidRPr="002273BC" w:rsidRDefault="00FB171D" w:rsidP="00EA3738">
      <w:pPr>
        <w:pStyle w:val="FootnoteText"/>
        <w:spacing w:line="336"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w:t>
      </w:r>
      <w:r w:rsidR="00C33355" w:rsidRPr="002273BC">
        <w:rPr>
          <w:rFonts w:ascii="Arabic Transparent" w:hAnsi="Arabic Transparent" w:cs="Arabic Transparent" w:hint="cs"/>
          <w:sz w:val="24"/>
          <w:szCs w:val="24"/>
          <w:rtl/>
          <w:lang w:bidi="ar-JO"/>
        </w:rPr>
        <w:t xml:space="preserve">الدارقطني، أبو الحسن علي بن عمر بن أحمد بن مهدي البغدادي، (2004)، </w:t>
      </w:r>
      <w:r w:rsidR="00C33355" w:rsidRPr="002273BC">
        <w:rPr>
          <w:rFonts w:ascii="Arabic Transparent" w:hAnsi="Arabic Transparent" w:cs="Arabic Transparent" w:hint="cs"/>
          <w:b/>
          <w:bCs/>
          <w:sz w:val="24"/>
          <w:szCs w:val="24"/>
          <w:rtl/>
          <w:lang w:bidi="ar-JO"/>
        </w:rPr>
        <w:t>سنن الدارقطني</w:t>
      </w:r>
      <w:r w:rsidR="00C33355" w:rsidRPr="002273BC">
        <w:rPr>
          <w:rFonts w:ascii="Arabic Transparent" w:hAnsi="Arabic Transparent" w:cs="Arabic Transparent" w:hint="cs"/>
          <w:sz w:val="24"/>
          <w:szCs w:val="24"/>
          <w:rtl/>
          <w:lang w:bidi="ar-JO"/>
        </w:rPr>
        <w:t xml:space="preserve"> (تحقيق شعيب الأرنؤوط، حسن عبد المنعم شلبي، عبد اللطيف حرز الله، أحمد برهوم)، ط1، كتاب الأقضية والأحكام وغير ذلك، باب كتاب عمر لأبي موسى الأشعري، رقم 4471، ج5، ص3</w:t>
      </w:r>
      <w:r w:rsidR="007312CA" w:rsidRPr="002273BC">
        <w:rPr>
          <w:rFonts w:ascii="Arabic Transparent" w:hAnsi="Arabic Transparent" w:cs="Arabic Transparent" w:hint="cs"/>
          <w:sz w:val="24"/>
          <w:szCs w:val="24"/>
          <w:rtl/>
          <w:lang w:bidi="ar-JO"/>
        </w:rPr>
        <w:t>67</w:t>
      </w:r>
      <w:r w:rsidR="00C33355" w:rsidRPr="002273BC">
        <w:rPr>
          <w:rFonts w:ascii="Arabic Transparent" w:hAnsi="Arabic Transparent" w:cs="Arabic Transparent" w:hint="cs"/>
          <w:sz w:val="24"/>
          <w:szCs w:val="24"/>
          <w:rtl/>
          <w:lang w:bidi="ar-JO"/>
        </w:rPr>
        <w:t xml:space="preserve">، مؤسسة الرسالة – بيروت، لبنان، </w:t>
      </w:r>
      <w:r w:rsidR="007312CA" w:rsidRPr="002273BC">
        <w:rPr>
          <w:rFonts w:ascii="Arabic Transparent" w:hAnsi="Arabic Transparent" w:cs="Arabic Transparent" w:hint="cs"/>
          <w:sz w:val="24"/>
          <w:szCs w:val="24"/>
          <w:rtl/>
          <w:lang w:bidi="ar-JO"/>
        </w:rPr>
        <w:t xml:space="preserve">وأخرجه البيهقي، أحمد بن الحسين بن علي، أبو بكر البيهقي، ت: </w:t>
      </w:r>
      <w:r w:rsidR="007771E2" w:rsidRPr="002273BC">
        <w:rPr>
          <w:rFonts w:ascii="Arabic Transparent" w:hAnsi="Arabic Transparent" w:cs="Arabic Transparent" w:hint="cs"/>
          <w:sz w:val="24"/>
          <w:szCs w:val="24"/>
          <w:rtl/>
          <w:lang w:bidi="ar-JO"/>
        </w:rPr>
        <w:t xml:space="preserve">1989م، </w:t>
      </w:r>
      <w:r w:rsidR="007312CA" w:rsidRPr="002273BC">
        <w:rPr>
          <w:rFonts w:ascii="Arabic Transparent" w:hAnsi="Arabic Transparent" w:cs="Arabic Transparent" w:hint="cs"/>
          <w:b/>
          <w:bCs/>
          <w:sz w:val="24"/>
          <w:szCs w:val="24"/>
          <w:rtl/>
          <w:lang w:bidi="ar-JO"/>
        </w:rPr>
        <w:t>السنن الصغير للبيهقي</w:t>
      </w:r>
      <w:r w:rsidR="007312CA" w:rsidRPr="002273BC">
        <w:rPr>
          <w:rFonts w:ascii="Arabic Transparent" w:hAnsi="Arabic Transparent" w:cs="Arabic Transparent" w:hint="cs"/>
          <w:sz w:val="24"/>
          <w:szCs w:val="24"/>
          <w:rtl/>
          <w:lang w:bidi="ar-JO"/>
        </w:rPr>
        <w:t>، تحقيق: عبد المعطي أمين قلعجي، ط1،</w:t>
      </w:r>
      <w:r w:rsidR="007771E2" w:rsidRPr="002273BC">
        <w:rPr>
          <w:rFonts w:ascii="Arabic Transparent" w:hAnsi="Arabic Transparent" w:cs="Arabic Transparent" w:hint="cs"/>
          <w:sz w:val="24"/>
          <w:szCs w:val="24"/>
          <w:rtl/>
          <w:lang w:bidi="ar-JO"/>
        </w:rPr>
        <w:t xml:space="preserve"> كتاب: المقدمة، باب: باب استعمال العبد الصدق والنية والإخلاص فيما يقول ويعمل لله عز وجل على موافقة السنة قال الله تعالى: وما أمروا إلا ليعبدوا الله مخلصين له الدين</w:t>
      </w:r>
      <w:r w:rsidR="007312CA" w:rsidRPr="002273BC">
        <w:rPr>
          <w:rFonts w:ascii="Arabic Transparent" w:hAnsi="Arabic Transparent" w:cs="Arabic Transparent" w:hint="cs"/>
          <w:sz w:val="24"/>
          <w:szCs w:val="24"/>
          <w:rtl/>
          <w:lang w:bidi="ar-JO"/>
        </w:rPr>
        <w:t xml:space="preserve"> </w:t>
      </w:r>
      <w:r w:rsidR="007771E2" w:rsidRPr="002273BC">
        <w:rPr>
          <w:rFonts w:ascii="Arabic Transparent" w:hAnsi="Arabic Transparent" w:cs="Arabic Transparent" w:hint="cs"/>
          <w:sz w:val="24"/>
          <w:szCs w:val="24"/>
          <w:rtl/>
          <w:lang w:bidi="ar-JO"/>
        </w:rPr>
        <w:t xml:space="preserve">رقم 3259، </w:t>
      </w:r>
      <w:r w:rsidR="007312CA" w:rsidRPr="002273BC">
        <w:rPr>
          <w:rFonts w:ascii="Arabic Transparent" w:hAnsi="Arabic Transparent" w:cs="Arabic Transparent" w:hint="cs"/>
          <w:sz w:val="24"/>
          <w:szCs w:val="24"/>
          <w:rtl/>
          <w:lang w:bidi="ar-JO"/>
        </w:rPr>
        <w:t xml:space="preserve">ج4، ص133، </w:t>
      </w:r>
      <w:r w:rsidR="007771E2" w:rsidRPr="002273BC">
        <w:rPr>
          <w:rFonts w:ascii="Arabic Transparent" w:hAnsi="Arabic Transparent" w:cs="Arabic Transparent" w:hint="cs"/>
          <w:sz w:val="24"/>
          <w:szCs w:val="24"/>
          <w:rtl/>
          <w:lang w:bidi="ar-JO"/>
        </w:rPr>
        <w:t xml:space="preserve">جامعة الدراسات الإسلامية، كراتشي ـ باكستان، وحكم عليه الزيلعي: أنه ضعيف، لوجود عبيد الله بن أبي حميد، وله طرق وشواهد، انظر الزيلعي، </w:t>
      </w:r>
      <w:r w:rsidR="007771E2" w:rsidRPr="002273BC">
        <w:rPr>
          <w:rFonts w:ascii="Arabic Transparent" w:hAnsi="Arabic Transparent" w:cs="Arabic Transparent" w:hint="cs"/>
          <w:b/>
          <w:bCs/>
          <w:sz w:val="24"/>
          <w:szCs w:val="24"/>
          <w:rtl/>
          <w:lang w:bidi="ar-JO"/>
        </w:rPr>
        <w:t>نصب الراية</w:t>
      </w:r>
      <w:r w:rsidR="007771E2" w:rsidRPr="002273BC">
        <w:rPr>
          <w:rFonts w:ascii="Arabic Transparent" w:hAnsi="Arabic Transparent" w:cs="Arabic Transparent" w:hint="cs"/>
          <w:sz w:val="24"/>
          <w:szCs w:val="24"/>
          <w:rtl/>
          <w:lang w:bidi="ar-JO"/>
        </w:rPr>
        <w:t>، مصدر سابق، ج4، ص82.</w:t>
      </w:r>
    </w:p>
  </w:footnote>
  <w:footnote w:id="162">
    <w:p w14:paraId="6B25FD9C" w14:textId="37738380" w:rsidR="006117FB" w:rsidRPr="002273BC" w:rsidRDefault="006117FB" w:rsidP="00EA3738">
      <w:pPr>
        <w:pStyle w:val="FootnoteText"/>
        <w:spacing w:line="336"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السعدي، عبدالرحمن بن ناصر (2003)، </w:t>
      </w:r>
      <w:r w:rsidRPr="002273BC">
        <w:rPr>
          <w:rFonts w:ascii="Arabic Transparent" w:hAnsi="Arabic Transparent" w:cs="Arabic Transparent" w:hint="cs"/>
          <w:b/>
          <w:bCs/>
          <w:sz w:val="24"/>
          <w:szCs w:val="24"/>
          <w:rtl/>
          <w:lang w:bidi="ar-JO"/>
        </w:rPr>
        <w:t>مجموع الفوائد واقتناص الأوابد</w:t>
      </w:r>
      <w:r w:rsidRPr="002273BC">
        <w:rPr>
          <w:rFonts w:ascii="Arabic Transparent" w:hAnsi="Arabic Transparent" w:cs="Arabic Transparent" w:hint="cs"/>
          <w:sz w:val="24"/>
          <w:szCs w:val="24"/>
          <w:rtl/>
          <w:lang w:bidi="ar-JO"/>
        </w:rPr>
        <w:t>، ط1، ص90، دار ابن الجوزي – السعودية.</w:t>
      </w:r>
    </w:p>
  </w:footnote>
  <w:footnote w:id="163">
    <w:p w14:paraId="06D2D799" w14:textId="05C4812E" w:rsidR="006117FB" w:rsidRPr="002273BC" w:rsidRDefault="006117FB" w:rsidP="00EA3738">
      <w:pPr>
        <w:pStyle w:val="FootnoteText"/>
        <w:spacing w:line="336"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الحجوي، </w:t>
      </w:r>
      <w:r w:rsidRPr="002273BC">
        <w:rPr>
          <w:rFonts w:ascii="Arabic Transparent" w:hAnsi="Arabic Transparent" w:cs="Arabic Transparent" w:hint="cs"/>
          <w:b/>
          <w:bCs/>
          <w:sz w:val="24"/>
          <w:szCs w:val="24"/>
          <w:rtl/>
          <w:lang w:bidi="ar-JO"/>
        </w:rPr>
        <w:t>الفكر السامي في تاريخ الفكر الإسلامي</w:t>
      </w:r>
      <w:r w:rsidRPr="002273BC">
        <w:rPr>
          <w:rFonts w:ascii="Arabic Transparent" w:hAnsi="Arabic Transparent" w:cs="Arabic Transparent" w:hint="cs"/>
          <w:sz w:val="24"/>
          <w:szCs w:val="24"/>
          <w:rtl/>
          <w:lang w:bidi="ar-JO"/>
        </w:rPr>
        <w:t xml:space="preserve">، </w:t>
      </w:r>
      <w:r w:rsidR="00D129CA" w:rsidRPr="002273BC">
        <w:rPr>
          <w:rFonts w:ascii="Arabic Transparent" w:hAnsi="Arabic Transparent" w:cs="Arabic Transparent" w:hint="cs"/>
          <w:sz w:val="24"/>
          <w:szCs w:val="24"/>
          <w:rtl/>
          <w:lang w:bidi="ar-JO"/>
        </w:rPr>
        <w:t>مصدر</w:t>
      </w:r>
      <w:r w:rsidRPr="002273BC">
        <w:rPr>
          <w:rFonts w:ascii="Arabic Transparent" w:hAnsi="Arabic Transparent" w:cs="Arabic Transparent" w:hint="cs"/>
          <w:sz w:val="24"/>
          <w:szCs w:val="24"/>
          <w:rtl/>
          <w:lang w:bidi="ar-JO"/>
        </w:rPr>
        <w:t xml:space="preserve"> سابق، ج4، </w:t>
      </w:r>
      <w:r w:rsidR="00D66EC6" w:rsidRPr="002273BC">
        <w:rPr>
          <w:rFonts w:ascii="Arabic Transparent" w:hAnsi="Arabic Transparent" w:cs="Arabic Transparent" w:hint="cs"/>
          <w:sz w:val="24"/>
          <w:szCs w:val="24"/>
          <w:rtl/>
          <w:lang w:bidi="ar-JO"/>
        </w:rPr>
        <w:t>ص314.</w:t>
      </w:r>
    </w:p>
  </w:footnote>
  <w:footnote w:id="164">
    <w:p w14:paraId="639F25DB" w14:textId="5A0DDFA0" w:rsidR="00D436B3" w:rsidRPr="002273BC" w:rsidRDefault="00D436B3" w:rsidP="00EA3738">
      <w:pPr>
        <w:pStyle w:val="FootnoteText"/>
        <w:spacing w:line="336"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w:t>
      </w:r>
      <w:r w:rsidR="009E21A2" w:rsidRPr="002273BC">
        <w:rPr>
          <w:rFonts w:ascii="Arabic Transparent" w:hAnsi="Arabic Transparent" w:cs="Arabic Transparent" w:hint="cs"/>
          <w:sz w:val="24"/>
          <w:szCs w:val="24"/>
          <w:rtl/>
          <w:lang w:bidi="ar-JO"/>
        </w:rPr>
        <w:t xml:space="preserve">ابن الملقن، سراج الدين أبو حفص عمر بن علي الأنصاري، (2010)، </w:t>
      </w:r>
      <w:r w:rsidR="009E21A2" w:rsidRPr="002273BC">
        <w:rPr>
          <w:rFonts w:ascii="Arabic Transparent" w:hAnsi="Arabic Transparent" w:cs="Arabic Transparent" w:hint="cs"/>
          <w:b/>
          <w:bCs/>
          <w:sz w:val="24"/>
          <w:szCs w:val="24"/>
          <w:rtl/>
          <w:lang w:bidi="ar-JO"/>
        </w:rPr>
        <w:t>الأشباه والنظائر في قواعد الفقه</w:t>
      </w:r>
      <w:r w:rsidR="009E21A2" w:rsidRPr="002273BC">
        <w:rPr>
          <w:rFonts w:ascii="Arabic Transparent" w:hAnsi="Arabic Transparent" w:cs="Arabic Transparent" w:hint="cs"/>
          <w:sz w:val="24"/>
          <w:szCs w:val="24"/>
          <w:rtl/>
          <w:lang w:bidi="ar-JO"/>
        </w:rPr>
        <w:t xml:space="preserve"> (تحقيق مصطفى محمود الأزهري)، ط1، ج1، </w:t>
      </w:r>
      <w:r w:rsidR="00D75F0F">
        <w:rPr>
          <w:rFonts w:ascii="Arabic Transparent" w:hAnsi="Arabic Transparent" w:cs="Arabic Transparent" w:hint="cs"/>
          <w:sz w:val="24"/>
          <w:szCs w:val="24"/>
          <w:rtl/>
          <w:lang w:bidi="ar-JO"/>
        </w:rPr>
        <w:t>ص</w:t>
      </w:r>
      <w:r w:rsidR="009E21A2" w:rsidRPr="002273BC">
        <w:rPr>
          <w:rFonts w:ascii="Arabic Transparent" w:hAnsi="Arabic Transparent" w:cs="Arabic Transparent" w:hint="cs"/>
          <w:sz w:val="24"/>
          <w:szCs w:val="24"/>
          <w:rtl/>
          <w:lang w:bidi="ar-JO"/>
        </w:rPr>
        <w:t>325، دار ابن القيم – الرياض، المملكة العربية السعودية</w:t>
      </w:r>
      <w:r w:rsidR="00D86106" w:rsidRPr="002273BC">
        <w:rPr>
          <w:rFonts w:ascii="Arabic Transparent" w:hAnsi="Arabic Transparent" w:cs="Arabic Transparent" w:hint="cs"/>
          <w:sz w:val="24"/>
          <w:szCs w:val="24"/>
          <w:rtl/>
          <w:lang w:bidi="ar-JO"/>
        </w:rPr>
        <w:t>.</w:t>
      </w:r>
    </w:p>
  </w:footnote>
  <w:footnote w:id="165">
    <w:p w14:paraId="4803CF43" w14:textId="003DB7AE" w:rsidR="00D66EC6" w:rsidRPr="002273BC" w:rsidRDefault="00D66EC6" w:rsidP="00EA3738">
      <w:pPr>
        <w:pStyle w:val="FootnoteText"/>
        <w:spacing w:line="336"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w:t>
      </w:r>
      <w:r w:rsidR="00D436B3" w:rsidRPr="002273BC">
        <w:rPr>
          <w:rFonts w:ascii="Arabic Transparent" w:hAnsi="Arabic Transparent" w:cs="Arabic Transparent" w:hint="cs"/>
          <w:sz w:val="24"/>
          <w:szCs w:val="24"/>
          <w:rtl/>
          <w:lang w:bidi="ar-JO"/>
        </w:rPr>
        <w:t>ا</w:t>
      </w:r>
      <w:r w:rsidR="00A52C0B" w:rsidRPr="002273BC">
        <w:rPr>
          <w:rFonts w:ascii="Arabic Transparent" w:hAnsi="Arabic Transparent" w:cs="Arabic Transparent" w:hint="cs"/>
          <w:sz w:val="24"/>
          <w:szCs w:val="24"/>
          <w:rtl/>
          <w:lang w:bidi="ar-JO"/>
        </w:rPr>
        <w:t>بن القيم</w:t>
      </w:r>
      <w:r w:rsidR="00D436B3" w:rsidRPr="002273BC">
        <w:rPr>
          <w:rFonts w:ascii="Arabic Transparent" w:hAnsi="Arabic Transparent" w:cs="Arabic Transparent" w:hint="cs"/>
          <w:sz w:val="24"/>
          <w:szCs w:val="24"/>
          <w:rtl/>
          <w:lang w:bidi="ar-JO"/>
        </w:rPr>
        <w:t xml:space="preserve">، </w:t>
      </w:r>
      <w:r w:rsidR="00D436B3" w:rsidRPr="002273BC">
        <w:rPr>
          <w:rFonts w:ascii="Arabic Transparent" w:hAnsi="Arabic Transparent" w:cs="Arabic Transparent" w:hint="cs"/>
          <w:b/>
          <w:bCs/>
          <w:sz w:val="24"/>
          <w:szCs w:val="24"/>
          <w:rtl/>
          <w:lang w:bidi="ar-JO"/>
        </w:rPr>
        <w:t>إعلام الموقعين عن ربّ العالمين،</w:t>
      </w:r>
      <w:r w:rsidR="00D436B3" w:rsidRPr="002273BC">
        <w:rPr>
          <w:rFonts w:ascii="Arabic Transparent" w:hAnsi="Arabic Transparent" w:cs="Arabic Transparent" w:hint="cs"/>
          <w:sz w:val="24"/>
          <w:szCs w:val="24"/>
          <w:rtl/>
          <w:lang w:bidi="ar-JO"/>
        </w:rPr>
        <w:t xml:space="preserve"> </w:t>
      </w:r>
      <w:r w:rsidR="00D129CA" w:rsidRPr="002273BC">
        <w:rPr>
          <w:rFonts w:ascii="Arabic Transparent" w:hAnsi="Arabic Transparent" w:cs="Arabic Transparent" w:hint="cs"/>
          <w:sz w:val="24"/>
          <w:szCs w:val="24"/>
          <w:rtl/>
          <w:lang w:bidi="ar-JO"/>
        </w:rPr>
        <w:t>مصدر</w:t>
      </w:r>
      <w:r w:rsidR="00D436B3" w:rsidRPr="002273BC">
        <w:rPr>
          <w:rFonts w:ascii="Arabic Transparent" w:hAnsi="Arabic Transparent" w:cs="Arabic Transparent" w:hint="cs"/>
          <w:sz w:val="24"/>
          <w:szCs w:val="24"/>
          <w:rtl/>
          <w:lang w:bidi="ar-JO"/>
        </w:rPr>
        <w:t xml:space="preserve"> سابق، ج6، ص97.</w:t>
      </w:r>
    </w:p>
  </w:footnote>
  <w:footnote w:id="166">
    <w:p w14:paraId="592E2861" w14:textId="7DC43866" w:rsidR="00904720" w:rsidRPr="002273BC" w:rsidRDefault="00904720"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w:t>
      </w:r>
      <w:r w:rsidR="00F93860" w:rsidRPr="002273BC">
        <w:rPr>
          <w:rFonts w:ascii="Arabic Transparent" w:hAnsi="Arabic Transparent" w:cs="Arabic Transparent" w:hint="cs"/>
          <w:sz w:val="24"/>
          <w:szCs w:val="24"/>
          <w:rtl/>
          <w:lang w:bidi="ar-JO"/>
        </w:rPr>
        <w:t>مجموعة من المشاركين، (2006)، الدورة السابعة عشرة لمجلس مجمع الفقه الإسلامي الدولي التابع لمنظمة العالم الإسلامي- جدة</w:t>
      </w:r>
      <w:r w:rsidR="00F93860" w:rsidRPr="002273BC">
        <w:rPr>
          <w:rFonts w:ascii="Arabic Transparent" w:hAnsi="Arabic Transparent" w:cs="Arabic Transparent" w:hint="cs"/>
          <w:b/>
          <w:bCs/>
          <w:sz w:val="24"/>
          <w:szCs w:val="24"/>
          <w:rtl/>
          <w:lang w:bidi="ar-JO"/>
        </w:rPr>
        <w:t>، قرار رقم (153) (17/2)</w:t>
      </w:r>
      <w:r w:rsidR="00F93860" w:rsidRPr="002273BC">
        <w:rPr>
          <w:rFonts w:ascii="Arabic Transparent" w:hAnsi="Arabic Transparent" w:cs="Arabic Transparent" w:hint="cs"/>
          <w:sz w:val="24"/>
          <w:szCs w:val="24"/>
          <w:rtl/>
          <w:lang w:bidi="ar-JO"/>
        </w:rPr>
        <w:t xml:space="preserve"> </w:t>
      </w:r>
      <w:r w:rsidR="00F93860" w:rsidRPr="002273BC">
        <w:rPr>
          <w:rFonts w:ascii="Arabic Transparent" w:hAnsi="Arabic Transparent" w:cs="Arabic Transparent" w:hint="cs"/>
          <w:b/>
          <w:bCs/>
          <w:sz w:val="24"/>
          <w:szCs w:val="24"/>
          <w:rtl/>
          <w:lang w:bidi="ar-JO"/>
        </w:rPr>
        <w:t>بشأن الإفتاء شروطه وآدابه</w:t>
      </w:r>
      <w:r w:rsidR="00F93860" w:rsidRPr="002273BC">
        <w:rPr>
          <w:rFonts w:ascii="Arabic Transparent" w:hAnsi="Arabic Transparent" w:cs="Arabic Transparent" w:hint="cs"/>
          <w:sz w:val="24"/>
          <w:szCs w:val="24"/>
          <w:rtl/>
          <w:lang w:bidi="ar-JO"/>
        </w:rPr>
        <w:t xml:space="preserve"> – المنعقد في الأردن</w:t>
      </w:r>
      <w:r w:rsidR="00944465" w:rsidRPr="002273BC">
        <w:rPr>
          <w:rFonts w:ascii="Arabic Transparent" w:hAnsi="Arabic Transparent" w:cs="Arabic Transparent" w:hint="cs"/>
          <w:sz w:val="24"/>
          <w:szCs w:val="24"/>
          <w:rtl/>
          <w:lang w:bidi="ar-JO"/>
        </w:rPr>
        <w:t xml:space="preserve"> </w:t>
      </w:r>
    </w:p>
  </w:footnote>
  <w:footnote w:id="167">
    <w:p w14:paraId="04A29E6F" w14:textId="7E7C4CD5" w:rsidR="009C51DC" w:rsidRPr="002273BC" w:rsidRDefault="009C51DC"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006E7F99">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sz w:val="24"/>
          <w:szCs w:val="24"/>
          <w:rtl/>
          <w:lang w:bidi="ar-JO"/>
        </w:rPr>
        <w:t xml:space="preserve">الحجوي، </w:t>
      </w:r>
      <w:r w:rsidRPr="002273BC">
        <w:rPr>
          <w:rFonts w:ascii="Arabic Transparent" w:hAnsi="Arabic Transparent" w:cs="Arabic Transparent" w:hint="cs"/>
          <w:b/>
          <w:bCs/>
          <w:sz w:val="24"/>
          <w:szCs w:val="24"/>
          <w:rtl/>
          <w:lang w:bidi="ar-JO"/>
        </w:rPr>
        <w:t>الفكر السامي في تاريخ الفكر الإسلامي</w:t>
      </w:r>
      <w:r w:rsidRPr="002273BC">
        <w:rPr>
          <w:rFonts w:ascii="Arabic Transparent" w:hAnsi="Arabic Transparent" w:cs="Arabic Transparent" w:hint="cs"/>
          <w:sz w:val="24"/>
          <w:szCs w:val="24"/>
          <w:rtl/>
          <w:lang w:bidi="ar-JO"/>
        </w:rPr>
        <w:t>، مصدر سابق، ج4، ص314.</w:t>
      </w:r>
    </w:p>
  </w:footnote>
  <w:footnote w:id="168">
    <w:p w14:paraId="5A5903B9" w14:textId="1D7F71E5" w:rsidR="00944465" w:rsidRPr="002273BC" w:rsidRDefault="0094446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ابن عابدين، محمد أمين أفندي، (1907)، </w:t>
      </w:r>
      <w:r w:rsidRPr="002273BC">
        <w:rPr>
          <w:rFonts w:ascii="Arabic Transparent" w:hAnsi="Arabic Transparent" w:cs="Arabic Transparent" w:hint="cs"/>
          <w:b/>
          <w:bCs/>
          <w:sz w:val="24"/>
          <w:szCs w:val="24"/>
          <w:rtl/>
          <w:lang w:bidi="ar-JO"/>
        </w:rPr>
        <w:t>مجموعة رسائل ابن عابدين</w:t>
      </w:r>
      <w:r w:rsidRPr="002273BC">
        <w:rPr>
          <w:rFonts w:ascii="Arabic Transparent" w:hAnsi="Arabic Transparent" w:cs="Arabic Transparent" w:hint="cs"/>
          <w:sz w:val="24"/>
          <w:szCs w:val="24"/>
          <w:rtl/>
          <w:lang w:bidi="ar-JO"/>
        </w:rPr>
        <w:t>، ط1،</w:t>
      </w:r>
      <w:r w:rsidR="00D36947" w:rsidRPr="002273BC">
        <w:rPr>
          <w:rFonts w:ascii="Arabic Transparent" w:hAnsi="Arabic Transparent" w:cs="Arabic Transparent" w:hint="cs"/>
          <w:sz w:val="24"/>
          <w:szCs w:val="24"/>
          <w:rtl/>
          <w:lang w:bidi="ar-JO"/>
        </w:rPr>
        <w:t xml:space="preserve"> ج2، ص125،</w:t>
      </w:r>
      <w:r w:rsidRPr="002273BC">
        <w:rPr>
          <w:rFonts w:ascii="Arabic Transparent" w:hAnsi="Arabic Transparent" w:cs="Arabic Transparent" w:hint="cs"/>
          <w:sz w:val="24"/>
          <w:szCs w:val="24"/>
          <w:rtl/>
          <w:lang w:bidi="ar-JO"/>
        </w:rPr>
        <w:t xml:space="preserve"> دار سعادت، إسطنبول.</w:t>
      </w:r>
    </w:p>
  </w:footnote>
  <w:footnote w:id="169">
    <w:p w14:paraId="52EF7B58" w14:textId="4CCC7A08" w:rsidR="001951E2" w:rsidRPr="002273BC" w:rsidRDefault="001951E2"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006E7F99">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sz w:val="24"/>
          <w:szCs w:val="24"/>
          <w:rtl/>
          <w:lang w:bidi="ar-JO"/>
        </w:rPr>
        <w:t xml:space="preserve">الشاطبي، </w:t>
      </w:r>
      <w:r w:rsidRPr="002273BC">
        <w:rPr>
          <w:rFonts w:ascii="Arabic Transparent" w:hAnsi="Arabic Transparent" w:cs="Arabic Transparent" w:hint="cs"/>
          <w:b/>
          <w:bCs/>
          <w:sz w:val="24"/>
          <w:szCs w:val="24"/>
          <w:rtl/>
          <w:lang w:bidi="ar-JO"/>
        </w:rPr>
        <w:t>الموافقات</w:t>
      </w:r>
      <w:r w:rsidRPr="002273BC">
        <w:rPr>
          <w:rFonts w:ascii="Arabic Transparent" w:hAnsi="Arabic Transparent" w:cs="Arabic Transparent" w:hint="cs"/>
          <w:sz w:val="24"/>
          <w:szCs w:val="24"/>
          <w:rtl/>
          <w:lang w:bidi="ar-JO"/>
        </w:rPr>
        <w:t xml:space="preserve">، </w:t>
      </w:r>
      <w:r w:rsidR="00D129CA" w:rsidRPr="002273BC">
        <w:rPr>
          <w:rFonts w:ascii="Arabic Transparent" w:hAnsi="Arabic Transparent" w:cs="Arabic Transparent" w:hint="cs"/>
          <w:sz w:val="24"/>
          <w:szCs w:val="24"/>
          <w:rtl/>
          <w:lang w:bidi="ar-JO"/>
        </w:rPr>
        <w:t>مصدر</w:t>
      </w:r>
      <w:r w:rsidRPr="002273BC">
        <w:rPr>
          <w:rFonts w:ascii="Arabic Transparent" w:hAnsi="Arabic Transparent" w:cs="Arabic Transparent" w:hint="cs"/>
          <w:sz w:val="24"/>
          <w:szCs w:val="24"/>
          <w:rtl/>
          <w:lang w:bidi="ar-JO"/>
        </w:rPr>
        <w:t xml:space="preserve"> سابق، ج3، ص292.</w:t>
      </w:r>
    </w:p>
  </w:footnote>
  <w:footnote w:id="170">
    <w:p w14:paraId="1F9FEBF4" w14:textId="049A8D30" w:rsidR="0039675F" w:rsidRPr="002273BC" w:rsidRDefault="0039675F"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b/>
          <w:bCs/>
          <w:sz w:val="24"/>
          <w:szCs w:val="24"/>
          <w:rtl/>
          <w:lang w:bidi="ar-JO"/>
        </w:rPr>
        <w:t>ال</w:t>
      </w:r>
      <w:r w:rsidR="00D129CA" w:rsidRPr="002273BC">
        <w:rPr>
          <w:rFonts w:ascii="Arabic Transparent" w:hAnsi="Arabic Transparent" w:cs="Arabic Transparent" w:hint="cs"/>
          <w:b/>
          <w:bCs/>
          <w:sz w:val="24"/>
          <w:szCs w:val="24"/>
          <w:rtl/>
          <w:lang w:bidi="ar-JO"/>
        </w:rPr>
        <w:t>مصدر</w:t>
      </w:r>
      <w:r w:rsidRPr="002273BC">
        <w:rPr>
          <w:rFonts w:ascii="Arabic Transparent" w:hAnsi="Arabic Transparent" w:cs="Arabic Transparent" w:hint="cs"/>
          <w:b/>
          <w:bCs/>
          <w:sz w:val="24"/>
          <w:szCs w:val="24"/>
          <w:rtl/>
          <w:lang w:bidi="ar-JO"/>
        </w:rPr>
        <w:t xml:space="preserve"> السابق</w:t>
      </w:r>
      <w:r w:rsidRPr="002273BC">
        <w:rPr>
          <w:rFonts w:ascii="Arabic Transparent" w:hAnsi="Arabic Transparent" w:cs="Arabic Transparent" w:hint="cs"/>
          <w:sz w:val="24"/>
          <w:szCs w:val="24"/>
          <w:rtl/>
          <w:lang w:bidi="ar-JO"/>
        </w:rPr>
        <w:t>، ج3، ص301-302.</w:t>
      </w:r>
    </w:p>
  </w:footnote>
  <w:footnote w:id="171">
    <w:p w14:paraId="56299E6A" w14:textId="740CCE80" w:rsidR="00B770E0" w:rsidRPr="002273BC" w:rsidRDefault="00B770E0" w:rsidP="00EA3738">
      <w:pPr>
        <w:pStyle w:val="FootnoteText"/>
        <w:spacing w:line="360" w:lineRule="auto"/>
        <w:jc w:val="both"/>
        <w:rPr>
          <w:rFonts w:ascii="Arabic Transparent" w:hAnsi="Arabic Transparent" w:cs="Arabic Transparent"/>
          <w:sz w:val="24"/>
          <w:szCs w:val="24"/>
          <w:rtl/>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الجويني، عبد الملك بن عبد الله بن يوسف، أبو المعالي (إمام الحرمين)، (1981)، </w:t>
      </w:r>
      <w:r w:rsidRPr="002273BC">
        <w:rPr>
          <w:rFonts w:ascii="Arabic Transparent" w:hAnsi="Arabic Transparent" w:cs="Arabic Transparent" w:hint="cs"/>
          <w:b/>
          <w:bCs/>
          <w:sz w:val="24"/>
          <w:szCs w:val="24"/>
          <w:rtl/>
          <w:lang w:bidi="ar-JO"/>
        </w:rPr>
        <w:t>غياث الأمم في التياث الظلم</w:t>
      </w:r>
      <w:r w:rsidRPr="002273BC">
        <w:rPr>
          <w:rFonts w:ascii="Arabic Transparent" w:hAnsi="Arabic Transparent" w:cs="Arabic Transparent" w:hint="cs"/>
          <w:sz w:val="24"/>
          <w:szCs w:val="24"/>
          <w:rtl/>
          <w:lang w:bidi="ar-JO"/>
        </w:rPr>
        <w:t xml:space="preserve"> (تحقيق عبد العظيم الديب)، ط2، ص478 مكتبة إمام الحرمين، قطر.</w:t>
      </w:r>
    </w:p>
  </w:footnote>
  <w:footnote w:id="172">
    <w:p w14:paraId="647D35B5" w14:textId="0CACA64D" w:rsidR="00DD7FF1" w:rsidRPr="002273BC" w:rsidRDefault="00DD7FF1"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ابن خلدون، عبد الرحمن بن محمد، (1981)، </w:t>
      </w:r>
      <w:r w:rsidRPr="002273BC">
        <w:rPr>
          <w:rFonts w:ascii="Arabic Transparent" w:hAnsi="Arabic Transparent" w:cs="Arabic Transparent" w:hint="cs"/>
          <w:b/>
          <w:bCs/>
          <w:sz w:val="24"/>
          <w:szCs w:val="24"/>
          <w:rtl/>
          <w:lang w:bidi="ar-JO"/>
        </w:rPr>
        <w:t>العِبَر وديوان المبتدأ والخبر في تاريخ العرب والبربر ومن عاصرهم من ذوي الشأن الأكبر</w:t>
      </w:r>
      <w:r w:rsidRPr="002273BC">
        <w:rPr>
          <w:rFonts w:ascii="Arabic Transparent" w:hAnsi="Arabic Transparent" w:cs="Arabic Transparent" w:hint="cs"/>
          <w:sz w:val="24"/>
          <w:szCs w:val="24"/>
          <w:rtl/>
          <w:lang w:bidi="ar-JO"/>
        </w:rPr>
        <w:t>، ط1، ج1، ص37، دار الفكر، بيروت.</w:t>
      </w:r>
      <w:r w:rsidR="00AE6F49" w:rsidRPr="002273BC">
        <w:rPr>
          <w:rFonts w:ascii="Arabic Transparent" w:hAnsi="Arabic Transparent" w:cs="Arabic Transparent" w:hint="cs"/>
          <w:sz w:val="24"/>
          <w:szCs w:val="24"/>
          <w:rtl/>
          <w:lang w:bidi="ar-JO"/>
        </w:rPr>
        <w:t xml:space="preserve"> </w:t>
      </w:r>
    </w:p>
  </w:footnote>
  <w:footnote w:id="173">
    <w:p w14:paraId="1729C7BC" w14:textId="06DD3C54" w:rsidR="00F81129" w:rsidRPr="002273BC" w:rsidRDefault="00F81129"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ابن تيمية، </w:t>
      </w:r>
      <w:r w:rsidRPr="002273BC">
        <w:rPr>
          <w:rFonts w:ascii="Arabic Transparent" w:hAnsi="Arabic Transparent" w:cs="Arabic Transparent" w:hint="cs"/>
          <w:b/>
          <w:bCs/>
          <w:sz w:val="24"/>
          <w:szCs w:val="24"/>
          <w:rtl/>
          <w:lang w:bidi="ar-JO"/>
        </w:rPr>
        <w:t>الفتاوى الكبرى</w:t>
      </w:r>
      <w:r w:rsidRPr="002273BC">
        <w:rPr>
          <w:rFonts w:ascii="Arabic Transparent" w:hAnsi="Arabic Transparent" w:cs="Arabic Transparent" w:hint="cs"/>
          <w:sz w:val="24"/>
          <w:szCs w:val="24"/>
          <w:rtl/>
          <w:lang w:bidi="ar-JO"/>
        </w:rPr>
        <w:t xml:space="preserve">، </w:t>
      </w:r>
      <w:r w:rsidR="00D129CA" w:rsidRPr="002273BC">
        <w:rPr>
          <w:rFonts w:ascii="Arabic Transparent" w:hAnsi="Arabic Transparent" w:cs="Arabic Transparent" w:hint="cs"/>
          <w:sz w:val="24"/>
          <w:szCs w:val="24"/>
          <w:rtl/>
          <w:lang w:bidi="ar-JO"/>
        </w:rPr>
        <w:t>مصدر</w:t>
      </w:r>
      <w:r w:rsidRPr="002273BC">
        <w:rPr>
          <w:rFonts w:ascii="Arabic Transparent" w:hAnsi="Arabic Transparent" w:cs="Arabic Transparent" w:hint="cs"/>
          <w:sz w:val="24"/>
          <w:szCs w:val="24"/>
          <w:rtl/>
          <w:lang w:bidi="ar-JO"/>
        </w:rPr>
        <w:t xml:space="preserve"> سابق، ج2، ص271، </w:t>
      </w:r>
      <w:r w:rsidR="006A087C" w:rsidRPr="002273BC">
        <w:rPr>
          <w:rFonts w:ascii="Arabic Transparent" w:hAnsi="Arabic Transparent" w:cs="Arabic Transparent" w:hint="cs"/>
          <w:sz w:val="24"/>
          <w:szCs w:val="24"/>
          <w:rtl/>
          <w:lang w:bidi="ar-JO"/>
        </w:rPr>
        <w:t>و</w:t>
      </w:r>
      <w:r w:rsidRPr="002273BC">
        <w:rPr>
          <w:rFonts w:ascii="Arabic Transparent" w:hAnsi="Arabic Transparent" w:cs="Arabic Transparent" w:hint="cs"/>
          <w:sz w:val="24"/>
          <w:szCs w:val="24"/>
          <w:rtl/>
          <w:lang w:bidi="ar-JO"/>
        </w:rPr>
        <w:t xml:space="preserve">ابن عابدين، </w:t>
      </w:r>
      <w:r w:rsidRPr="006E7F99">
        <w:rPr>
          <w:rFonts w:ascii="Arabic Transparent" w:hAnsi="Arabic Transparent" w:cs="Arabic Transparent" w:hint="cs"/>
          <w:b/>
          <w:bCs/>
          <w:sz w:val="24"/>
          <w:szCs w:val="24"/>
          <w:rtl/>
          <w:lang w:bidi="ar-JO"/>
        </w:rPr>
        <w:t>مجموعة رسائل ابن عابدين</w:t>
      </w:r>
      <w:r w:rsidRPr="002273BC">
        <w:rPr>
          <w:rFonts w:ascii="Arabic Transparent" w:hAnsi="Arabic Transparent" w:cs="Arabic Transparent" w:hint="cs"/>
          <w:sz w:val="24"/>
          <w:szCs w:val="24"/>
          <w:rtl/>
          <w:lang w:bidi="ar-JO"/>
        </w:rPr>
        <w:t xml:space="preserve">، </w:t>
      </w:r>
      <w:r w:rsidR="00D129CA" w:rsidRPr="002273BC">
        <w:rPr>
          <w:rFonts w:ascii="Arabic Transparent" w:hAnsi="Arabic Transparent" w:cs="Arabic Transparent" w:hint="cs"/>
          <w:sz w:val="24"/>
          <w:szCs w:val="24"/>
          <w:rtl/>
          <w:lang w:bidi="ar-JO"/>
        </w:rPr>
        <w:t>مصدر</w:t>
      </w:r>
      <w:r w:rsidRPr="002273BC">
        <w:rPr>
          <w:rFonts w:ascii="Arabic Transparent" w:hAnsi="Arabic Transparent" w:cs="Arabic Transparent" w:hint="cs"/>
          <w:sz w:val="24"/>
          <w:szCs w:val="24"/>
          <w:rtl/>
          <w:lang w:bidi="ar-JO"/>
        </w:rPr>
        <w:t xml:space="preserve"> سابق، ج2، ص131.</w:t>
      </w:r>
    </w:p>
  </w:footnote>
  <w:footnote w:id="174">
    <w:p w14:paraId="26725BCE" w14:textId="5335D520" w:rsidR="00F81129" w:rsidRPr="002273BC" w:rsidRDefault="00F81129"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w:t>
      </w:r>
      <w:r w:rsidR="00AE6F49" w:rsidRPr="002273BC">
        <w:rPr>
          <w:rFonts w:ascii="Arabic Transparent" w:hAnsi="Arabic Transparent" w:cs="Arabic Transparent" w:hint="cs"/>
          <w:sz w:val="24"/>
          <w:szCs w:val="24"/>
          <w:rtl/>
          <w:lang w:bidi="ar-JO"/>
        </w:rPr>
        <w:t xml:space="preserve">القرافي، أحمد بن إدريس، شهاب الدين أبو العباس، (1995)، </w:t>
      </w:r>
      <w:r w:rsidR="00AE6F49" w:rsidRPr="002273BC">
        <w:rPr>
          <w:rFonts w:ascii="Arabic Transparent" w:hAnsi="Arabic Transparent" w:cs="Arabic Transparent" w:hint="cs"/>
          <w:b/>
          <w:bCs/>
          <w:sz w:val="24"/>
          <w:szCs w:val="24"/>
          <w:rtl/>
          <w:lang w:bidi="ar-JO"/>
        </w:rPr>
        <w:t>الإحكام في تمييز الفتاوى عن الأحكام وتصرفات القاضي و</w:t>
      </w:r>
      <w:r w:rsidR="00AE6F49" w:rsidRPr="002273BC">
        <w:rPr>
          <w:rFonts w:ascii="Arabic Transparent" w:hAnsi="Arabic Transparent" w:cs="Arabic Transparent" w:hint="cs"/>
          <w:sz w:val="24"/>
          <w:szCs w:val="24"/>
          <w:rtl/>
          <w:lang w:bidi="ar-JO"/>
        </w:rPr>
        <w:t xml:space="preserve"> (اعتنى به عبد الفتاح أبو غدة)، ط2، ص218، دار البشائر الإسلامية، بيروت.</w:t>
      </w:r>
    </w:p>
  </w:footnote>
  <w:footnote w:id="175">
    <w:p w14:paraId="6C8F7773" w14:textId="33CA239A" w:rsidR="00AE6F49" w:rsidRPr="002273BC" w:rsidRDefault="00AE6F49" w:rsidP="00EA3738">
      <w:pPr>
        <w:pStyle w:val="FootnoteText"/>
        <w:spacing w:line="336"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w:t>
      </w:r>
      <w:r w:rsidR="00A064DF">
        <w:rPr>
          <w:rFonts w:ascii="Arabic Transparent" w:hAnsi="Arabic Transparent" w:cs="Arabic Transparent" w:hint="cs"/>
          <w:sz w:val="24"/>
          <w:szCs w:val="24"/>
          <w:rtl/>
          <w:lang w:bidi="ar-JO"/>
        </w:rPr>
        <w:t>سبق ذكره انظر:</w:t>
      </w:r>
      <w:r w:rsidR="006A087C" w:rsidRPr="002273BC">
        <w:rPr>
          <w:rFonts w:ascii="Arabic Transparent" w:hAnsi="Arabic Transparent" w:cs="Arabic Transparent" w:hint="cs"/>
          <w:sz w:val="24"/>
          <w:szCs w:val="24"/>
          <w:rtl/>
          <w:lang w:bidi="ar-JO"/>
        </w:rPr>
        <w:t xml:space="preserve"> ص</w:t>
      </w:r>
      <w:r w:rsidR="00A064DF">
        <w:rPr>
          <w:rFonts w:ascii="Arabic Transparent" w:hAnsi="Arabic Transparent" w:cs="Arabic Transparent" w:hint="cs"/>
          <w:sz w:val="24"/>
          <w:szCs w:val="24"/>
          <w:rtl/>
          <w:lang w:bidi="ar-JO"/>
        </w:rPr>
        <w:t>41</w:t>
      </w:r>
      <w:r w:rsidR="006A087C" w:rsidRPr="002273BC">
        <w:rPr>
          <w:rFonts w:ascii="Arabic Transparent" w:hAnsi="Arabic Transparent" w:cs="Arabic Transparent" w:hint="cs"/>
          <w:sz w:val="24"/>
          <w:szCs w:val="24"/>
          <w:rtl/>
          <w:lang w:bidi="ar-JO"/>
        </w:rPr>
        <w:t>، هامش</w:t>
      </w:r>
      <w:r w:rsidR="00A064DF">
        <w:rPr>
          <w:rFonts w:ascii="Arabic Transparent" w:hAnsi="Arabic Transparent" w:cs="Arabic Transparent" w:hint="cs"/>
          <w:sz w:val="24"/>
          <w:szCs w:val="24"/>
          <w:rtl/>
          <w:lang w:bidi="ar-JO"/>
        </w:rPr>
        <w:t xml:space="preserve">  رقم</w:t>
      </w:r>
      <w:r w:rsidR="006A087C" w:rsidRPr="002273BC">
        <w:rPr>
          <w:rFonts w:ascii="Arabic Transparent" w:hAnsi="Arabic Transparent" w:cs="Arabic Transparent" w:hint="cs"/>
          <w:sz w:val="24"/>
          <w:szCs w:val="24"/>
          <w:rtl/>
          <w:lang w:bidi="ar-JO"/>
        </w:rPr>
        <w:t xml:space="preserve"> </w:t>
      </w:r>
      <w:r w:rsidR="00A064DF">
        <w:rPr>
          <w:rFonts w:ascii="Arabic Transparent" w:hAnsi="Arabic Transparent" w:cs="Arabic Transparent" w:hint="cs"/>
          <w:sz w:val="24"/>
          <w:szCs w:val="24"/>
          <w:rtl/>
          <w:lang w:bidi="ar-JO"/>
        </w:rPr>
        <w:t>1</w:t>
      </w:r>
      <w:r w:rsidR="006A087C" w:rsidRPr="002273BC">
        <w:rPr>
          <w:rFonts w:ascii="Arabic Transparent" w:hAnsi="Arabic Transparent" w:cs="Arabic Transparent" w:hint="cs"/>
          <w:sz w:val="24"/>
          <w:szCs w:val="24"/>
          <w:rtl/>
          <w:lang w:bidi="ar-JO"/>
        </w:rPr>
        <w:t>.</w:t>
      </w:r>
    </w:p>
  </w:footnote>
  <w:footnote w:id="176">
    <w:p w14:paraId="3F91D5CA" w14:textId="13A4A34B" w:rsidR="005E6420" w:rsidRPr="002273BC" w:rsidRDefault="005E6420" w:rsidP="00EA3738">
      <w:pPr>
        <w:pStyle w:val="FootnoteText"/>
        <w:spacing w:line="336"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الشاطبي، </w:t>
      </w:r>
      <w:r w:rsidRPr="002273BC">
        <w:rPr>
          <w:rFonts w:ascii="Arabic Transparent" w:hAnsi="Arabic Transparent" w:cs="Arabic Transparent" w:hint="cs"/>
          <w:b/>
          <w:bCs/>
          <w:sz w:val="24"/>
          <w:szCs w:val="24"/>
          <w:rtl/>
          <w:lang w:bidi="ar-JO"/>
        </w:rPr>
        <w:t>الموافقات</w:t>
      </w:r>
      <w:r w:rsidRPr="002273BC">
        <w:rPr>
          <w:rFonts w:ascii="Arabic Transparent" w:hAnsi="Arabic Transparent" w:cs="Arabic Transparent" w:hint="cs"/>
          <w:sz w:val="24"/>
          <w:szCs w:val="24"/>
          <w:rtl/>
          <w:lang w:bidi="ar-JO"/>
        </w:rPr>
        <w:t xml:space="preserve">، </w:t>
      </w:r>
      <w:r w:rsidR="00D129CA" w:rsidRPr="002273BC">
        <w:rPr>
          <w:rFonts w:ascii="Arabic Transparent" w:hAnsi="Arabic Transparent" w:cs="Arabic Transparent" w:hint="cs"/>
          <w:sz w:val="24"/>
          <w:szCs w:val="24"/>
          <w:rtl/>
          <w:lang w:bidi="ar-JO"/>
        </w:rPr>
        <w:t>مصدر</w:t>
      </w:r>
      <w:r w:rsidRPr="002273BC">
        <w:rPr>
          <w:rFonts w:ascii="Arabic Transparent" w:hAnsi="Arabic Transparent" w:cs="Arabic Transparent" w:hint="cs"/>
          <w:sz w:val="24"/>
          <w:szCs w:val="24"/>
          <w:rtl/>
          <w:lang w:bidi="ar-JO"/>
        </w:rPr>
        <w:t xml:space="preserve"> سابق، ج5، ص177.</w:t>
      </w:r>
    </w:p>
  </w:footnote>
  <w:footnote w:id="177">
    <w:p w14:paraId="5B0477B9" w14:textId="1F61DAB1" w:rsidR="007D6911" w:rsidRPr="002273BC" w:rsidRDefault="007D6911" w:rsidP="00EA3738">
      <w:pPr>
        <w:pStyle w:val="FootnoteText"/>
        <w:spacing w:line="336"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w:t>
      </w:r>
      <w:r w:rsidR="00A064DF">
        <w:rPr>
          <w:rFonts w:ascii="Arabic Transparent" w:hAnsi="Arabic Transparent" w:cs="Arabic Transparent" w:hint="cs"/>
          <w:sz w:val="24"/>
          <w:szCs w:val="24"/>
          <w:rtl/>
          <w:lang w:bidi="ar-JO"/>
        </w:rPr>
        <w:t xml:space="preserve">انظر: </w:t>
      </w:r>
      <w:r w:rsidRPr="002273BC">
        <w:rPr>
          <w:rFonts w:ascii="Arabic Transparent" w:hAnsi="Arabic Transparent" w:cs="Arabic Transparent" w:hint="cs"/>
          <w:sz w:val="24"/>
          <w:szCs w:val="24"/>
          <w:rtl/>
          <w:lang w:bidi="ar-JO"/>
        </w:rPr>
        <w:t xml:space="preserve">ابن عاشور، محمد الطاهر، (1984)، </w:t>
      </w:r>
      <w:r w:rsidRPr="002273BC">
        <w:rPr>
          <w:rFonts w:ascii="Arabic Transparent" w:hAnsi="Arabic Transparent" w:cs="Arabic Transparent" w:hint="cs"/>
          <w:b/>
          <w:bCs/>
          <w:sz w:val="24"/>
          <w:szCs w:val="24"/>
          <w:rtl/>
          <w:lang w:bidi="ar-JO"/>
        </w:rPr>
        <w:t>التحرير والتنوير</w:t>
      </w:r>
      <w:r w:rsidRPr="002273BC">
        <w:rPr>
          <w:rFonts w:ascii="Arabic Transparent" w:hAnsi="Arabic Transparent" w:cs="Arabic Transparent" w:hint="cs"/>
          <w:sz w:val="24"/>
          <w:szCs w:val="24"/>
          <w:rtl/>
          <w:lang w:bidi="ar-JO"/>
        </w:rPr>
        <w:t>، ط1، ج7، ص428، الدار التونسية للنشر، تونس.</w:t>
      </w:r>
    </w:p>
  </w:footnote>
  <w:footnote w:id="178">
    <w:p w14:paraId="292E0075" w14:textId="3D516386" w:rsidR="000176CF" w:rsidRPr="002273BC" w:rsidRDefault="000176CF" w:rsidP="00EA3738">
      <w:pPr>
        <w:pStyle w:val="FootnoteText"/>
        <w:spacing w:line="336"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ا</w:t>
      </w:r>
      <w:r w:rsidR="00A52C0B" w:rsidRPr="002273BC">
        <w:rPr>
          <w:rFonts w:ascii="Arabic Transparent" w:hAnsi="Arabic Transparent" w:cs="Arabic Transparent" w:hint="cs"/>
          <w:sz w:val="24"/>
          <w:szCs w:val="24"/>
          <w:rtl/>
          <w:lang w:bidi="ar-JO"/>
        </w:rPr>
        <w:t xml:space="preserve">بن القيم، </w:t>
      </w:r>
      <w:r w:rsidRPr="002273BC">
        <w:rPr>
          <w:rFonts w:ascii="Arabic Transparent" w:hAnsi="Arabic Transparent" w:cs="Arabic Transparent" w:hint="cs"/>
          <w:b/>
          <w:bCs/>
          <w:sz w:val="24"/>
          <w:szCs w:val="24"/>
          <w:rtl/>
          <w:lang w:bidi="ar-JO"/>
        </w:rPr>
        <w:t>إعلام الموقعين عن رب العالمين،</w:t>
      </w:r>
      <w:r w:rsidR="00BF6AB8" w:rsidRPr="002273BC">
        <w:rPr>
          <w:rFonts w:ascii="Arabic Transparent" w:hAnsi="Arabic Transparent" w:cs="Arabic Transparent" w:hint="cs"/>
          <w:b/>
          <w:bCs/>
          <w:sz w:val="24"/>
          <w:szCs w:val="24"/>
          <w:rtl/>
          <w:lang w:bidi="ar-JO"/>
        </w:rPr>
        <w:t xml:space="preserve"> </w:t>
      </w:r>
      <w:r w:rsidR="00D129CA" w:rsidRPr="002273BC">
        <w:rPr>
          <w:rFonts w:ascii="Arabic Transparent" w:hAnsi="Arabic Transparent" w:cs="Arabic Transparent" w:hint="cs"/>
          <w:sz w:val="24"/>
          <w:szCs w:val="24"/>
          <w:rtl/>
          <w:lang w:bidi="ar-JO"/>
        </w:rPr>
        <w:t>مصدر</w:t>
      </w:r>
      <w:r w:rsidR="00BF6AB8" w:rsidRPr="002273BC">
        <w:rPr>
          <w:rFonts w:ascii="Arabic Transparent" w:hAnsi="Arabic Transparent" w:cs="Arabic Transparent" w:hint="cs"/>
          <w:sz w:val="24"/>
          <w:szCs w:val="24"/>
          <w:rtl/>
          <w:lang w:bidi="ar-JO"/>
        </w:rPr>
        <w:t xml:space="preserve"> سابق،</w:t>
      </w:r>
      <w:r w:rsidRPr="002273BC">
        <w:rPr>
          <w:rFonts w:ascii="Arabic Transparent" w:hAnsi="Arabic Transparent" w:cs="Arabic Transparent" w:hint="cs"/>
          <w:sz w:val="24"/>
          <w:szCs w:val="24"/>
          <w:rtl/>
          <w:lang w:bidi="ar-JO"/>
        </w:rPr>
        <w:t xml:space="preserve"> ج4، ص499.</w:t>
      </w:r>
    </w:p>
  </w:footnote>
  <w:footnote w:id="179">
    <w:p w14:paraId="5B43C632" w14:textId="5A74A502" w:rsidR="000176CF" w:rsidRPr="002273BC" w:rsidRDefault="000176CF" w:rsidP="00EA3738">
      <w:pPr>
        <w:pStyle w:val="FootnoteText"/>
        <w:spacing w:line="336"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السيوطي، عبد الرحمن بن أبي بكر، جلال الدين، (1983)، </w:t>
      </w:r>
      <w:r w:rsidRPr="002273BC">
        <w:rPr>
          <w:rFonts w:ascii="Arabic Transparent" w:hAnsi="Arabic Transparent" w:cs="Arabic Transparent" w:hint="cs"/>
          <w:b/>
          <w:bCs/>
          <w:sz w:val="24"/>
          <w:szCs w:val="24"/>
          <w:rtl/>
          <w:lang w:bidi="ar-JO"/>
        </w:rPr>
        <w:t>الأشباه والنظائر في قواعد وفروع فقه الشافعية</w:t>
      </w:r>
      <w:r w:rsidRPr="002273BC">
        <w:rPr>
          <w:rFonts w:ascii="Arabic Transparent" w:hAnsi="Arabic Transparent" w:cs="Arabic Transparent" w:hint="cs"/>
          <w:sz w:val="24"/>
          <w:szCs w:val="24"/>
          <w:rtl/>
          <w:lang w:bidi="ar-JO"/>
        </w:rPr>
        <w:t>، ط1، ج1، ص49، دار الكتب العلمية، بيروت، وحيدر، علي، (1991)،</w:t>
      </w:r>
      <w:r w:rsidRPr="002273BC">
        <w:rPr>
          <w:rFonts w:ascii="Arabic Transparent" w:hAnsi="Arabic Transparent" w:cs="Arabic Transparent" w:hint="cs"/>
          <w:b/>
          <w:bCs/>
          <w:sz w:val="24"/>
          <w:szCs w:val="24"/>
          <w:rtl/>
          <w:lang w:bidi="ar-JO"/>
        </w:rPr>
        <w:t xml:space="preserve"> درر الحكام في شرح مجلة الأحكام</w:t>
      </w:r>
      <w:r w:rsidRPr="002273BC">
        <w:rPr>
          <w:rFonts w:ascii="Arabic Transparent" w:hAnsi="Arabic Transparent" w:cs="Arabic Transparent" w:hint="cs"/>
          <w:sz w:val="24"/>
          <w:szCs w:val="24"/>
          <w:rtl/>
          <w:lang w:bidi="ar-JO"/>
        </w:rPr>
        <w:t xml:space="preserve"> (ترجمة وتعريب فهمي الحسيني)، ط1،</w:t>
      </w:r>
      <w:r w:rsidR="00135610">
        <w:rPr>
          <w:rFonts w:ascii="Arabic Transparent" w:hAnsi="Arabic Transparent" w:cs="Arabic Transparent" w:hint="cs"/>
          <w:sz w:val="24"/>
          <w:szCs w:val="24"/>
          <w:rtl/>
          <w:lang w:bidi="ar-JO"/>
        </w:rPr>
        <w:t xml:space="preserve"> ج1، ص17،</w:t>
      </w:r>
      <w:r w:rsidRPr="002273BC">
        <w:rPr>
          <w:rFonts w:ascii="Arabic Transparent" w:hAnsi="Arabic Transparent" w:cs="Arabic Transparent" w:hint="cs"/>
          <w:sz w:val="24"/>
          <w:szCs w:val="24"/>
          <w:rtl/>
          <w:lang w:bidi="ar-JO"/>
        </w:rPr>
        <w:t xml:space="preserve"> دار الجيل، بيروت.</w:t>
      </w:r>
    </w:p>
  </w:footnote>
  <w:footnote w:id="180">
    <w:p w14:paraId="0E05DD94" w14:textId="206F2046" w:rsidR="00BF6AB8" w:rsidRPr="002273BC" w:rsidRDefault="00BF6AB8" w:rsidP="00EA3738">
      <w:pPr>
        <w:pStyle w:val="FootnoteText"/>
        <w:spacing w:line="336"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ا</w:t>
      </w:r>
      <w:r w:rsidR="00A52C0B" w:rsidRPr="002273BC">
        <w:rPr>
          <w:rFonts w:ascii="Arabic Transparent" w:hAnsi="Arabic Transparent" w:cs="Arabic Transparent" w:hint="cs"/>
          <w:sz w:val="24"/>
          <w:szCs w:val="24"/>
          <w:rtl/>
          <w:lang w:bidi="ar-JO"/>
        </w:rPr>
        <w:t>بن القيم</w:t>
      </w:r>
      <w:r w:rsidRPr="002273BC">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b/>
          <w:bCs/>
          <w:sz w:val="24"/>
          <w:szCs w:val="24"/>
          <w:rtl/>
          <w:lang w:bidi="ar-JO"/>
        </w:rPr>
        <w:t>إعلام الموقعين عن ربّ العالمين</w:t>
      </w:r>
      <w:r w:rsidRPr="002273BC">
        <w:rPr>
          <w:rFonts w:ascii="Arabic Transparent" w:hAnsi="Arabic Transparent" w:cs="Arabic Transparent" w:hint="cs"/>
          <w:sz w:val="24"/>
          <w:szCs w:val="24"/>
          <w:rtl/>
          <w:lang w:bidi="ar-JO"/>
        </w:rPr>
        <w:t xml:space="preserve">، </w:t>
      </w:r>
      <w:r w:rsidR="00D129CA" w:rsidRPr="002273BC">
        <w:rPr>
          <w:rFonts w:ascii="Arabic Transparent" w:hAnsi="Arabic Transparent" w:cs="Arabic Transparent" w:hint="cs"/>
          <w:sz w:val="24"/>
          <w:szCs w:val="24"/>
          <w:rtl/>
          <w:lang w:bidi="ar-JO"/>
        </w:rPr>
        <w:t>مصدر</w:t>
      </w:r>
      <w:r w:rsidRPr="002273BC">
        <w:rPr>
          <w:rFonts w:ascii="Arabic Transparent" w:hAnsi="Arabic Transparent" w:cs="Arabic Transparent" w:hint="cs"/>
          <w:sz w:val="24"/>
          <w:szCs w:val="24"/>
          <w:rtl/>
          <w:lang w:bidi="ar-JO"/>
        </w:rPr>
        <w:t xml:space="preserve"> سابق، ج4، ص520.</w:t>
      </w:r>
    </w:p>
  </w:footnote>
  <w:footnote w:id="181">
    <w:p w14:paraId="06D6B301" w14:textId="7DF15D92" w:rsidR="001E656C" w:rsidRPr="002273BC" w:rsidRDefault="001E656C" w:rsidP="00EA3738">
      <w:pPr>
        <w:pStyle w:val="FootnoteText"/>
        <w:spacing w:line="336"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w:t>
      </w:r>
      <w:r w:rsidR="00284556" w:rsidRPr="002273BC">
        <w:rPr>
          <w:rFonts w:ascii="Arabic Transparent" w:hAnsi="Arabic Transparent" w:cs="Arabic Transparent" w:hint="cs"/>
          <w:sz w:val="24"/>
          <w:szCs w:val="24"/>
          <w:rtl/>
          <w:lang w:bidi="ar-JO"/>
        </w:rPr>
        <w:t xml:space="preserve">ابن قدامة، عبد الله بن أحمد بن محمد، موفق الدين أبو محمد، (1997)، </w:t>
      </w:r>
      <w:r w:rsidR="00284556" w:rsidRPr="002273BC">
        <w:rPr>
          <w:rFonts w:ascii="Arabic Transparent" w:hAnsi="Arabic Transparent" w:cs="Arabic Transparent" w:hint="cs"/>
          <w:b/>
          <w:bCs/>
          <w:sz w:val="24"/>
          <w:szCs w:val="24"/>
          <w:rtl/>
          <w:lang w:bidi="ar-JO"/>
        </w:rPr>
        <w:t xml:space="preserve">المغني </w:t>
      </w:r>
      <w:r w:rsidR="00284556" w:rsidRPr="002273BC">
        <w:rPr>
          <w:rFonts w:ascii="Arabic Transparent" w:hAnsi="Arabic Transparent" w:cs="Arabic Transparent" w:hint="cs"/>
          <w:sz w:val="24"/>
          <w:szCs w:val="24"/>
          <w:rtl/>
          <w:lang w:bidi="ar-JO"/>
        </w:rPr>
        <w:t>(تحقيق عبد الله بن عبد المحسن التركي، وعبد الفتاح محمد الحلو)، ط3، ج5، ص405، دار عالم الكتب، الرياض.</w:t>
      </w:r>
    </w:p>
  </w:footnote>
  <w:footnote w:id="182">
    <w:p w14:paraId="0987DBF4" w14:textId="47CDC8AB" w:rsidR="00975B0C" w:rsidRPr="002273BC" w:rsidRDefault="00975B0C" w:rsidP="00EA3738">
      <w:pPr>
        <w:pStyle w:val="FootnoteText"/>
        <w:spacing w:line="336"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ابن عقيل، علي بن محمد، أبو الوفاء، (1999)، </w:t>
      </w:r>
      <w:r w:rsidRPr="002273BC">
        <w:rPr>
          <w:rFonts w:ascii="Arabic Transparent" w:hAnsi="Arabic Transparent" w:cs="Arabic Transparent" w:hint="cs"/>
          <w:b/>
          <w:bCs/>
          <w:sz w:val="24"/>
          <w:szCs w:val="24"/>
          <w:rtl/>
          <w:lang w:bidi="ar-JO"/>
        </w:rPr>
        <w:t>الواضح في أصول الفقه</w:t>
      </w:r>
      <w:r w:rsidRPr="002273BC">
        <w:rPr>
          <w:rFonts w:ascii="Arabic Transparent" w:hAnsi="Arabic Transparent" w:cs="Arabic Transparent" w:hint="cs"/>
          <w:sz w:val="24"/>
          <w:szCs w:val="24"/>
          <w:rtl/>
          <w:lang w:bidi="ar-JO"/>
        </w:rPr>
        <w:t xml:space="preserve"> (تحقيق عبد الله بن عبد المحسن التركي)، ط1، </w:t>
      </w:r>
      <w:r w:rsidR="00385972" w:rsidRPr="002273BC">
        <w:rPr>
          <w:rFonts w:ascii="Arabic Transparent" w:hAnsi="Arabic Transparent" w:cs="Arabic Transparent" w:hint="cs"/>
          <w:sz w:val="24"/>
          <w:szCs w:val="24"/>
          <w:rtl/>
          <w:lang w:bidi="ar-JO"/>
        </w:rPr>
        <w:t xml:space="preserve">ج5، ص181، </w:t>
      </w:r>
      <w:r w:rsidRPr="002273BC">
        <w:rPr>
          <w:rFonts w:ascii="Arabic Transparent" w:hAnsi="Arabic Transparent" w:cs="Arabic Transparent" w:hint="cs"/>
          <w:sz w:val="24"/>
          <w:szCs w:val="24"/>
          <w:rtl/>
          <w:lang w:bidi="ar-JO"/>
        </w:rPr>
        <w:t>مؤسسة الرسالة، بيروت.</w:t>
      </w:r>
    </w:p>
  </w:footnote>
  <w:footnote w:id="183">
    <w:p w14:paraId="441D2B6F" w14:textId="01C71C03" w:rsidR="00420A2D" w:rsidRPr="002273BC" w:rsidRDefault="00420A2D" w:rsidP="00EA3738">
      <w:pPr>
        <w:pStyle w:val="FootnoteText"/>
        <w:spacing w:line="336"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00C153A8">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sz w:val="24"/>
          <w:szCs w:val="24"/>
          <w:rtl/>
          <w:lang w:bidi="ar-JO"/>
        </w:rPr>
        <w:t>قرارات مجمع الفقه الإسلامي،</w:t>
      </w:r>
      <w:r w:rsidR="00182D36" w:rsidRPr="002273BC">
        <w:rPr>
          <w:rFonts w:ascii="Arabic Transparent" w:hAnsi="Arabic Transparent" w:cs="Arabic Transparent" w:hint="cs"/>
          <w:sz w:val="24"/>
          <w:szCs w:val="24"/>
          <w:rtl/>
          <w:lang w:bidi="ar-JO"/>
        </w:rPr>
        <w:t>(2018)،</w:t>
      </w:r>
      <w:r w:rsidRPr="002273BC">
        <w:rPr>
          <w:rFonts w:ascii="Arabic Transparent" w:hAnsi="Arabic Transparent" w:cs="Arabic Transparent" w:hint="cs"/>
          <w:sz w:val="24"/>
          <w:szCs w:val="24"/>
          <w:rtl/>
          <w:lang w:bidi="ar-JO"/>
        </w:rPr>
        <w:t xml:space="preserve"> </w:t>
      </w:r>
      <w:r w:rsidR="00182D36" w:rsidRPr="002273BC">
        <w:rPr>
          <w:rFonts w:ascii="Arabic Transparent" w:hAnsi="Arabic Transparent" w:cs="Arabic Transparent"/>
          <w:b/>
          <w:bCs/>
          <w:sz w:val="24"/>
          <w:szCs w:val="24"/>
          <w:rtl/>
          <w:lang w:bidi="ar-JO"/>
        </w:rPr>
        <w:t>قرار رقم: 220 (23/4)</w:t>
      </w:r>
      <w:r w:rsidR="00182D36" w:rsidRPr="002273BC">
        <w:rPr>
          <w:rFonts w:ascii="Arabic Transparent" w:hAnsi="Arabic Transparent" w:cs="Arabic Transparent" w:hint="cs"/>
          <w:b/>
          <w:bCs/>
          <w:sz w:val="24"/>
          <w:szCs w:val="24"/>
          <w:rtl/>
          <w:lang w:bidi="ar-JO"/>
        </w:rPr>
        <w:t xml:space="preserve">، </w:t>
      </w:r>
      <w:r w:rsidR="00182D36" w:rsidRPr="002273BC">
        <w:rPr>
          <w:rFonts w:ascii="Arabic Transparent" w:hAnsi="Arabic Transparent" w:cs="Arabic Transparent"/>
          <w:b/>
          <w:bCs/>
          <w:sz w:val="24"/>
          <w:szCs w:val="24"/>
          <w:rtl/>
          <w:lang w:bidi="ar-JO"/>
        </w:rPr>
        <w:t>بشأن خفاض الإناث في الفقه الإسلامي</w:t>
      </w:r>
      <w:r w:rsidRPr="002273BC">
        <w:rPr>
          <w:rFonts w:ascii="Arabic Transparent" w:hAnsi="Arabic Transparent" w:cs="Arabic Transparent" w:hint="cs"/>
          <w:sz w:val="24"/>
          <w:szCs w:val="24"/>
          <w:rtl/>
          <w:lang w:bidi="ar-JO"/>
        </w:rPr>
        <w:t xml:space="preserve">، على الرابط: </w:t>
      </w:r>
      <w:hyperlink r:id="rId1" w:history="1">
        <w:r w:rsidR="00C325D2" w:rsidRPr="002273BC">
          <w:rPr>
            <w:rFonts w:ascii="Arabic Transparent" w:hAnsi="Arabic Transparent" w:cs="Arabic Transparent" w:hint="cs"/>
            <w:sz w:val="24"/>
            <w:szCs w:val="24"/>
            <w:lang w:bidi="ar-JO"/>
          </w:rPr>
          <w:t>https://iifa-aifi.org/ar</w:t>
        </w:r>
      </w:hyperlink>
      <w:r w:rsidR="00C325D2" w:rsidRPr="002273BC">
        <w:rPr>
          <w:rFonts w:ascii="Arabic Transparent" w:hAnsi="Arabic Transparent" w:cs="Arabic Transparent" w:hint="cs"/>
          <w:sz w:val="24"/>
          <w:szCs w:val="24"/>
          <w:rtl/>
          <w:lang w:bidi="ar-JO"/>
        </w:rPr>
        <w:t xml:space="preserve"> تاريخ الاطلاع: 23/ 8/ 2025م.</w:t>
      </w:r>
    </w:p>
  </w:footnote>
  <w:footnote w:id="184">
    <w:p w14:paraId="6B857225" w14:textId="215833B3" w:rsidR="00CD6519" w:rsidRPr="002273BC" w:rsidRDefault="00CD6519" w:rsidP="00EA3738">
      <w:pPr>
        <w:pStyle w:val="FootnoteText"/>
        <w:spacing w:line="336"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هي عملية قطع قدر يسير من الجلدة المستعلية فوق البظر للمرأة مع ترك البظر نفسه سليمًا</w:t>
      </w:r>
      <w:r w:rsidR="00587D58" w:rsidRPr="002273BC">
        <w:rPr>
          <w:rFonts w:ascii="Arabic Transparent" w:hAnsi="Arabic Transparent" w:cs="Arabic Transparent" w:hint="cs"/>
          <w:sz w:val="24"/>
          <w:szCs w:val="24"/>
          <w:rtl/>
          <w:lang w:bidi="ar-JO"/>
        </w:rPr>
        <w:t>، المصدر السابق، نفسه،</w:t>
      </w:r>
      <w:r w:rsidR="00182D36" w:rsidRPr="002273BC">
        <w:rPr>
          <w:rFonts w:ascii="Arabic Transparent" w:hAnsi="Arabic Transparent" w:cs="Arabic Transparent" w:hint="cs"/>
          <w:sz w:val="24"/>
          <w:szCs w:val="24"/>
          <w:rtl/>
          <w:lang w:bidi="ar-JO"/>
        </w:rPr>
        <w:t xml:space="preserve"> </w:t>
      </w:r>
      <w:r w:rsidR="00182D36" w:rsidRPr="002273BC">
        <w:rPr>
          <w:rFonts w:ascii="Arabic Transparent" w:hAnsi="Arabic Transparent" w:cs="Arabic Transparent"/>
          <w:sz w:val="24"/>
          <w:szCs w:val="24"/>
          <w:rtl/>
          <w:lang w:bidi="ar-JO"/>
        </w:rPr>
        <w:t>قرار رقم: 220 (23/4)</w:t>
      </w:r>
      <w:r w:rsidR="00182D36" w:rsidRPr="002273BC">
        <w:rPr>
          <w:rFonts w:ascii="Arabic Transparent" w:hAnsi="Arabic Transparent" w:cs="Arabic Transparent" w:hint="cs"/>
          <w:sz w:val="24"/>
          <w:szCs w:val="24"/>
          <w:rtl/>
          <w:lang w:bidi="ar-JO"/>
        </w:rPr>
        <w:t>،</w:t>
      </w:r>
      <w:r w:rsidR="00587D58" w:rsidRPr="002273BC">
        <w:rPr>
          <w:rFonts w:ascii="Arabic Transparent" w:hAnsi="Arabic Transparent" w:cs="Arabic Transparent" w:hint="cs"/>
          <w:sz w:val="24"/>
          <w:szCs w:val="24"/>
          <w:rtl/>
          <w:lang w:bidi="ar-JO"/>
        </w:rPr>
        <w:t xml:space="preserve"> تاريخ الاطلاع: 23/ 8/ 2025م.</w:t>
      </w:r>
    </w:p>
  </w:footnote>
  <w:footnote w:id="185">
    <w:p w14:paraId="71AA65B4" w14:textId="59F8024C" w:rsidR="00367EBB" w:rsidRPr="002273BC" w:rsidRDefault="00367EBB"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أوهاب، نذير</w:t>
      </w:r>
      <w:r w:rsidR="00144916" w:rsidRPr="002273BC">
        <w:rPr>
          <w:rFonts w:ascii="Arabic Transparent" w:hAnsi="Arabic Transparent" w:cs="Arabic Transparent" w:hint="cs"/>
          <w:sz w:val="24"/>
          <w:szCs w:val="24"/>
          <w:rtl/>
          <w:lang w:bidi="ar-JO"/>
        </w:rPr>
        <w:t>، (</w:t>
      </w:r>
      <w:r w:rsidRPr="002273BC">
        <w:rPr>
          <w:rFonts w:ascii="Arabic Transparent" w:hAnsi="Arabic Transparent" w:cs="Arabic Transparent" w:hint="cs"/>
          <w:sz w:val="24"/>
          <w:szCs w:val="24"/>
          <w:rtl/>
          <w:lang w:bidi="ar-JO"/>
        </w:rPr>
        <w:t xml:space="preserve">2019) </w:t>
      </w:r>
      <w:r w:rsidRPr="002273BC">
        <w:rPr>
          <w:rFonts w:ascii="Arabic Transparent" w:hAnsi="Arabic Transparent" w:cs="Arabic Transparent" w:hint="cs"/>
          <w:b/>
          <w:bCs/>
          <w:sz w:val="24"/>
          <w:szCs w:val="24"/>
          <w:rtl/>
          <w:lang w:bidi="ar-JO"/>
        </w:rPr>
        <w:t>تحقيق المناط الخاص بالفتوى، مفهومه وضوابطه، وتطبيقاته</w:t>
      </w:r>
      <w:r w:rsidRPr="002273BC">
        <w:rPr>
          <w:rFonts w:ascii="Arabic Transparent" w:hAnsi="Arabic Transparent" w:cs="Arabic Transparent" w:hint="cs"/>
          <w:sz w:val="24"/>
          <w:szCs w:val="24"/>
          <w:rtl/>
          <w:lang w:bidi="ar-JO"/>
        </w:rPr>
        <w:t>،</w:t>
      </w:r>
      <w:r w:rsidR="00182D36" w:rsidRPr="002273BC">
        <w:rPr>
          <w:rFonts w:ascii="Arabic Transparent" w:hAnsi="Arabic Transparent" w:cs="Arabic Transparent" w:hint="cs"/>
          <w:sz w:val="24"/>
          <w:szCs w:val="24"/>
          <w:rtl/>
          <w:lang w:bidi="ar-JO"/>
        </w:rPr>
        <w:t xml:space="preserve"> ط1، ص34</w:t>
      </w:r>
      <w:r w:rsidRPr="002273BC">
        <w:rPr>
          <w:rFonts w:ascii="Arabic Transparent" w:hAnsi="Arabic Transparent" w:cs="Arabic Transparent" w:hint="cs"/>
          <w:sz w:val="24"/>
          <w:szCs w:val="24"/>
          <w:rtl/>
          <w:lang w:bidi="ar-JO"/>
        </w:rPr>
        <w:t xml:space="preserve"> الملتقى الدولي الرابع صناعة الفتوى في ظل التحديات المعاصرة، السعودية.</w:t>
      </w:r>
    </w:p>
  </w:footnote>
  <w:footnote w:id="186">
    <w:p w14:paraId="3DBC934D" w14:textId="2AC7FA7B" w:rsidR="00925CED" w:rsidRPr="002273BC" w:rsidRDefault="00925CE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00FF4EE2">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الأزهري، محمد بن أحمد بن الأزهري الهروي، أبو منصور، (2001م)، </w:t>
      </w:r>
      <w:r w:rsidRPr="002273BC">
        <w:rPr>
          <w:rFonts w:ascii="Arabic Transparent" w:hAnsi="Arabic Transparent" w:cs="Arabic Transparent" w:hint="cs"/>
          <w:b/>
          <w:bCs/>
          <w:sz w:val="24"/>
          <w:szCs w:val="24"/>
          <w:rtl/>
          <w:lang w:bidi="ar-JO"/>
        </w:rPr>
        <w:t>تهذيب اللغة</w:t>
      </w:r>
      <w:r w:rsidRPr="002273BC">
        <w:rPr>
          <w:rFonts w:ascii="Arabic Transparent" w:hAnsi="Arabic Transparent" w:cs="Arabic Transparent" w:hint="cs"/>
          <w:sz w:val="24"/>
          <w:szCs w:val="24"/>
          <w:rtl/>
          <w:lang w:bidi="ar-JO"/>
        </w:rPr>
        <w:t xml:space="preserve">، تحقيق: محمد عوض مرعب، ط1، ج14، ص235، دار إحياء التراث العربي، بيروت، وانظر: </w:t>
      </w:r>
      <w:r w:rsidRPr="002273BC">
        <w:rPr>
          <w:rFonts w:ascii="Arabic Transparent" w:hAnsi="Arabic Transparent" w:cs="Arabic Transparent" w:hint="cs"/>
          <w:sz w:val="24"/>
          <w:szCs w:val="24"/>
          <w:rtl/>
        </w:rPr>
        <w:t xml:space="preserve">الرازي، </w:t>
      </w:r>
      <w:bookmarkStart w:id="3" w:name="_Hlk210021685"/>
      <w:r w:rsidRPr="002273BC">
        <w:rPr>
          <w:rFonts w:ascii="Arabic Transparent" w:hAnsi="Arabic Transparent" w:cs="Arabic Transparent" w:hint="cs"/>
          <w:b/>
          <w:bCs/>
          <w:sz w:val="24"/>
          <w:szCs w:val="24"/>
          <w:rtl/>
        </w:rPr>
        <w:t>مختار الصحاح</w:t>
      </w:r>
      <w:r w:rsidRPr="002273BC">
        <w:rPr>
          <w:rFonts w:ascii="Arabic Transparent" w:hAnsi="Arabic Transparent" w:cs="Arabic Transparent" w:hint="cs"/>
          <w:sz w:val="24"/>
          <w:szCs w:val="24"/>
          <w:rtl/>
        </w:rPr>
        <w:t>، مصدر سابق،</w:t>
      </w:r>
      <w:bookmarkEnd w:id="3"/>
      <w:r w:rsidRPr="002273BC">
        <w:rPr>
          <w:rFonts w:ascii="Arabic Transparent" w:hAnsi="Arabic Transparent" w:cs="Arabic Transparent" w:hint="cs"/>
          <w:sz w:val="24"/>
          <w:szCs w:val="24"/>
          <w:rtl/>
        </w:rPr>
        <w:t xml:space="preserve"> ص244</w:t>
      </w:r>
      <w:bookmarkStart w:id="4" w:name="_Hlk210021705"/>
      <w:r w:rsidRPr="002273BC">
        <w:rPr>
          <w:rFonts w:ascii="Arabic Transparent" w:hAnsi="Arabic Transparent" w:cs="Arabic Transparent" w:hint="cs"/>
          <w:sz w:val="24"/>
          <w:szCs w:val="24"/>
          <w:rtl/>
        </w:rPr>
        <w:t>.</w:t>
      </w:r>
    </w:p>
    <w:bookmarkEnd w:id="4"/>
  </w:footnote>
  <w:footnote w:id="187">
    <w:p w14:paraId="066BBFE0" w14:textId="77777777" w:rsidR="00925CED" w:rsidRPr="002273BC" w:rsidRDefault="00925CED" w:rsidP="00EA3738">
      <w:pPr>
        <w:pStyle w:val="FootnoteText"/>
        <w:spacing w:line="360" w:lineRule="auto"/>
        <w:jc w:val="both"/>
        <w:rPr>
          <w:rFonts w:ascii="Arabic Transparent" w:hAnsi="Arabic Transparent" w:cs="Arabic Transparent"/>
          <w:sz w:val="24"/>
          <w:szCs w:val="24"/>
          <w:rtl/>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bookmarkStart w:id="5" w:name="_Hlk210021870"/>
      <w:r w:rsidRPr="002273BC">
        <w:rPr>
          <w:rFonts w:ascii="Arabic Transparent" w:hAnsi="Arabic Transparent" w:cs="Arabic Transparent" w:hint="cs"/>
          <w:sz w:val="24"/>
          <w:szCs w:val="24"/>
          <w:rtl/>
        </w:rPr>
        <w:t xml:space="preserve">ابن منظور، </w:t>
      </w:r>
      <w:r w:rsidRPr="002273BC">
        <w:rPr>
          <w:rFonts w:ascii="Arabic Transparent" w:hAnsi="Arabic Transparent" w:cs="Arabic Transparent" w:hint="cs"/>
          <w:b/>
          <w:bCs/>
          <w:sz w:val="24"/>
          <w:szCs w:val="24"/>
          <w:rtl/>
        </w:rPr>
        <w:t>لسان العرب</w:t>
      </w:r>
      <w:r w:rsidRPr="002273BC">
        <w:rPr>
          <w:rFonts w:ascii="Arabic Transparent" w:hAnsi="Arabic Transparent" w:cs="Arabic Transparent" w:hint="cs"/>
          <w:sz w:val="24"/>
          <w:szCs w:val="24"/>
          <w:rtl/>
        </w:rPr>
        <w:t xml:space="preserve">، </w:t>
      </w:r>
      <w:bookmarkEnd w:id="5"/>
      <w:r w:rsidRPr="002273BC">
        <w:rPr>
          <w:rFonts w:ascii="Arabic Transparent" w:hAnsi="Arabic Transparent" w:cs="Arabic Transparent" w:hint="cs"/>
          <w:sz w:val="24"/>
          <w:szCs w:val="24"/>
          <w:rtl/>
        </w:rPr>
        <w:t xml:space="preserve">مصدر سابق، ج2، ص69، الأندلسي، أبو حيان محمد بن يوسف بن علي بن يوسف بن حيان، (1983م)، </w:t>
      </w:r>
      <w:r w:rsidRPr="002273BC">
        <w:rPr>
          <w:rFonts w:ascii="Arabic Transparent" w:hAnsi="Arabic Transparent" w:cs="Arabic Transparent" w:hint="cs"/>
          <w:b/>
          <w:bCs/>
          <w:sz w:val="24"/>
          <w:szCs w:val="24"/>
          <w:rtl/>
        </w:rPr>
        <w:t>تحفة الأريب بما في القرآن من الغريب</w:t>
      </w:r>
      <w:r w:rsidRPr="002273BC">
        <w:rPr>
          <w:rFonts w:ascii="Arabic Transparent" w:hAnsi="Arabic Transparent" w:cs="Arabic Transparent" w:hint="cs"/>
          <w:sz w:val="24"/>
          <w:szCs w:val="24"/>
          <w:rtl/>
        </w:rPr>
        <w:t>، تحقيق: سمير المجذوب، ط1، ص243، المكتب الإسلامي، بيروت.</w:t>
      </w:r>
    </w:p>
  </w:footnote>
  <w:footnote w:id="188">
    <w:p w14:paraId="6EACB21D" w14:textId="0EFE2395" w:rsidR="00925CED" w:rsidRPr="002273BC" w:rsidRDefault="00925CE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الفيروزآبادي، مجد الدين أبو طاهر محمد بن يعقوب، </w:t>
      </w:r>
      <w:r w:rsidRPr="002273BC">
        <w:rPr>
          <w:rFonts w:ascii="Arabic Transparent" w:hAnsi="Arabic Transparent" w:cs="Arabic Transparent" w:hint="cs"/>
          <w:sz w:val="24"/>
          <w:szCs w:val="24"/>
          <w:lang w:bidi="ar-JO"/>
        </w:rPr>
        <w:t>(2005)</w:t>
      </w:r>
      <w:r w:rsidR="005D7B91"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b/>
          <w:bCs/>
          <w:sz w:val="24"/>
          <w:szCs w:val="24"/>
          <w:rtl/>
        </w:rPr>
        <w:t>القاموس المحيط</w:t>
      </w:r>
      <w:r w:rsidRPr="002273BC">
        <w:rPr>
          <w:rFonts w:ascii="Arabic Transparent" w:hAnsi="Arabic Transparent" w:cs="Arabic Transparent" w:hint="cs"/>
          <w:sz w:val="24"/>
          <w:szCs w:val="24"/>
          <w:rtl/>
        </w:rPr>
        <w:t xml:space="preserve">، تحقيق: مكتب تحقيق التراث في مؤسسة الرسالة، بإشراف محمد نعيم العرقسوسي، ط8، </w:t>
      </w:r>
      <w:r w:rsidRPr="002273BC">
        <w:rPr>
          <w:rFonts w:ascii="Arabic Transparent" w:hAnsi="Arabic Transparent" w:cs="Arabic Transparent" w:hint="cs"/>
          <w:sz w:val="24"/>
          <w:szCs w:val="24"/>
          <w:rtl/>
          <w:lang w:bidi="ar-JO"/>
        </w:rPr>
        <w:t xml:space="preserve">ص157، </w:t>
      </w:r>
      <w:r w:rsidRPr="002273BC">
        <w:rPr>
          <w:rFonts w:ascii="Arabic Transparent" w:hAnsi="Arabic Transparent" w:cs="Arabic Transparent" w:hint="cs"/>
          <w:sz w:val="24"/>
          <w:szCs w:val="24"/>
          <w:rtl/>
        </w:rPr>
        <w:t>مؤسسة الرسالة للطباعة والنشر والتوزيع، بيروت</w:t>
      </w:r>
      <w:r w:rsidRPr="002273BC">
        <w:rPr>
          <w:rFonts w:ascii="Arabic Transparent" w:hAnsi="Arabic Transparent" w:cs="Arabic Transparent" w:hint="cs"/>
          <w:sz w:val="24"/>
          <w:szCs w:val="24"/>
          <w:lang w:bidi="ar-JO"/>
        </w:rPr>
        <w:t>.</w:t>
      </w:r>
    </w:p>
  </w:footnote>
  <w:footnote w:id="189">
    <w:p w14:paraId="7239F626" w14:textId="77777777" w:rsidR="00925CED" w:rsidRPr="002273BC" w:rsidRDefault="00925CE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bookmarkStart w:id="6" w:name="_Hlk210022187"/>
      <w:r w:rsidRPr="002273BC">
        <w:rPr>
          <w:rFonts w:ascii="Arabic Transparent" w:hAnsi="Arabic Transparent" w:cs="Arabic Transparent" w:hint="cs"/>
          <w:sz w:val="24"/>
          <w:szCs w:val="24"/>
          <w:rtl/>
        </w:rPr>
        <w:t xml:space="preserve">البركتي، </w:t>
      </w:r>
      <w:r w:rsidRPr="002273BC">
        <w:rPr>
          <w:rFonts w:ascii="Arabic Transparent" w:hAnsi="Arabic Transparent" w:cs="Arabic Transparent" w:hint="cs"/>
          <w:b/>
          <w:bCs/>
          <w:sz w:val="24"/>
          <w:szCs w:val="24"/>
          <w:rtl/>
        </w:rPr>
        <w:t>التعريفات الفقهية</w:t>
      </w:r>
      <w:r w:rsidRPr="002273BC">
        <w:rPr>
          <w:rFonts w:ascii="Arabic Transparent" w:hAnsi="Arabic Transparent" w:cs="Arabic Transparent" w:hint="cs"/>
          <w:sz w:val="24"/>
          <w:szCs w:val="24"/>
          <w:rtl/>
        </w:rPr>
        <w:t xml:space="preserve">، </w:t>
      </w:r>
      <w:bookmarkEnd w:id="6"/>
      <w:r w:rsidRPr="002273BC">
        <w:rPr>
          <w:rFonts w:ascii="Arabic Transparent" w:hAnsi="Arabic Transparent" w:cs="Arabic Transparent" w:hint="cs"/>
          <w:sz w:val="24"/>
          <w:szCs w:val="24"/>
          <w:rtl/>
        </w:rPr>
        <w:t xml:space="preserve">مصدر سابق، ص194، </w:t>
      </w:r>
      <w:r w:rsidRPr="002273BC">
        <w:rPr>
          <w:rFonts w:ascii="Arabic Transparent" w:hAnsi="Arabic Transparent" w:cs="Arabic Transparent" w:hint="cs"/>
          <w:sz w:val="24"/>
          <w:szCs w:val="24"/>
          <w:rtl/>
          <w:lang w:bidi="ar-JO"/>
        </w:rPr>
        <w:t>وعكسه ‌‌المِثْلي: ما يُوجد مثله في السوق بدون ‌تفاوت يُعتدُّ به.</w:t>
      </w:r>
    </w:p>
  </w:footnote>
  <w:footnote w:id="190">
    <w:p w14:paraId="34A4F422" w14:textId="77777777" w:rsidR="00925CED" w:rsidRPr="002273BC" w:rsidRDefault="00925CE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مجموعة من المؤلفين،</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b/>
          <w:bCs/>
          <w:sz w:val="24"/>
          <w:szCs w:val="24"/>
          <w:rtl/>
        </w:rPr>
        <w:t>المعجم الوسيط،</w:t>
      </w:r>
      <w:r w:rsidRPr="002273BC">
        <w:rPr>
          <w:rFonts w:ascii="Arabic Transparent" w:hAnsi="Arabic Transparent" w:cs="Arabic Transparent" w:hint="cs"/>
          <w:sz w:val="24"/>
          <w:szCs w:val="24"/>
          <w:rtl/>
        </w:rPr>
        <w:t xml:space="preserve"> مصدر سابق، ج2، ص705.</w:t>
      </w:r>
    </w:p>
  </w:footnote>
  <w:footnote w:id="191">
    <w:p w14:paraId="37369E95" w14:textId="77777777" w:rsidR="00925CED" w:rsidRPr="002273BC" w:rsidRDefault="00925CE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انظر: الحميري، نشوان بن سعيد، (1999)، </w:t>
      </w:r>
      <w:r w:rsidRPr="002273BC">
        <w:rPr>
          <w:rFonts w:ascii="Arabic Transparent" w:hAnsi="Arabic Transparent" w:cs="Arabic Transparent" w:hint="cs"/>
          <w:b/>
          <w:bCs/>
          <w:sz w:val="24"/>
          <w:szCs w:val="24"/>
          <w:rtl/>
          <w:lang w:bidi="ar-JO"/>
        </w:rPr>
        <w:t>شمس العلوم ودواء كلام العرب من الكلوم</w:t>
      </w:r>
      <w:r w:rsidRPr="002273BC">
        <w:rPr>
          <w:rFonts w:ascii="Arabic Transparent" w:hAnsi="Arabic Transparent" w:cs="Arabic Transparent" w:hint="cs"/>
          <w:sz w:val="24"/>
          <w:szCs w:val="24"/>
          <w:rtl/>
          <w:lang w:bidi="ar-JO"/>
        </w:rPr>
        <w:t xml:space="preserve">، تحقيق: حسين بن عبدالله العمري وآخرون، ط1، ج1، ص655، دار الفكر المعاصر، بيروت. </w:t>
      </w:r>
    </w:p>
  </w:footnote>
  <w:footnote w:id="192">
    <w:p w14:paraId="456E98FD" w14:textId="77777777" w:rsidR="00925CED" w:rsidRPr="002273BC" w:rsidRDefault="00925CE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جذرها (َبَوَنَ) ويدل على التباعد والتفارق، والتفاوت، انظر: الجرجاني، </w:t>
      </w:r>
      <w:r w:rsidRPr="002273BC">
        <w:rPr>
          <w:rFonts w:ascii="Arabic Transparent" w:hAnsi="Arabic Transparent" w:cs="Arabic Transparent" w:hint="cs"/>
          <w:b/>
          <w:bCs/>
          <w:sz w:val="24"/>
          <w:szCs w:val="24"/>
          <w:rtl/>
          <w:lang w:bidi="ar-JO"/>
        </w:rPr>
        <w:t>التعريفات</w:t>
      </w:r>
      <w:r w:rsidRPr="002273BC">
        <w:rPr>
          <w:rFonts w:ascii="Arabic Transparent" w:hAnsi="Arabic Transparent" w:cs="Arabic Transparent" w:hint="cs"/>
          <w:sz w:val="24"/>
          <w:szCs w:val="24"/>
          <w:rtl/>
          <w:lang w:bidi="ar-JO"/>
        </w:rPr>
        <w:t xml:space="preserve">، مصدر سابق، ص51. </w:t>
      </w:r>
    </w:p>
  </w:footnote>
  <w:footnote w:id="193">
    <w:p w14:paraId="3EEFFA1A" w14:textId="6298E4B0" w:rsidR="00925CED" w:rsidRPr="002273BC" w:rsidRDefault="00925CE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المناوي، عبدالرؤوف بن تاج العارفين، (1990م)، </w:t>
      </w:r>
      <w:r w:rsidRPr="002273BC">
        <w:rPr>
          <w:rFonts w:ascii="Arabic Transparent" w:hAnsi="Arabic Transparent" w:cs="Arabic Transparent" w:hint="cs"/>
          <w:b/>
          <w:bCs/>
          <w:sz w:val="24"/>
          <w:szCs w:val="24"/>
          <w:rtl/>
          <w:lang w:bidi="ar-JO"/>
        </w:rPr>
        <w:t>التوقيف على مهمات التعاريف،</w:t>
      </w:r>
      <w:r w:rsidRPr="002273BC">
        <w:rPr>
          <w:rFonts w:ascii="Arabic Transparent" w:hAnsi="Arabic Transparent" w:cs="Arabic Transparent" w:hint="cs"/>
          <w:sz w:val="24"/>
          <w:szCs w:val="24"/>
          <w:rtl/>
          <w:lang w:bidi="ar-JO"/>
        </w:rPr>
        <w:t xml:space="preserve"> ط1،</w:t>
      </w:r>
      <w:r w:rsidR="00135610">
        <w:rPr>
          <w:rFonts w:ascii="Arabic Transparent" w:hAnsi="Arabic Transparent" w:cs="Arabic Transparent" w:hint="cs"/>
          <w:sz w:val="24"/>
          <w:szCs w:val="24"/>
          <w:rtl/>
          <w:lang w:bidi="ar-JO"/>
        </w:rPr>
        <w:t>ص103،</w:t>
      </w:r>
      <w:r w:rsidRPr="002273BC">
        <w:rPr>
          <w:rFonts w:ascii="Arabic Transparent" w:hAnsi="Arabic Transparent" w:cs="Arabic Transparent" w:hint="cs"/>
          <w:sz w:val="24"/>
          <w:szCs w:val="24"/>
          <w:rtl/>
          <w:lang w:bidi="ar-JO"/>
        </w:rPr>
        <w:t xml:space="preserve"> دار الفكر، القاهرة، و</w:t>
      </w:r>
      <w:r w:rsidRPr="002273BC">
        <w:rPr>
          <w:rFonts w:ascii="Arabic Transparent" w:hAnsi="Arabic Transparent" w:cs="Arabic Transparent" w:hint="eastAsia"/>
          <w:sz w:val="24"/>
          <w:szCs w:val="24"/>
          <w:rtl/>
          <w:lang w:bidi="ar-JO"/>
        </w:rPr>
        <w:t>الأصفهاني،</w:t>
      </w:r>
      <w:r w:rsidRPr="002273BC">
        <w:rPr>
          <w:rFonts w:ascii="Arabic Transparent" w:hAnsi="Arabic Transparent" w:cs="Arabic Transparent"/>
          <w:sz w:val="24"/>
          <w:szCs w:val="24"/>
          <w:rtl/>
          <w:lang w:bidi="ar-JO"/>
        </w:rPr>
        <w:t xml:space="preserve"> </w:t>
      </w:r>
      <w:r w:rsidRPr="002273BC">
        <w:rPr>
          <w:rFonts w:ascii="Arabic Transparent" w:hAnsi="Arabic Transparent" w:cs="Arabic Transparent" w:hint="eastAsia"/>
          <w:sz w:val="24"/>
          <w:szCs w:val="24"/>
          <w:rtl/>
          <w:lang w:bidi="ar-JO"/>
        </w:rPr>
        <w:t>الحسن</w:t>
      </w:r>
      <w:r w:rsidRPr="002273BC">
        <w:rPr>
          <w:rFonts w:ascii="Arabic Transparent" w:hAnsi="Arabic Transparent" w:cs="Arabic Transparent"/>
          <w:sz w:val="24"/>
          <w:szCs w:val="24"/>
          <w:rtl/>
          <w:lang w:bidi="ar-JO"/>
        </w:rPr>
        <w:t xml:space="preserve"> </w:t>
      </w:r>
      <w:r w:rsidRPr="002273BC">
        <w:rPr>
          <w:rFonts w:ascii="Arabic Transparent" w:hAnsi="Arabic Transparent" w:cs="Arabic Transparent" w:hint="eastAsia"/>
          <w:sz w:val="24"/>
          <w:szCs w:val="24"/>
          <w:rtl/>
          <w:lang w:bidi="ar-JO"/>
        </w:rPr>
        <w:t>بن</w:t>
      </w:r>
      <w:r w:rsidRPr="002273BC">
        <w:rPr>
          <w:rFonts w:ascii="Arabic Transparent" w:hAnsi="Arabic Transparent" w:cs="Arabic Transparent"/>
          <w:sz w:val="24"/>
          <w:szCs w:val="24"/>
          <w:rtl/>
          <w:lang w:bidi="ar-JO"/>
        </w:rPr>
        <w:t xml:space="preserve"> </w:t>
      </w:r>
      <w:r w:rsidRPr="002273BC">
        <w:rPr>
          <w:rFonts w:ascii="Arabic Transparent" w:hAnsi="Arabic Transparent" w:cs="Arabic Transparent" w:hint="eastAsia"/>
          <w:sz w:val="24"/>
          <w:szCs w:val="24"/>
          <w:rtl/>
          <w:lang w:bidi="ar-JO"/>
        </w:rPr>
        <w:t>محمد</w:t>
      </w:r>
      <w:r w:rsidRPr="002273BC">
        <w:rPr>
          <w:rFonts w:ascii="Arabic Transparent" w:hAnsi="Arabic Transparent" w:cs="Arabic Transparent"/>
          <w:sz w:val="24"/>
          <w:szCs w:val="24"/>
          <w:rtl/>
          <w:lang w:bidi="ar-JO"/>
        </w:rPr>
        <w:t xml:space="preserve"> </w:t>
      </w:r>
      <w:r w:rsidRPr="002273BC">
        <w:rPr>
          <w:rFonts w:ascii="Arabic Transparent" w:hAnsi="Arabic Transparent" w:cs="Arabic Transparent" w:hint="eastAsia"/>
          <w:sz w:val="24"/>
          <w:szCs w:val="24"/>
          <w:rtl/>
          <w:lang w:bidi="ar-JO"/>
        </w:rPr>
        <w:t>الراغب،</w:t>
      </w:r>
      <w:r w:rsidRPr="002273BC">
        <w:rPr>
          <w:rFonts w:ascii="Arabic Transparent" w:hAnsi="Arabic Transparent" w:cs="Arabic Transparent"/>
          <w:sz w:val="24"/>
          <w:szCs w:val="24"/>
          <w:rtl/>
          <w:lang w:bidi="ar-JO"/>
        </w:rPr>
        <w:t xml:space="preserve"> (</w:t>
      </w:r>
      <w:r w:rsidR="00AB0CAA">
        <w:rPr>
          <w:rFonts w:ascii="Arabic Transparent" w:hAnsi="Arabic Transparent" w:cs="Arabic Transparent" w:hint="cs"/>
          <w:sz w:val="24"/>
          <w:szCs w:val="24"/>
          <w:rtl/>
          <w:lang w:bidi="ar-JO"/>
        </w:rPr>
        <w:t>2008</w:t>
      </w:r>
      <w:r w:rsidRPr="002273BC">
        <w:rPr>
          <w:rFonts w:ascii="Arabic Transparent" w:hAnsi="Arabic Transparent" w:cs="Arabic Transparent"/>
          <w:sz w:val="24"/>
          <w:szCs w:val="24"/>
          <w:rtl/>
          <w:lang w:bidi="ar-JO"/>
        </w:rPr>
        <w:t xml:space="preserve">) </w:t>
      </w:r>
      <w:r w:rsidRPr="002273BC">
        <w:rPr>
          <w:rFonts w:ascii="Arabic Transparent" w:hAnsi="Arabic Transparent" w:cs="Arabic Transparent" w:hint="eastAsia"/>
          <w:b/>
          <w:bCs/>
          <w:sz w:val="24"/>
          <w:szCs w:val="24"/>
          <w:rtl/>
          <w:lang w:bidi="ar-JO"/>
        </w:rPr>
        <w:t>مفردات</w:t>
      </w:r>
      <w:r w:rsidRPr="002273BC">
        <w:rPr>
          <w:rFonts w:ascii="Arabic Transparent" w:hAnsi="Arabic Transparent" w:cs="Arabic Transparent"/>
          <w:b/>
          <w:bCs/>
          <w:sz w:val="24"/>
          <w:szCs w:val="24"/>
          <w:rtl/>
          <w:lang w:bidi="ar-JO"/>
        </w:rPr>
        <w:t xml:space="preserve"> </w:t>
      </w:r>
      <w:r w:rsidRPr="002273BC">
        <w:rPr>
          <w:rFonts w:ascii="Arabic Transparent" w:hAnsi="Arabic Transparent" w:cs="Arabic Transparent" w:hint="eastAsia"/>
          <w:b/>
          <w:bCs/>
          <w:sz w:val="24"/>
          <w:szCs w:val="24"/>
          <w:rtl/>
          <w:lang w:bidi="ar-JO"/>
        </w:rPr>
        <w:t>ألفاظ</w:t>
      </w:r>
      <w:r w:rsidRPr="002273BC">
        <w:rPr>
          <w:rFonts w:ascii="Arabic Transparent" w:hAnsi="Arabic Transparent" w:cs="Arabic Transparent"/>
          <w:b/>
          <w:bCs/>
          <w:sz w:val="24"/>
          <w:szCs w:val="24"/>
          <w:rtl/>
          <w:lang w:bidi="ar-JO"/>
        </w:rPr>
        <w:t xml:space="preserve"> </w:t>
      </w:r>
      <w:r w:rsidRPr="002273BC">
        <w:rPr>
          <w:rFonts w:ascii="Arabic Transparent" w:hAnsi="Arabic Transparent" w:cs="Arabic Transparent" w:hint="eastAsia"/>
          <w:b/>
          <w:bCs/>
          <w:sz w:val="24"/>
          <w:szCs w:val="24"/>
          <w:rtl/>
          <w:lang w:bidi="ar-JO"/>
        </w:rPr>
        <w:t>القرآن</w:t>
      </w:r>
      <w:r w:rsidRPr="002273BC">
        <w:rPr>
          <w:rFonts w:ascii="Arabic Transparent" w:hAnsi="Arabic Transparent" w:cs="Arabic Transparent" w:hint="eastAsia"/>
          <w:sz w:val="24"/>
          <w:szCs w:val="24"/>
          <w:rtl/>
          <w:lang w:bidi="ar-JO"/>
        </w:rPr>
        <w:t>،</w:t>
      </w:r>
      <w:r w:rsidRPr="002273BC">
        <w:rPr>
          <w:rFonts w:ascii="Arabic Transparent" w:hAnsi="Arabic Transparent" w:cs="Arabic Transparent"/>
          <w:sz w:val="24"/>
          <w:szCs w:val="24"/>
          <w:rtl/>
          <w:lang w:bidi="ar-JO"/>
        </w:rPr>
        <w:t xml:space="preserve"> </w:t>
      </w:r>
      <w:r w:rsidRPr="002273BC">
        <w:rPr>
          <w:rFonts w:ascii="Arabic Transparent" w:hAnsi="Arabic Transparent" w:cs="Arabic Transparent" w:hint="eastAsia"/>
          <w:sz w:val="24"/>
          <w:szCs w:val="24"/>
          <w:rtl/>
          <w:lang w:bidi="ar-JO"/>
        </w:rPr>
        <w:t>تحقيق</w:t>
      </w:r>
      <w:r w:rsidRPr="002273BC">
        <w:rPr>
          <w:rFonts w:ascii="Arabic Transparent" w:hAnsi="Arabic Transparent" w:cs="Arabic Transparent"/>
          <w:sz w:val="24"/>
          <w:szCs w:val="24"/>
          <w:rtl/>
          <w:lang w:bidi="ar-JO"/>
        </w:rPr>
        <w:t xml:space="preserve">: </w:t>
      </w:r>
      <w:r w:rsidRPr="002273BC">
        <w:rPr>
          <w:rFonts w:ascii="Arabic Transparent" w:hAnsi="Arabic Transparent" w:cs="Arabic Transparent" w:hint="eastAsia"/>
          <w:sz w:val="24"/>
          <w:szCs w:val="24"/>
          <w:rtl/>
          <w:lang w:bidi="ar-JO"/>
        </w:rPr>
        <w:t>صفوان</w:t>
      </w:r>
      <w:r w:rsidRPr="002273BC">
        <w:rPr>
          <w:rFonts w:ascii="Arabic Transparent" w:hAnsi="Arabic Transparent" w:cs="Arabic Transparent"/>
          <w:sz w:val="24"/>
          <w:szCs w:val="24"/>
          <w:rtl/>
          <w:lang w:bidi="ar-JO"/>
        </w:rPr>
        <w:t xml:space="preserve"> </w:t>
      </w:r>
      <w:r w:rsidRPr="002273BC">
        <w:rPr>
          <w:rFonts w:ascii="Arabic Transparent" w:hAnsi="Arabic Transparent" w:cs="Arabic Transparent" w:hint="eastAsia"/>
          <w:sz w:val="24"/>
          <w:szCs w:val="24"/>
          <w:rtl/>
          <w:lang w:bidi="ar-JO"/>
        </w:rPr>
        <w:t>عدنان،</w:t>
      </w:r>
      <w:r w:rsidRPr="002273BC">
        <w:rPr>
          <w:rFonts w:ascii="Arabic Transparent" w:hAnsi="Arabic Transparent" w:cs="Arabic Transparent"/>
          <w:sz w:val="24"/>
          <w:szCs w:val="24"/>
          <w:rtl/>
          <w:lang w:bidi="ar-JO"/>
        </w:rPr>
        <w:t xml:space="preserve"> </w:t>
      </w:r>
      <w:r w:rsidRPr="002273BC">
        <w:rPr>
          <w:rFonts w:ascii="Arabic Transparent" w:hAnsi="Arabic Transparent" w:cs="Arabic Transparent" w:hint="eastAsia"/>
          <w:sz w:val="24"/>
          <w:szCs w:val="24"/>
          <w:rtl/>
          <w:lang w:bidi="ar-JO"/>
        </w:rPr>
        <w:t>ط</w:t>
      </w:r>
      <w:r w:rsidRPr="002273BC">
        <w:rPr>
          <w:rFonts w:ascii="Arabic Transparent" w:hAnsi="Arabic Transparent" w:cs="Arabic Transparent"/>
          <w:sz w:val="24"/>
          <w:szCs w:val="24"/>
          <w:rtl/>
          <w:lang w:bidi="ar-JO"/>
        </w:rPr>
        <w:t>4</w:t>
      </w:r>
      <w:r w:rsidRPr="002273BC">
        <w:rPr>
          <w:rFonts w:ascii="Arabic Transparent" w:hAnsi="Arabic Transparent" w:cs="Arabic Transparent" w:hint="eastAsia"/>
          <w:sz w:val="24"/>
          <w:szCs w:val="24"/>
          <w:rtl/>
          <w:lang w:bidi="ar-JO"/>
        </w:rPr>
        <w:t>،</w:t>
      </w:r>
      <w:r w:rsidR="00FF4EE2">
        <w:rPr>
          <w:rFonts w:ascii="Arabic Transparent" w:hAnsi="Arabic Transparent" w:cs="Arabic Transparent" w:hint="cs"/>
          <w:sz w:val="24"/>
          <w:szCs w:val="24"/>
          <w:rtl/>
          <w:lang w:bidi="ar-JO"/>
        </w:rPr>
        <w:t xml:space="preserve"> ص122،</w:t>
      </w:r>
      <w:r w:rsidRPr="002273BC">
        <w:rPr>
          <w:rFonts w:ascii="Arabic Transparent" w:hAnsi="Arabic Transparent" w:cs="Arabic Transparent"/>
          <w:sz w:val="24"/>
          <w:szCs w:val="24"/>
          <w:rtl/>
          <w:lang w:bidi="ar-JO"/>
        </w:rPr>
        <w:t xml:space="preserve"> </w:t>
      </w:r>
      <w:r w:rsidRPr="002273BC">
        <w:rPr>
          <w:rFonts w:ascii="Arabic Transparent" w:hAnsi="Arabic Transparent" w:cs="Arabic Transparent" w:hint="eastAsia"/>
          <w:sz w:val="24"/>
          <w:szCs w:val="24"/>
          <w:rtl/>
          <w:lang w:bidi="ar-JO"/>
        </w:rPr>
        <w:t>دار</w:t>
      </w:r>
      <w:r w:rsidRPr="002273BC">
        <w:rPr>
          <w:rFonts w:ascii="Arabic Transparent" w:hAnsi="Arabic Transparent" w:cs="Arabic Transparent"/>
          <w:sz w:val="24"/>
          <w:szCs w:val="24"/>
          <w:rtl/>
          <w:lang w:bidi="ar-JO"/>
        </w:rPr>
        <w:t xml:space="preserve"> </w:t>
      </w:r>
      <w:r w:rsidRPr="002273BC">
        <w:rPr>
          <w:rFonts w:ascii="Arabic Transparent" w:hAnsi="Arabic Transparent" w:cs="Arabic Transparent" w:hint="eastAsia"/>
          <w:sz w:val="24"/>
          <w:szCs w:val="24"/>
          <w:rtl/>
          <w:lang w:bidi="ar-JO"/>
        </w:rPr>
        <w:t>القلم</w:t>
      </w:r>
      <w:r w:rsidRPr="002273BC">
        <w:rPr>
          <w:rFonts w:ascii="Arabic Transparent" w:hAnsi="Arabic Transparent" w:cs="Arabic Transparent"/>
          <w:sz w:val="24"/>
          <w:szCs w:val="24"/>
          <w:rtl/>
          <w:lang w:bidi="ar-JO"/>
        </w:rPr>
        <w:t xml:space="preserve"> </w:t>
      </w:r>
      <w:r w:rsidRPr="002273BC">
        <w:rPr>
          <w:rFonts w:ascii="Arabic Transparent" w:hAnsi="Arabic Transparent" w:cs="Arabic Transparent" w:hint="eastAsia"/>
          <w:sz w:val="24"/>
          <w:szCs w:val="24"/>
          <w:rtl/>
          <w:lang w:bidi="ar-JO"/>
        </w:rPr>
        <w:t>دمشق</w:t>
      </w:r>
      <w:r w:rsidRPr="002273BC">
        <w:rPr>
          <w:rFonts w:ascii="Arabic Transparent" w:hAnsi="Arabic Transparent" w:cs="Arabic Transparent"/>
          <w:sz w:val="24"/>
          <w:szCs w:val="24"/>
          <w:rtl/>
          <w:lang w:bidi="ar-JO"/>
        </w:rPr>
        <w:t>.</w:t>
      </w:r>
    </w:p>
  </w:footnote>
  <w:footnote w:id="194">
    <w:p w14:paraId="175A8945" w14:textId="77777777" w:rsidR="00925CED" w:rsidRPr="002273BC" w:rsidRDefault="00925CE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bookmarkStart w:id="7" w:name="_Hlk210022502"/>
      <w:r w:rsidRPr="002273BC">
        <w:rPr>
          <w:rFonts w:ascii="Arabic Transparent" w:hAnsi="Arabic Transparent" w:cs="Arabic Transparent" w:hint="cs"/>
          <w:sz w:val="24"/>
          <w:szCs w:val="24"/>
          <w:rtl/>
          <w:lang w:bidi="ar-JO"/>
        </w:rPr>
        <w:t xml:space="preserve">قلعجي، </w:t>
      </w:r>
      <w:r w:rsidRPr="002273BC">
        <w:rPr>
          <w:rFonts w:ascii="Arabic Transparent" w:hAnsi="Arabic Transparent" w:cs="Arabic Transparent" w:hint="cs"/>
          <w:b/>
          <w:bCs/>
          <w:sz w:val="24"/>
          <w:szCs w:val="24"/>
          <w:rtl/>
          <w:lang w:bidi="ar-JO"/>
        </w:rPr>
        <w:t>معجم لغة الفقهاء</w:t>
      </w:r>
      <w:r w:rsidRPr="002273BC">
        <w:rPr>
          <w:rFonts w:ascii="Arabic Transparent" w:hAnsi="Arabic Transparent" w:cs="Arabic Transparent" w:hint="cs"/>
          <w:sz w:val="24"/>
          <w:szCs w:val="24"/>
          <w:rtl/>
          <w:lang w:bidi="ar-JO"/>
        </w:rPr>
        <w:t>، مصدر سابق، ص138.</w:t>
      </w:r>
    </w:p>
    <w:bookmarkEnd w:id="7"/>
  </w:footnote>
  <w:footnote w:id="195">
    <w:p w14:paraId="0750DD08" w14:textId="315C1BAC" w:rsidR="00925CED" w:rsidRPr="002273BC" w:rsidRDefault="00925CE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bookmarkStart w:id="8" w:name="_Hlk210022073"/>
      <w:r w:rsidRPr="002273BC">
        <w:rPr>
          <w:rFonts w:ascii="Arabic Transparent" w:hAnsi="Arabic Transparent" w:cs="Arabic Transparent" w:hint="cs"/>
          <w:sz w:val="24"/>
          <w:szCs w:val="24"/>
          <w:rtl/>
          <w:lang w:bidi="ar-JO"/>
        </w:rPr>
        <w:t xml:space="preserve">ابن فارس، </w:t>
      </w:r>
      <w:r w:rsidRPr="002273BC">
        <w:rPr>
          <w:rFonts w:ascii="Arabic Transparent" w:hAnsi="Arabic Transparent" w:cs="Arabic Transparent" w:hint="cs"/>
          <w:b/>
          <w:bCs/>
          <w:sz w:val="24"/>
          <w:szCs w:val="24"/>
          <w:rtl/>
          <w:lang w:bidi="ar-JO"/>
        </w:rPr>
        <w:t>معجم مقاييس اللغة</w:t>
      </w:r>
      <w:r w:rsidRPr="002273BC">
        <w:rPr>
          <w:rFonts w:ascii="Arabic Transparent" w:hAnsi="Arabic Transparent" w:cs="Arabic Transparent" w:hint="cs"/>
          <w:sz w:val="24"/>
          <w:szCs w:val="24"/>
          <w:rtl/>
          <w:lang w:bidi="ar-JO"/>
        </w:rPr>
        <w:t>،</w:t>
      </w:r>
      <w:bookmarkEnd w:id="8"/>
      <w:r w:rsidRPr="002273BC">
        <w:rPr>
          <w:rFonts w:ascii="Arabic Transparent" w:hAnsi="Arabic Transparent" w:cs="Arabic Transparent" w:hint="cs"/>
          <w:sz w:val="24"/>
          <w:szCs w:val="24"/>
          <w:rtl/>
          <w:lang w:bidi="ar-JO"/>
        </w:rPr>
        <w:t xml:space="preserve"> مصدر سابق، ج1، ص322.</w:t>
      </w:r>
    </w:p>
  </w:footnote>
  <w:footnote w:id="196">
    <w:p w14:paraId="443C41E4" w14:textId="38D8BCBF" w:rsidR="00925CED" w:rsidRPr="002273BC" w:rsidRDefault="00925CED" w:rsidP="00211C19">
      <w:pPr>
        <w:pStyle w:val="FootnoteText"/>
        <w:spacing w:line="336"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00FF4EE2">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sz w:val="24"/>
          <w:szCs w:val="24"/>
          <w:rtl/>
          <w:lang w:bidi="ar-JO"/>
        </w:rPr>
        <w:t xml:space="preserve">الزحيلي، محمد مصطفى، (2006)، </w:t>
      </w:r>
      <w:r w:rsidRPr="002273BC">
        <w:rPr>
          <w:rFonts w:ascii="Arabic Transparent" w:hAnsi="Arabic Transparent" w:cs="Arabic Transparent" w:hint="cs"/>
          <w:b/>
          <w:bCs/>
          <w:sz w:val="24"/>
          <w:szCs w:val="24"/>
          <w:rtl/>
          <w:lang w:bidi="ar-JO"/>
        </w:rPr>
        <w:t>الوجيز في أصول الفقه الإسلامي</w:t>
      </w:r>
      <w:r w:rsidRPr="002273BC">
        <w:rPr>
          <w:rFonts w:ascii="Arabic Transparent" w:hAnsi="Arabic Transparent" w:cs="Arabic Transparent" w:hint="cs"/>
          <w:sz w:val="24"/>
          <w:szCs w:val="24"/>
          <w:rtl/>
          <w:lang w:bidi="ar-JO"/>
        </w:rPr>
        <w:t>، ط2، ج2، ص403، دار الخير للطباعة والنشر والتوزيع، دمشق.</w:t>
      </w:r>
    </w:p>
  </w:footnote>
  <w:footnote w:id="197">
    <w:p w14:paraId="56B89454" w14:textId="77777777" w:rsidR="00925CED" w:rsidRPr="002273BC" w:rsidRDefault="00925CED" w:rsidP="00211C19">
      <w:pPr>
        <w:pStyle w:val="FootnoteText"/>
        <w:spacing w:line="336"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الغزالي، </w:t>
      </w:r>
      <w:r w:rsidRPr="002273BC">
        <w:rPr>
          <w:rFonts w:ascii="Arabic Transparent" w:hAnsi="Arabic Transparent" w:cs="Arabic Transparent" w:hint="cs"/>
          <w:b/>
          <w:bCs/>
          <w:sz w:val="24"/>
          <w:szCs w:val="24"/>
          <w:rtl/>
          <w:lang w:bidi="ar-JO"/>
        </w:rPr>
        <w:t xml:space="preserve">المستصفى، </w:t>
      </w:r>
      <w:r w:rsidRPr="002273BC">
        <w:rPr>
          <w:rFonts w:ascii="Arabic Transparent" w:hAnsi="Arabic Transparent" w:cs="Arabic Transparent" w:hint="cs"/>
          <w:sz w:val="24"/>
          <w:szCs w:val="24"/>
          <w:rtl/>
          <w:lang w:bidi="ar-JO"/>
        </w:rPr>
        <w:t>مصدر سابق، ص15.</w:t>
      </w:r>
    </w:p>
  </w:footnote>
  <w:footnote w:id="198">
    <w:p w14:paraId="021F45D1" w14:textId="6DCDC6DF" w:rsidR="00925CED" w:rsidRPr="002273BC" w:rsidRDefault="00925CED" w:rsidP="00211C19">
      <w:pPr>
        <w:pStyle w:val="FootnoteText"/>
        <w:spacing w:line="336"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00D048DC" w:rsidRPr="002273BC">
        <w:rPr>
          <w:rFonts w:ascii="Arabic Transparent" w:hAnsi="Arabic Transparent" w:cs="Arabic Transparent"/>
          <w:sz w:val="24"/>
          <w:szCs w:val="24"/>
          <w:rtl/>
          <w:lang w:bidi="ar-JO"/>
        </w:rPr>
        <w:t xml:space="preserve">الإيجي، عبد الرحمن بن أحمد، عضد الدين، (2004)، </w:t>
      </w:r>
      <w:r w:rsidR="00D048DC" w:rsidRPr="002273BC">
        <w:rPr>
          <w:rFonts w:ascii="Arabic Transparent" w:hAnsi="Arabic Transparent" w:cs="Arabic Transparent"/>
          <w:b/>
          <w:bCs/>
          <w:sz w:val="24"/>
          <w:szCs w:val="24"/>
          <w:rtl/>
          <w:lang w:bidi="ar-JO"/>
        </w:rPr>
        <w:t xml:space="preserve">شرح مختصر المنتهى الأصولي، </w:t>
      </w:r>
      <w:r w:rsidR="00D048DC" w:rsidRPr="002273BC">
        <w:rPr>
          <w:rFonts w:ascii="Arabic Transparent" w:hAnsi="Arabic Transparent" w:cs="Arabic Transparent"/>
          <w:sz w:val="24"/>
          <w:szCs w:val="24"/>
          <w:rtl/>
          <w:lang w:bidi="ar-JO"/>
        </w:rPr>
        <w:t>(تحقيق محمد حسن محمد حسن إسماعيل)، ط1،</w:t>
      </w:r>
      <w:r w:rsidR="00D048DC" w:rsidRPr="002273BC">
        <w:rPr>
          <w:rFonts w:ascii="Arabic Transparent" w:hAnsi="Arabic Transparent" w:cs="Arabic Transparent" w:hint="cs"/>
          <w:sz w:val="24"/>
          <w:szCs w:val="24"/>
          <w:rtl/>
          <w:lang w:bidi="ar-JO"/>
        </w:rPr>
        <w:t xml:space="preserve"> </w:t>
      </w:r>
      <w:r w:rsidR="00D048DC" w:rsidRPr="002273BC">
        <w:rPr>
          <w:rFonts w:ascii="Arabic Transparent" w:hAnsi="Arabic Transparent" w:cs="Arabic Transparent"/>
          <w:sz w:val="24"/>
          <w:szCs w:val="24"/>
          <w:rtl/>
          <w:lang w:bidi="ar-JO"/>
        </w:rPr>
        <w:t>ج1، ص648</w:t>
      </w:r>
      <w:r w:rsidR="00D048DC" w:rsidRPr="002273BC">
        <w:rPr>
          <w:rFonts w:ascii="Arabic Transparent" w:hAnsi="Arabic Transparent" w:cs="Arabic Transparent" w:hint="cs"/>
          <w:sz w:val="24"/>
          <w:szCs w:val="24"/>
          <w:rtl/>
          <w:lang w:bidi="ar-JO"/>
        </w:rPr>
        <w:t>،</w:t>
      </w:r>
      <w:r w:rsidR="00D048DC" w:rsidRPr="002273BC">
        <w:rPr>
          <w:rFonts w:ascii="Arabic Transparent" w:hAnsi="Arabic Transparent" w:cs="Arabic Transparent"/>
          <w:sz w:val="24"/>
          <w:szCs w:val="24"/>
          <w:rtl/>
          <w:lang w:bidi="ar-JO"/>
        </w:rPr>
        <w:t xml:space="preserve"> دار الكتب العلمية، بيروت</w:t>
      </w:r>
      <w:r w:rsidRPr="002273BC">
        <w:rPr>
          <w:rFonts w:ascii="Arabic Transparent" w:hAnsi="Arabic Transparent" w:cs="Arabic Transparent" w:hint="cs"/>
          <w:sz w:val="24"/>
          <w:szCs w:val="24"/>
          <w:rtl/>
          <w:lang w:bidi="ar-JO"/>
        </w:rPr>
        <w:t xml:space="preserve">، </w:t>
      </w:r>
      <w:r w:rsidR="00D048DC" w:rsidRPr="002273BC">
        <w:rPr>
          <w:rFonts w:ascii="Arabic Transparent" w:hAnsi="Arabic Transparent" w:cs="Arabic Transparent" w:hint="cs"/>
          <w:sz w:val="24"/>
          <w:szCs w:val="24"/>
          <w:rtl/>
          <w:lang w:bidi="ar-JO"/>
        </w:rPr>
        <w:t>و</w:t>
      </w:r>
      <w:r w:rsidRPr="002273BC">
        <w:rPr>
          <w:rFonts w:ascii="Arabic Transparent" w:hAnsi="Arabic Transparent" w:cs="Arabic Transparent" w:hint="cs"/>
          <w:sz w:val="24"/>
          <w:szCs w:val="24"/>
          <w:rtl/>
          <w:lang w:bidi="ar-JO"/>
        </w:rPr>
        <w:t xml:space="preserve">السبكي، عبد الوهاب بن علي بن عبد الكافي، تاج الدين أبو نصر، (1999)، </w:t>
      </w:r>
      <w:r w:rsidRPr="002273BC">
        <w:rPr>
          <w:rFonts w:ascii="Arabic Transparent" w:hAnsi="Arabic Transparent" w:cs="Arabic Transparent" w:hint="cs"/>
          <w:b/>
          <w:bCs/>
          <w:sz w:val="24"/>
          <w:szCs w:val="24"/>
          <w:rtl/>
          <w:lang w:bidi="ar-JO"/>
        </w:rPr>
        <w:t>رفع الحاجب عن مختصر ابن الحاجب</w:t>
      </w:r>
      <w:r w:rsidRPr="002273BC">
        <w:rPr>
          <w:rFonts w:ascii="Arabic Transparent" w:hAnsi="Arabic Transparent" w:cs="Arabic Transparent" w:hint="cs"/>
          <w:sz w:val="24"/>
          <w:szCs w:val="24"/>
          <w:rtl/>
          <w:lang w:bidi="ar-JO"/>
        </w:rPr>
        <w:t xml:space="preserve"> (تحقيق علي محمد معوض، وعادل أحمد عبد الموجود)، ط1، ج1، ص266، عالم الكتب، بيروت – لبنان، </w:t>
      </w:r>
      <w:r w:rsidR="00D048DC" w:rsidRPr="002273BC">
        <w:rPr>
          <w:rFonts w:ascii="Arabic Transparent" w:hAnsi="Arabic Transparent" w:cs="Arabic Transparent" w:hint="cs"/>
          <w:sz w:val="24"/>
          <w:szCs w:val="24"/>
          <w:rtl/>
          <w:lang w:bidi="ar-JO"/>
        </w:rPr>
        <w:t>و</w:t>
      </w:r>
      <w:r w:rsidRPr="002273BC">
        <w:rPr>
          <w:rFonts w:ascii="Arabic Transparent" w:hAnsi="Arabic Transparent" w:cs="Arabic Transparent" w:hint="cs"/>
          <w:sz w:val="24"/>
          <w:szCs w:val="24"/>
          <w:rtl/>
          <w:lang w:bidi="ar-JO"/>
        </w:rPr>
        <w:t xml:space="preserve">الدسوقي، محمد بن عرفة، (د.ت)، </w:t>
      </w:r>
      <w:r w:rsidRPr="002273BC">
        <w:rPr>
          <w:rFonts w:ascii="Arabic Transparent" w:hAnsi="Arabic Transparent" w:cs="Arabic Transparent" w:hint="cs"/>
          <w:b/>
          <w:bCs/>
          <w:sz w:val="24"/>
          <w:szCs w:val="24"/>
          <w:rtl/>
          <w:lang w:bidi="ar-JO"/>
        </w:rPr>
        <w:t>حاشية الدسوقي على مختصر المعاني لسعد الدين التفتازاني</w:t>
      </w:r>
      <w:r w:rsidRPr="002273BC">
        <w:rPr>
          <w:rFonts w:ascii="Arabic Transparent" w:hAnsi="Arabic Transparent" w:cs="Arabic Transparent" w:hint="cs"/>
          <w:sz w:val="24"/>
          <w:szCs w:val="24"/>
          <w:rtl/>
          <w:lang w:bidi="ar-JO"/>
        </w:rPr>
        <w:t xml:space="preserve"> (تحقيق عبد الحميد هنداوي)، ط1، ج2، ص216، المكتبة العصرية، بيروت.</w:t>
      </w:r>
    </w:p>
  </w:footnote>
  <w:footnote w:id="199">
    <w:p w14:paraId="04C61A9A" w14:textId="77777777" w:rsidR="00925CED" w:rsidRPr="002273BC" w:rsidRDefault="00925CED" w:rsidP="00211C19">
      <w:pPr>
        <w:spacing w:line="336" w:lineRule="auto"/>
        <w:jc w:val="both"/>
        <w:rPr>
          <w:rFonts w:ascii="Arabic Transparent" w:hAnsi="Arabic Transparent" w:cs="Arabic Transparent"/>
          <w:sz w:val="24"/>
          <w:szCs w:val="24"/>
          <w:rtl/>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الشنقيطي، عبد الله بن إبراهيم العلوي، (د.ت)، </w:t>
      </w:r>
      <w:r w:rsidRPr="002273BC">
        <w:rPr>
          <w:rFonts w:ascii="Arabic Transparent" w:hAnsi="Arabic Transparent" w:cs="Arabic Transparent" w:hint="cs"/>
          <w:b/>
          <w:bCs/>
          <w:sz w:val="24"/>
          <w:szCs w:val="24"/>
          <w:rtl/>
        </w:rPr>
        <w:t>نشر البنود على مراقي السعود</w:t>
      </w:r>
      <w:r w:rsidRPr="002273BC">
        <w:rPr>
          <w:rFonts w:ascii="Arabic Transparent" w:hAnsi="Arabic Transparent" w:cs="Arabic Transparent" w:hint="cs"/>
          <w:sz w:val="24"/>
          <w:szCs w:val="24"/>
          <w:rtl/>
        </w:rPr>
        <w:t>، (د.ط)،ج2، ص148 مطبعة فضالة، المغرب.</w:t>
      </w:r>
    </w:p>
  </w:footnote>
  <w:footnote w:id="200">
    <w:p w14:paraId="3EF737DA" w14:textId="4A027D74" w:rsidR="00925CED" w:rsidRPr="002273BC" w:rsidRDefault="00925CED" w:rsidP="00211C19">
      <w:pPr>
        <w:pStyle w:val="FootnoteText"/>
        <w:spacing w:line="336"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00FF4EE2">
        <w:rPr>
          <w:rFonts w:ascii="Arabic Transparent" w:hAnsi="Arabic Transparent" w:cs="Arabic Transparent" w:hint="cs"/>
          <w:sz w:val="24"/>
          <w:szCs w:val="24"/>
          <w:rtl/>
          <w:lang w:bidi="ar-JO"/>
        </w:rPr>
        <w:t xml:space="preserve">انظر: </w:t>
      </w:r>
      <w:r w:rsidRPr="002273BC">
        <w:rPr>
          <w:rFonts w:ascii="Arabic Transparent" w:hAnsi="Arabic Transparent" w:cs="Arabic Transparent" w:hint="cs"/>
          <w:sz w:val="24"/>
          <w:szCs w:val="24"/>
          <w:rtl/>
          <w:lang w:bidi="ar-JO"/>
        </w:rPr>
        <w:t xml:space="preserve">الجوهري، </w:t>
      </w:r>
      <w:r w:rsidRPr="002273BC">
        <w:rPr>
          <w:rFonts w:ascii="Arabic Transparent" w:hAnsi="Arabic Transparent" w:cs="Arabic Transparent" w:hint="cs"/>
          <w:b/>
          <w:bCs/>
          <w:sz w:val="24"/>
          <w:szCs w:val="24"/>
          <w:rtl/>
          <w:lang w:bidi="ar-JO"/>
        </w:rPr>
        <w:t>الصحاح تاج اللغة وصحاح العربية</w:t>
      </w:r>
      <w:r w:rsidRPr="002273BC">
        <w:rPr>
          <w:rFonts w:ascii="Arabic Transparent" w:hAnsi="Arabic Transparent" w:cs="Arabic Transparent" w:hint="cs"/>
          <w:sz w:val="24"/>
          <w:szCs w:val="24"/>
          <w:rtl/>
          <w:lang w:bidi="ar-JO"/>
        </w:rPr>
        <w:t>، مصدر سابق، ج3، ص915.</w:t>
      </w:r>
    </w:p>
  </w:footnote>
  <w:footnote w:id="201">
    <w:p w14:paraId="2D266F9E" w14:textId="462F2662" w:rsidR="00925CED" w:rsidRPr="002273BC" w:rsidRDefault="00925CE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00FA49B9">
        <w:rPr>
          <w:rFonts w:ascii="Arabic Transparent" w:hAnsi="Arabic Transparent" w:cs="Arabic Transparent" w:hint="cs"/>
          <w:sz w:val="24"/>
          <w:szCs w:val="24"/>
          <w:rtl/>
          <w:lang w:bidi="ar-JO"/>
        </w:rPr>
        <w:t>سبق ذكره انظر ص8.</w:t>
      </w:r>
      <w:r w:rsidRPr="002273BC">
        <w:rPr>
          <w:rFonts w:ascii="Arabic Transparent" w:hAnsi="Arabic Transparent" w:cs="Arabic Transparent" w:hint="cs"/>
          <w:sz w:val="24"/>
          <w:szCs w:val="24"/>
          <w:rtl/>
          <w:lang w:bidi="ar-JO"/>
        </w:rPr>
        <w:t xml:space="preserve"> </w:t>
      </w:r>
    </w:p>
  </w:footnote>
  <w:footnote w:id="202">
    <w:p w14:paraId="3694CB41" w14:textId="504E1427" w:rsidR="00925CED" w:rsidRPr="002273BC" w:rsidRDefault="00925CED" w:rsidP="00EA3738">
      <w:pPr>
        <w:pStyle w:val="FootnoteText"/>
        <w:spacing w:line="360" w:lineRule="auto"/>
        <w:jc w:val="both"/>
        <w:rPr>
          <w:rFonts w:ascii="Arabic Transparent" w:hAnsi="Arabic Transparent" w:cs="Arabic Transparent"/>
          <w:sz w:val="24"/>
          <w:szCs w:val="24"/>
          <w:rtl/>
        </w:rPr>
      </w:pP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انظر: ابن بزيزة، عبد العزيز بن إبراهيم، (2010)، </w:t>
      </w:r>
      <w:r w:rsidRPr="002273BC">
        <w:rPr>
          <w:rFonts w:ascii="Arabic Transparent" w:hAnsi="Arabic Transparent" w:cs="Arabic Transparent" w:hint="cs"/>
          <w:b/>
          <w:bCs/>
          <w:sz w:val="24"/>
          <w:szCs w:val="24"/>
          <w:rtl/>
        </w:rPr>
        <w:t>روضة المستبين في شرح كتاب التلقين</w:t>
      </w:r>
      <w:r w:rsidRPr="002273BC">
        <w:rPr>
          <w:rFonts w:ascii="Arabic Transparent" w:hAnsi="Arabic Transparent" w:cs="Arabic Transparent" w:hint="cs"/>
          <w:sz w:val="24"/>
          <w:szCs w:val="24"/>
          <w:rtl/>
        </w:rPr>
        <w:t xml:space="preserve"> (تحقيق عبد اللطيف زكاغ)</w:t>
      </w:r>
      <w:r w:rsidR="00881579" w:rsidRPr="002273BC">
        <w:rPr>
          <w:rFonts w:ascii="Arabic Transparent" w:hAnsi="Arabic Transparent" w:cs="Arabic Transparent" w:hint="cs"/>
          <w:sz w:val="24"/>
          <w:szCs w:val="24"/>
          <w:rtl/>
        </w:rPr>
        <w:t>،</w:t>
      </w:r>
      <w:r w:rsidRPr="002273BC">
        <w:rPr>
          <w:rFonts w:ascii="Arabic Transparent" w:hAnsi="Arabic Transparent" w:cs="Arabic Transparent" w:hint="cs"/>
          <w:sz w:val="24"/>
          <w:szCs w:val="24"/>
          <w:rtl/>
        </w:rPr>
        <w:t xml:space="preserve"> ط1، ج1، ص250، دار ابن حزم - بيروت.</w:t>
      </w:r>
    </w:p>
  </w:footnote>
  <w:footnote w:id="203">
    <w:p w14:paraId="054641B3" w14:textId="36B8F706" w:rsidR="00925CED" w:rsidRPr="002273BC" w:rsidRDefault="00925CED" w:rsidP="00EA3738">
      <w:pPr>
        <w:pStyle w:val="FootnoteText"/>
        <w:spacing w:line="360" w:lineRule="auto"/>
        <w:jc w:val="both"/>
        <w:rPr>
          <w:rFonts w:ascii="Arabic Transparent" w:hAnsi="Arabic Transparent" w:cs="Arabic Transparent"/>
          <w:sz w:val="24"/>
          <w:szCs w:val="24"/>
          <w:rtl/>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00FA49B9">
        <w:rPr>
          <w:rFonts w:ascii="Arabic Transparent" w:hAnsi="Arabic Transparent" w:cs="Arabic Transparent" w:hint="cs"/>
          <w:sz w:val="24"/>
          <w:szCs w:val="24"/>
          <w:rtl/>
        </w:rPr>
        <w:t xml:space="preserve">انظر: </w:t>
      </w:r>
      <w:r w:rsidRPr="002273BC">
        <w:rPr>
          <w:rFonts w:ascii="Arabic Transparent" w:hAnsi="Arabic Transparent" w:cs="Arabic Transparent" w:hint="cs"/>
          <w:sz w:val="24"/>
          <w:szCs w:val="24"/>
          <w:rtl/>
        </w:rPr>
        <w:t xml:space="preserve">ابن عبد السلام، عزالدين عبدالعزيز السلمي، (2016)، </w:t>
      </w:r>
      <w:r w:rsidRPr="002273BC">
        <w:rPr>
          <w:rFonts w:ascii="Arabic Transparent" w:hAnsi="Arabic Transparent" w:cs="Arabic Transparent" w:hint="cs"/>
          <w:b/>
          <w:bCs/>
          <w:sz w:val="24"/>
          <w:szCs w:val="24"/>
          <w:rtl/>
        </w:rPr>
        <w:t>الغاية في اختصار النهاية،</w:t>
      </w:r>
      <w:r w:rsidRPr="002273BC">
        <w:rPr>
          <w:rFonts w:ascii="Arabic Transparent" w:hAnsi="Arabic Transparent" w:cs="Arabic Transparent" w:hint="cs"/>
          <w:sz w:val="24"/>
          <w:szCs w:val="24"/>
          <w:rtl/>
        </w:rPr>
        <w:t xml:space="preserve"> (تحقيق إياد خالد الطباع)، ط1، ج3، ص313، دار النوادر، بيروت- لبنان.</w:t>
      </w:r>
    </w:p>
  </w:footnote>
  <w:footnote w:id="204">
    <w:p w14:paraId="735335A2" w14:textId="77777777" w:rsidR="00925CED" w:rsidRPr="002273BC" w:rsidRDefault="00925CED" w:rsidP="00EA3738">
      <w:pPr>
        <w:pStyle w:val="FootnoteText"/>
        <w:spacing w:line="360" w:lineRule="auto"/>
        <w:jc w:val="both"/>
        <w:rPr>
          <w:rFonts w:ascii="Arabic Transparent" w:hAnsi="Arabic Transparent" w:cs="Arabic Transparent"/>
          <w:sz w:val="24"/>
          <w:szCs w:val="24"/>
          <w:rtl/>
        </w:rPr>
      </w:pP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الشاطبي، </w:t>
      </w:r>
      <w:r w:rsidRPr="002273BC">
        <w:rPr>
          <w:rFonts w:ascii="Arabic Transparent" w:hAnsi="Arabic Transparent" w:cs="Arabic Transparent" w:hint="cs"/>
          <w:b/>
          <w:bCs/>
          <w:sz w:val="24"/>
          <w:szCs w:val="24"/>
          <w:rtl/>
        </w:rPr>
        <w:t>الموافقات</w:t>
      </w:r>
      <w:r w:rsidRPr="002273BC">
        <w:rPr>
          <w:rFonts w:ascii="Arabic Transparent" w:hAnsi="Arabic Transparent" w:cs="Arabic Transparent" w:hint="cs"/>
          <w:sz w:val="24"/>
          <w:szCs w:val="24"/>
          <w:rtl/>
        </w:rPr>
        <w:t>، مصدر سابق، ج5، ص25.</w:t>
      </w:r>
    </w:p>
  </w:footnote>
  <w:footnote w:id="205">
    <w:p w14:paraId="5A3D7E3D" w14:textId="460E3447" w:rsidR="00925CED" w:rsidRPr="002273BC" w:rsidRDefault="00925CE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أصله الحديث النبوي</w:t>
      </w:r>
      <w:r w:rsidR="005D7B91"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إ</w:t>
      </w:r>
      <w:r w:rsidRPr="002273BC">
        <w:rPr>
          <w:rFonts w:ascii="Arabic Transparent" w:hAnsi="Arabic Transparent" w:cs="Arabic Transparent" w:hint="eastAsia"/>
          <w:sz w:val="24"/>
          <w:szCs w:val="24"/>
          <w:rtl/>
          <w:lang w:bidi="ar-JO"/>
        </w:rPr>
        <w:t>ن</w:t>
      </w:r>
      <w:r w:rsidRPr="002273BC">
        <w:rPr>
          <w:rFonts w:ascii="Arabic Transparent" w:hAnsi="Arabic Transparent" w:cs="Arabic Transparent"/>
          <w:sz w:val="24"/>
          <w:szCs w:val="24"/>
          <w:rtl/>
          <w:lang w:bidi="ar-JO"/>
        </w:rPr>
        <w:t xml:space="preserve"> ‌</w:t>
      </w:r>
      <w:r w:rsidRPr="002273BC">
        <w:rPr>
          <w:rFonts w:ascii="Arabic Transparent" w:hAnsi="Arabic Transparent" w:cs="Arabic Transparent" w:hint="eastAsia"/>
          <w:sz w:val="24"/>
          <w:szCs w:val="24"/>
          <w:rtl/>
          <w:lang w:bidi="ar-JO"/>
        </w:rPr>
        <w:t>أبا</w:t>
      </w:r>
      <w:r w:rsidRPr="002273BC">
        <w:rPr>
          <w:rFonts w:ascii="Arabic Transparent" w:hAnsi="Arabic Transparent" w:cs="Arabic Transparent"/>
          <w:sz w:val="24"/>
          <w:szCs w:val="24"/>
          <w:rtl/>
          <w:lang w:bidi="ar-JO"/>
        </w:rPr>
        <w:t xml:space="preserve"> ‌</w:t>
      </w:r>
      <w:r w:rsidRPr="002273BC">
        <w:rPr>
          <w:rFonts w:ascii="Arabic Transparent" w:hAnsi="Arabic Transparent" w:cs="Arabic Transparent" w:hint="eastAsia"/>
          <w:sz w:val="24"/>
          <w:szCs w:val="24"/>
          <w:rtl/>
          <w:lang w:bidi="ar-JO"/>
        </w:rPr>
        <w:t>ذر</w:t>
      </w:r>
      <w:r w:rsidRPr="002273BC">
        <w:rPr>
          <w:rFonts w:ascii="Arabic Transparent" w:hAnsi="Arabic Transparent" w:cs="Arabic Transparent"/>
          <w:sz w:val="24"/>
          <w:szCs w:val="24"/>
          <w:rtl/>
          <w:lang w:bidi="ar-JO"/>
        </w:rPr>
        <w:t xml:space="preserve"> ‌</w:t>
      </w:r>
      <w:r w:rsidRPr="002273BC">
        <w:rPr>
          <w:rFonts w:ascii="Arabic Transparent" w:hAnsi="Arabic Transparent" w:cs="Arabic Transparent" w:hint="eastAsia"/>
          <w:sz w:val="24"/>
          <w:szCs w:val="24"/>
          <w:rtl/>
          <w:lang w:bidi="ar-JO"/>
        </w:rPr>
        <w:t>سأل</w:t>
      </w:r>
      <w:r w:rsidRPr="002273BC">
        <w:rPr>
          <w:rFonts w:ascii="Arabic Transparent" w:hAnsi="Arabic Transparent" w:cs="Arabic Transparent"/>
          <w:sz w:val="24"/>
          <w:szCs w:val="24"/>
          <w:rtl/>
          <w:lang w:bidi="ar-JO"/>
        </w:rPr>
        <w:t xml:space="preserve"> ‌</w:t>
      </w:r>
      <w:r w:rsidRPr="002273BC">
        <w:rPr>
          <w:rFonts w:ascii="Arabic Transparent" w:hAnsi="Arabic Transparent" w:cs="Arabic Transparent" w:hint="eastAsia"/>
          <w:sz w:val="24"/>
          <w:szCs w:val="24"/>
          <w:rtl/>
          <w:lang w:bidi="ar-JO"/>
        </w:rPr>
        <w:t>رسول</w:t>
      </w:r>
      <w:r w:rsidRPr="002273BC">
        <w:rPr>
          <w:rFonts w:ascii="Arabic Transparent" w:hAnsi="Arabic Transparent" w:cs="Arabic Transparent"/>
          <w:sz w:val="24"/>
          <w:szCs w:val="24"/>
          <w:rtl/>
          <w:lang w:bidi="ar-JO"/>
        </w:rPr>
        <w:t xml:space="preserve"> ‌</w:t>
      </w:r>
      <w:r w:rsidRPr="002273BC">
        <w:rPr>
          <w:rFonts w:ascii="Arabic Transparent" w:hAnsi="Arabic Transparent" w:cs="Arabic Transparent" w:hint="eastAsia"/>
          <w:sz w:val="24"/>
          <w:szCs w:val="24"/>
          <w:rtl/>
          <w:lang w:bidi="ar-JO"/>
        </w:rPr>
        <w:t>الله</w:t>
      </w:r>
      <w:r w:rsidRPr="002273BC">
        <w:rPr>
          <w:rFonts w:ascii="Arabic Transparent" w:hAnsi="Arabic Transparent" w:cs="Arabic Transparent"/>
          <w:sz w:val="24"/>
          <w:szCs w:val="24"/>
          <w:rtl/>
          <w:lang w:bidi="ar-JO"/>
        </w:rPr>
        <w:t xml:space="preserve"> </w:t>
      </w:r>
      <w:r w:rsidR="005224A0" w:rsidRPr="002273BC">
        <w:rPr>
          <w:rFonts w:ascii="AGA Arabesque" w:eastAsia="AGA Arabesque" w:hAnsi="AGA Arabesque" w:cs="AGA Arabesque"/>
          <w:sz w:val="24"/>
          <w:szCs w:val="24"/>
          <w:lang w:bidi="ar-JO"/>
        </w:rPr>
        <w:t></w:t>
      </w:r>
      <w:r w:rsidRPr="002273BC">
        <w:rPr>
          <w:rFonts w:ascii="Arabic Transparent" w:hAnsi="Arabic Transparent" w:cs="Arabic Transparent"/>
          <w:sz w:val="24"/>
          <w:szCs w:val="24"/>
          <w:rtl/>
          <w:lang w:bidi="ar-JO"/>
        </w:rPr>
        <w:t xml:space="preserve"> ‌</w:t>
      </w:r>
      <w:r w:rsidRPr="002273BC">
        <w:rPr>
          <w:rFonts w:ascii="Arabic Transparent" w:hAnsi="Arabic Transparent" w:cs="Arabic Transparent" w:hint="eastAsia"/>
          <w:sz w:val="24"/>
          <w:szCs w:val="24"/>
          <w:rtl/>
          <w:lang w:bidi="ar-JO"/>
        </w:rPr>
        <w:t>الإمارة،</w:t>
      </w:r>
      <w:r w:rsidRPr="002273BC">
        <w:rPr>
          <w:rFonts w:ascii="Arabic Transparent" w:hAnsi="Arabic Transparent" w:cs="Arabic Transparent"/>
          <w:sz w:val="24"/>
          <w:szCs w:val="24"/>
          <w:rtl/>
          <w:lang w:bidi="ar-JO"/>
        </w:rPr>
        <w:t xml:space="preserve"> </w:t>
      </w:r>
      <w:r w:rsidR="005224A0" w:rsidRPr="002273BC">
        <w:rPr>
          <w:rFonts w:ascii="Arabic Transparent" w:hAnsi="Arabic Transparent" w:cs="Arabic Transparent" w:hint="cs"/>
          <w:sz w:val="24"/>
          <w:szCs w:val="24"/>
          <w:rtl/>
          <w:lang w:bidi="ar-JO"/>
        </w:rPr>
        <w:t>ف</w:t>
      </w:r>
      <w:r w:rsidRPr="002273BC">
        <w:rPr>
          <w:rFonts w:ascii="Arabic Transparent" w:hAnsi="Arabic Transparent" w:cs="Arabic Transparent" w:hint="eastAsia"/>
          <w:sz w:val="24"/>
          <w:szCs w:val="24"/>
          <w:rtl/>
          <w:lang w:bidi="ar-JO"/>
        </w:rPr>
        <w:t>قال</w:t>
      </w:r>
      <w:r w:rsidR="005224A0" w:rsidRPr="002273BC">
        <w:rPr>
          <w:rFonts w:ascii="Arabic Transparent" w:hAnsi="Arabic Transparent" w:cs="Arabic Transparent" w:hint="cs"/>
          <w:sz w:val="24"/>
          <w:szCs w:val="24"/>
          <w:rtl/>
          <w:lang w:bidi="ar-JO"/>
        </w:rPr>
        <w:t xml:space="preserve"> له </w:t>
      </w:r>
      <w:r w:rsidR="005224A0" w:rsidRPr="002273BC">
        <w:rPr>
          <w:rFonts w:ascii="AGA Arabesque" w:eastAsia="AGA Arabesque" w:hAnsi="AGA Arabesque" w:cs="AGA Arabesque"/>
          <w:sz w:val="24"/>
          <w:szCs w:val="24"/>
          <w:lang w:bidi="ar-JO"/>
        </w:rPr>
        <w:t></w:t>
      </w:r>
      <w:r w:rsidRPr="002273BC">
        <w:rPr>
          <w:rFonts w:ascii="Arabic Transparent" w:hAnsi="Arabic Transparent" w:cs="Arabic Transparent"/>
          <w:sz w:val="24"/>
          <w:szCs w:val="24"/>
          <w:rtl/>
          <w:lang w:bidi="ar-JO"/>
        </w:rPr>
        <w:t>: "</w:t>
      </w:r>
      <w:r w:rsidRPr="002273BC">
        <w:rPr>
          <w:rFonts w:ascii="Arabic Transparent" w:hAnsi="Arabic Transparent" w:cs="Arabic Transparent" w:hint="eastAsia"/>
          <w:sz w:val="24"/>
          <w:szCs w:val="24"/>
          <w:rtl/>
          <w:lang w:bidi="ar-JO"/>
        </w:rPr>
        <w:t>إنك</w:t>
      </w:r>
      <w:r w:rsidRPr="002273BC">
        <w:rPr>
          <w:rFonts w:ascii="Arabic Transparent" w:hAnsi="Arabic Transparent" w:cs="Arabic Transparent"/>
          <w:sz w:val="24"/>
          <w:szCs w:val="24"/>
          <w:rtl/>
          <w:lang w:bidi="ar-JO"/>
        </w:rPr>
        <w:t xml:space="preserve"> </w:t>
      </w:r>
      <w:r w:rsidRPr="002273BC">
        <w:rPr>
          <w:rFonts w:ascii="Arabic Transparent" w:hAnsi="Arabic Transparent" w:cs="Arabic Transparent" w:hint="eastAsia"/>
          <w:sz w:val="24"/>
          <w:szCs w:val="24"/>
          <w:rtl/>
          <w:lang w:bidi="ar-JO"/>
        </w:rPr>
        <w:t>ضعيف</w:t>
      </w:r>
      <w:r w:rsidRPr="002273BC">
        <w:rPr>
          <w:rFonts w:ascii="Arabic Transparent" w:hAnsi="Arabic Transparent" w:cs="Arabic Transparent"/>
          <w:sz w:val="24"/>
          <w:szCs w:val="24"/>
          <w:rtl/>
          <w:lang w:bidi="ar-JO"/>
        </w:rPr>
        <w:t xml:space="preserve"> </w:t>
      </w:r>
      <w:r w:rsidRPr="002273BC">
        <w:rPr>
          <w:rFonts w:ascii="Arabic Transparent" w:hAnsi="Arabic Transparent" w:cs="Arabic Transparent" w:hint="eastAsia"/>
          <w:sz w:val="24"/>
          <w:szCs w:val="24"/>
          <w:rtl/>
          <w:lang w:bidi="ar-JO"/>
        </w:rPr>
        <w:t>وأنها</w:t>
      </w:r>
      <w:r w:rsidRPr="002273BC">
        <w:rPr>
          <w:rFonts w:ascii="Arabic Transparent" w:hAnsi="Arabic Transparent" w:cs="Arabic Transparent"/>
          <w:sz w:val="24"/>
          <w:szCs w:val="24"/>
          <w:rtl/>
          <w:lang w:bidi="ar-JO"/>
        </w:rPr>
        <w:t xml:space="preserve"> </w:t>
      </w:r>
      <w:r w:rsidRPr="002273BC">
        <w:rPr>
          <w:rFonts w:ascii="Arabic Transparent" w:hAnsi="Arabic Transparent" w:cs="Arabic Transparent" w:hint="eastAsia"/>
          <w:sz w:val="24"/>
          <w:szCs w:val="24"/>
          <w:rtl/>
          <w:lang w:bidi="ar-JO"/>
        </w:rPr>
        <w:t>أمانة،</w:t>
      </w:r>
      <w:r w:rsidRPr="002273BC">
        <w:rPr>
          <w:rFonts w:ascii="Arabic Transparent" w:hAnsi="Arabic Transparent" w:cs="Arabic Transparent"/>
          <w:sz w:val="24"/>
          <w:szCs w:val="24"/>
          <w:rtl/>
          <w:lang w:bidi="ar-JO"/>
        </w:rPr>
        <w:t xml:space="preserve"> </w:t>
      </w:r>
      <w:r w:rsidRPr="002273BC">
        <w:rPr>
          <w:rFonts w:ascii="Arabic Transparent" w:hAnsi="Arabic Transparent" w:cs="Arabic Transparent" w:hint="eastAsia"/>
          <w:sz w:val="24"/>
          <w:szCs w:val="24"/>
          <w:rtl/>
          <w:lang w:bidi="ar-JO"/>
        </w:rPr>
        <w:t>وإنها</w:t>
      </w:r>
      <w:r w:rsidRPr="002273BC">
        <w:rPr>
          <w:rFonts w:ascii="Arabic Transparent" w:hAnsi="Arabic Transparent" w:cs="Arabic Transparent"/>
          <w:sz w:val="24"/>
          <w:szCs w:val="24"/>
          <w:rtl/>
          <w:lang w:bidi="ar-JO"/>
        </w:rPr>
        <w:t xml:space="preserve"> </w:t>
      </w:r>
      <w:r w:rsidRPr="002273BC">
        <w:rPr>
          <w:rFonts w:ascii="Arabic Transparent" w:hAnsi="Arabic Transparent" w:cs="Arabic Transparent" w:hint="eastAsia"/>
          <w:sz w:val="24"/>
          <w:szCs w:val="24"/>
          <w:rtl/>
          <w:lang w:bidi="ar-JO"/>
        </w:rPr>
        <w:t>يوم</w:t>
      </w:r>
      <w:r w:rsidRPr="002273BC">
        <w:rPr>
          <w:rFonts w:ascii="Arabic Transparent" w:hAnsi="Arabic Transparent" w:cs="Arabic Transparent"/>
          <w:sz w:val="24"/>
          <w:szCs w:val="24"/>
          <w:rtl/>
          <w:lang w:bidi="ar-JO"/>
        </w:rPr>
        <w:t xml:space="preserve"> </w:t>
      </w:r>
      <w:r w:rsidRPr="002273BC">
        <w:rPr>
          <w:rFonts w:ascii="Arabic Transparent" w:hAnsi="Arabic Transparent" w:cs="Arabic Transparent" w:hint="eastAsia"/>
          <w:sz w:val="24"/>
          <w:szCs w:val="24"/>
          <w:rtl/>
          <w:lang w:bidi="ar-JO"/>
        </w:rPr>
        <w:t>القيامة</w:t>
      </w:r>
      <w:r w:rsidRPr="002273BC">
        <w:rPr>
          <w:rFonts w:ascii="Arabic Transparent" w:hAnsi="Arabic Transparent" w:cs="Arabic Transparent"/>
          <w:sz w:val="24"/>
          <w:szCs w:val="24"/>
          <w:rtl/>
          <w:lang w:bidi="ar-JO"/>
        </w:rPr>
        <w:t xml:space="preserve"> </w:t>
      </w:r>
      <w:r w:rsidRPr="002273BC">
        <w:rPr>
          <w:rFonts w:ascii="Arabic Transparent" w:hAnsi="Arabic Transparent" w:cs="Arabic Transparent" w:hint="eastAsia"/>
          <w:sz w:val="24"/>
          <w:szCs w:val="24"/>
          <w:rtl/>
          <w:lang w:bidi="ar-JO"/>
        </w:rPr>
        <w:t>خزى</w:t>
      </w:r>
      <w:r w:rsidRPr="002273BC">
        <w:rPr>
          <w:rFonts w:ascii="Arabic Transparent" w:hAnsi="Arabic Transparent" w:cs="Arabic Transparent"/>
          <w:sz w:val="24"/>
          <w:szCs w:val="24"/>
          <w:rtl/>
          <w:lang w:bidi="ar-JO"/>
        </w:rPr>
        <w:t xml:space="preserve"> </w:t>
      </w:r>
      <w:r w:rsidRPr="002273BC">
        <w:rPr>
          <w:rFonts w:ascii="Arabic Transparent" w:hAnsi="Arabic Transparent" w:cs="Arabic Transparent" w:hint="eastAsia"/>
          <w:sz w:val="24"/>
          <w:szCs w:val="24"/>
          <w:rtl/>
          <w:lang w:bidi="ar-JO"/>
        </w:rPr>
        <w:t>وندامة،</w:t>
      </w:r>
      <w:r w:rsidRPr="002273BC">
        <w:rPr>
          <w:rFonts w:ascii="Arabic Transparent" w:hAnsi="Arabic Transparent" w:cs="Arabic Transparent"/>
          <w:sz w:val="24"/>
          <w:szCs w:val="24"/>
          <w:rtl/>
          <w:lang w:bidi="ar-JO"/>
        </w:rPr>
        <w:t xml:space="preserve"> </w:t>
      </w:r>
      <w:r w:rsidRPr="002273BC">
        <w:rPr>
          <w:rFonts w:ascii="Arabic Transparent" w:hAnsi="Arabic Transparent" w:cs="Arabic Transparent" w:hint="eastAsia"/>
          <w:sz w:val="24"/>
          <w:szCs w:val="24"/>
          <w:rtl/>
          <w:lang w:bidi="ar-JO"/>
        </w:rPr>
        <w:t>إلا</w:t>
      </w:r>
      <w:r w:rsidRPr="002273BC">
        <w:rPr>
          <w:rFonts w:ascii="Arabic Transparent" w:hAnsi="Arabic Transparent" w:cs="Arabic Transparent"/>
          <w:sz w:val="24"/>
          <w:szCs w:val="24"/>
          <w:rtl/>
          <w:lang w:bidi="ar-JO"/>
        </w:rPr>
        <w:t xml:space="preserve"> </w:t>
      </w:r>
      <w:r w:rsidRPr="002273BC">
        <w:rPr>
          <w:rFonts w:ascii="Arabic Transparent" w:hAnsi="Arabic Transparent" w:cs="Arabic Transparent" w:hint="eastAsia"/>
          <w:sz w:val="24"/>
          <w:szCs w:val="24"/>
          <w:rtl/>
          <w:lang w:bidi="ar-JO"/>
        </w:rPr>
        <w:t>من</w:t>
      </w:r>
      <w:r w:rsidRPr="002273BC">
        <w:rPr>
          <w:rFonts w:ascii="Arabic Transparent" w:hAnsi="Arabic Transparent" w:cs="Arabic Transparent"/>
          <w:sz w:val="24"/>
          <w:szCs w:val="24"/>
          <w:rtl/>
          <w:lang w:bidi="ar-JO"/>
        </w:rPr>
        <w:t xml:space="preserve"> </w:t>
      </w:r>
      <w:r w:rsidRPr="002273BC">
        <w:rPr>
          <w:rFonts w:ascii="Arabic Transparent" w:hAnsi="Arabic Transparent" w:cs="Arabic Transparent" w:hint="eastAsia"/>
          <w:sz w:val="24"/>
          <w:szCs w:val="24"/>
          <w:rtl/>
          <w:lang w:bidi="ar-JO"/>
        </w:rPr>
        <w:t>أخذها</w:t>
      </w:r>
      <w:r w:rsidRPr="002273BC">
        <w:rPr>
          <w:rFonts w:ascii="Arabic Transparent" w:hAnsi="Arabic Transparent" w:cs="Arabic Transparent"/>
          <w:sz w:val="24"/>
          <w:szCs w:val="24"/>
          <w:rtl/>
          <w:lang w:bidi="ar-JO"/>
        </w:rPr>
        <w:t xml:space="preserve"> </w:t>
      </w:r>
      <w:r w:rsidRPr="002273BC">
        <w:rPr>
          <w:rFonts w:ascii="Arabic Transparent" w:hAnsi="Arabic Transparent" w:cs="Arabic Transparent" w:hint="eastAsia"/>
          <w:sz w:val="24"/>
          <w:szCs w:val="24"/>
          <w:rtl/>
          <w:lang w:bidi="ar-JO"/>
        </w:rPr>
        <w:t>بحقها،</w:t>
      </w:r>
      <w:r w:rsidRPr="002273BC">
        <w:rPr>
          <w:rFonts w:ascii="Arabic Transparent" w:hAnsi="Arabic Transparent" w:cs="Arabic Transparent"/>
          <w:sz w:val="24"/>
          <w:szCs w:val="24"/>
          <w:rtl/>
          <w:lang w:bidi="ar-JO"/>
        </w:rPr>
        <w:t xml:space="preserve"> </w:t>
      </w:r>
      <w:r w:rsidRPr="002273BC">
        <w:rPr>
          <w:rFonts w:ascii="Arabic Transparent" w:hAnsi="Arabic Transparent" w:cs="Arabic Transparent" w:hint="eastAsia"/>
          <w:sz w:val="24"/>
          <w:szCs w:val="24"/>
          <w:rtl/>
          <w:lang w:bidi="ar-JO"/>
        </w:rPr>
        <w:t>وأدى</w:t>
      </w:r>
      <w:r w:rsidRPr="002273BC">
        <w:rPr>
          <w:rFonts w:ascii="Arabic Transparent" w:hAnsi="Arabic Transparent" w:cs="Arabic Transparent"/>
          <w:sz w:val="24"/>
          <w:szCs w:val="24"/>
          <w:rtl/>
          <w:lang w:bidi="ar-JO"/>
        </w:rPr>
        <w:t xml:space="preserve"> </w:t>
      </w:r>
      <w:r w:rsidRPr="002273BC">
        <w:rPr>
          <w:rFonts w:ascii="Arabic Transparent" w:hAnsi="Arabic Transparent" w:cs="Arabic Transparent" w:hint="eastAsia"/>
          <w:sz w:val="24"/>
          <w:szCs w:val="24"/>
          <w:rtl/>
          <w:lang w:bidi="ar-JO"/>
        </w:rPr>
        <w:t>الذي</w:t>
      </w:r>
      <w:r w:rsidRPr="002273BC">
        <w:rPr>
          <w:rFonts w:ascii="Arabic Transparent" w:hAnsi="Arabic Transparent" w:cs="Arabic Transparent"/>
          <w:sz w:val="24"/>
          <w:szCs w:val="24"/>
          <w:rtl/>
          <w:lang w:bidi="ar-JO"/>
        </w:rPr>
        <w:t xml:space="preserve"> </w:t>
      </w:r>
      <w:r w:rsidRPr="002273BC">
        <w:rPr>
          <w:rFonts w:ascii="Arabic Transparent" w:hAnsi="Arabic Transparent" w:cs="Arabic Transparent" w:hint="eastAsia"/>
          <w:sz w:val="24"/>
          <w:szCs w:val="24"/>
          <w:rtl/>
          <w:lang w:bidi="ar-JO"/>
        </w:rPr>
        <w:t>عليه</w:t>
      </w:r>
      <w:r w:rsidRPr="002273BC">
        <w:rPr>
          <w:rFonts w:ascii="Arabic Transparent" w:hAnsi="Arabic Transparent" w:cs="Arabic Transparent"/>
          <w:sz w:val="24"/>
          <w:szCs w:val="24"/>
          <w:rtl/>
          <w:lang w:bidi="ar-JO"/>
        </w:rPr>
        <w:t xml:space="preserve"> </w:t>
      </w:r>
      <w:r w:rsidRPr="002273BC">
        <w:rPr>
          <w:rFonts w:ascii="Arabic Transparent" w:hAnsi="Arabic Transparent" w:cs="Arabic Transparent" w:hint="eastAsia"/>
          <w:sz w:val="24"/>
          <w:szCs w:val="24"/>
          <w:rtl/>
          <w:lang w:bidi="ar-JO"/>
        </w:rPr>
        <w:t>فيها</w:t>
      </w:r>
      <w:r w:rsidRPr="002273BC">
        <w:rPr>
          <w:rFonts w:ascii="Arabic Transparent" w:hAnsi="Arabic Transparent" w:cs="Arabic Transparent"/>
          <w:sz w:val="24"/>
          <w:szCs w:val="24"/>
          <w:rtl/>
          <w:lang w:bidi="ar-JO"/>
        </w:rPr>
        <w:t>"</w:t>
      </w:r>
      <w:r w:rsidRPr="002273BC">
        <w:rPr>
          <w:rFonts w:ascii="Arabic Transparent" w:hAnsi="Arabic Transparent" w:cs="Arabic Transparent" w:hint="cs"/>
          <w:sz w:val="24"/>
          <w:szCs w:val="24"/>
          <w:rtl/>
          <w:lang w:bidi="ar-JO"/>
        </w:rPr>
        <w:t>، أخرجه مسلم في صحيحه</w:t>
      </w:r>
      <w:r w:rsidRPr="002273BC">
        <w:rPr>
          <w:rFonts w:ascii="Arabic Transparent" w:hAnsi="Arabic Transparent" w:cs="Arabic Transparent" w:hint="eastAsia"/>
          <w:sz w:val="24"/>
          <w:szCs w:val="24"/>
          <w:rtl/>
          <w:lang w:bidi="ar-JO"/>
        </w:rPr>
        <w:t>،</w:t>
      </w:r>
      <w:r w:rsidRPr="002273BC">
        <w:rPr>
          <w:rFonts w:ascii="Arabic Transparent" w:hAnsi="Arabic Transparent" w:cs="Arabic Transparent"/>
          <w:sz w:val="24"/>
          <w:szCs w:val="24"/>
          <w:rtl/>
          <w:lang w:bidi="ar-JO"/>
        </w:rPr>
        <w:t xml:space="preserve"> </w:t>
      </w:r>
      <w:r w:rsidRPr="002273BC">
        <w:rPr>
          <w:rFonts w:ascii="Arabic Transparent" w:hAnsi="Arabic Transparent" w:cs="Arabic Transparent" w:hint="cs"/>
          <w:b/>
          <w:bCs/>
          <w:sz w:val="24"/>
          <w:szCs w:val="24"/>
          <w:rtl/>
          <w:lang w:bidi="ar-JO"/>
        </w:rPr>
        <w:t>صحيح مسلم</w:t>
      </w:r>
      <w:r w:rsidRPr="002273BC">
        <w:rPr>
          <w:rFonts w:ascii="Arabic Transparent" w:hAnsi="Arabic Transparent" w:cs="Arabic Transparent" w:hint="cs"/>
          <w:sz w:val="24"/>
          <w:szCs w:val="24"/>
          <w:rtl/>
          <w:lang w:bidi="ar-JO"/>
        </w:rPr>
        <w:t>، مصدر سابق</w:t>
      </w:r>
      <w:r w:rsidRPr="002273BC">
        <w:rPr>
          <w:rFonts w:ascii="Arabic Transparent" w:hAnsi="Arabic Transparent" w:cs="Arabic Transparent" w:hint="eastAsia"/>
          <w:sz w:val="24"/>
          <w:szCs w:val="24"/>
          <w:rtl/>
          <w:lang w:bidi="ar-JO"/>
        </w:rPr>
        <w:t>،</w:t>
      </w:r>
      <w:r w:rsidRPr="002273BC">
        <w:rPr>
          <w:rFonts w:ascii="Arabic Transparent" w:hAnsi="Arabic Transparent" w:cs="Arabic Transparent"/>
          <w:sz w:val="24"/>
          <w:szCs w:val="24"/>
          <w:rtl/>
          <w:lang w:bidi="ar-JO"/>
        </w:rPr>
        <w:t xml:space="preserve"> </w:t>
      </w:r>
      <w:r w:rsidRPr="002273BC">
        <w:rPr>
          <w:rFonts w:ascii="Arabic Transparent" w:hAnsi="Arabic Transparent" w:cs="Arabic Transparent" w:hint="eastAsia"/>
          <w:sz w:val="24"/>
          <w:szCs w:val="24"/>
          <w:rtl/>
          <w:lang w:bidi="ar-JO"/>
        </w:rPr>
        <w:t>كتاب</w:t>
      </w:r>
      <w:r w:rsidRPr="002273BC">
        <w:rPr>
          <w:rFonts w:ascii="Arabic Transparent" w:hAnsi="Arabic Transparent" w:cs="Arabic Transparent"/>
          <w:sz w:val="24"/>
          <w:szCs w:val="24"/>
          <w:rtl/>
          <w:lang w:bidi="ar-JO"/>
        </w:rPr>
        <w:t xml:space="preserve"> </w:t>
      </w:r>
      <w:r w:rsidRPr="002273BC">
        <w:rPr>
          <w:rFonts w:ascii="Arabic Transparent" w:hAnsi="Arabic Transparent" w:cs="Arabic Transparent" w:hint="eastAsia"/>
          <w:sz w:val="24"/>
          <w:szCs w:val="24"/>
          <w:rtl/>
          <w:lang w:bidi="ar-JO"/>
        </w:rPr>
        <w:t>الإمارة،</w:t>
      </w:r>
      <w:r w:rsidRPr="002273BC">
        <w:rPr>
          <w:rFonts w:ascii="Arabic Transparent" w:hAnsi="Arabic Transparent" w:cs="Arabic Transparent"/>
          <w:sz w:val="24"/>
          <w:szCs w:val="24"/>
          <w:rtl/>
          <w:lang w:bidi="ar-JO"/>
        </w:rPr>
        <w:t xml:space="preserve"> </w:t>
      </w:r>
      <w:r w:rsidRPr="002273BC">
        <w:rPr>
          <w:rFonts w:ascii="Arabic Transparent" w:hAnsi="Arabic Transparent" w:cs="Arabic Transparent" w:hint="eastAsia"/>
          <w:sz w:val="24"/>
          <w:szCs w:val="24"/>
          <w:rtl/>
          <w:lang w:bidi="ar-JO"/>
        </w:rPr>
        <w:t>باب</w:t>
      </w:r>
      <w:r w:rsidRPr="002273BC">
        <w:rPr>
          <w:rFonts w:ascii="Arabic Transparent" w:hAnsi="Arabic Transparent" w:cs="Arabic Transparent"/>
          <w:sz w:val="24"/>
          <w:szCs w:val="24"/>
          <w:rtl/>
          <w:lang w:bidi="ar-JO"/>
        </w:rPr>
        <w:t xml:space="preserve"> </w:t>
      </w:r>
      <w:r w:rsidRPr="002273BC">
        <w:rPr>
          <w:rFonts w:ascii="Arabic Transparent" w:hAnsi="Arabic Transparent" w:cs="Arabic Transparent" w:hint="eastAsia"/>
          <w:sz w:val="24"/>
          <w:szCs w:val="24"/>
          <w:rtl/>
          <w:lang w:bidi="ar-JO"/>
        </w:rPr>
        <w:t>كراهية</w:t>
      </w:r>
      <w:r w:rsidRPr="002273BC">
        <w:rPr>
          <w:rFonts w:ascii="Arabic Transparent" w:hAnsi="Arabic Transparent" w:cs="Arabic Transparent"/>
          <w:sz w:val="24"/>
          <w:szCs w:val="24"/>
          <w:rtl/>
          <w:lang w:bidi="ar-JO"/>
        </w:rPr>
        <w:t xml:space="preserve"> </w:t>
      </w:r>
      <w:r w:rsidRPr="002273BC">
        <w:rPr>
          <w:rFonts w:ascii="Arabic Transparent" w:hAnsi="Arabic Transparent" w:cs="Arabic Transparent" w:hint="eastAsia"/>
          <w:sz w:val="24"/>
          <w:szCs w:val="24"/>
          <w:rtl/>
          <w:lang w:bidi="ar-JO"/>
        </w:rPr>
        <w:t>الإمارة</w:t>
      </w:r>
      <w:r w:rsidRPr="002273BC">
        <w:rPr>
          <w:rFonts w:ascii="Arabic Transparent" w:hAnsi="Arabic Transparent" w:cs="Arabic Transparent"/>
          <w:sz w:val="24"/>
          <w:szCs w:val="24"/>
          <w:rtl/>
          <w:lang w:bidi="ar-JO"/>
        </w:rPr>
        <w:t xml:space="preserve"> </w:t>
      </w:r>
      <w:r w:rsidRPr="002273BC">
        <w:rPr>
          <w:rFonts w:ascii="Arabic Transparent" w:hAnsi="Arabic Transparent" w:cs="Arabic Transparent" w:hint="eastAsia"/>
          <w:sz w:val="24"/>
          <w:szCs w:val="24"/>
          <w:rtl/>
          <w:lang w:bidi="ar-JO"/>
        </w:rPr>
        <w:t>بغير</w:t>
      </w:r>
      <w:r w:rsidRPr="002273BC">
        <w:rPr>
          <w:rFonts w:ascii="Arabic Transparent" w:hAnsi="Arabic Transparent" w:cs="Arabic Transparent"/>
          <w:sz w:val="24"/>
          <w:szCs w:val="24"/>
          <w:rtl/>
          <w:lang w:bidi="ar-JO"/>
        </w:rPr>
        <w:t xml:space="preserve"> </w:t>
      </w:r>
      <w:r w:rsidRPr="002273BC">
        <w:rPr>
          <w:rFonts w:ascii="Arabic Transparent" w:hAnsi="Arabic Transparent" w:cs="Arabic Transparent" w:hint="eastAsia"/>
          <w:sz w:val="24"/>
          <w:szCs w:val="24"/>
          <w:rtl/>
          <w:lang w:bidi="ar-JO"/>
        </w:rPr>
        <w:t>ضرورة،</w:t>
      </w:r>
      <w:r w:rsidRPr="002273BC">
        <w:rPr>
          <w:rFonts w:ascii="Arabic Transparent" w:hAnsi="Arabic Transparent" w:cs="Arabic Transparent"/>
          <w:sz w:val="24"/>
          <w:szCs w:val="24"/>
          <w:rtl/>
          <w:lang w:bidi="ar-JO"/>
        </w:rPr>
        <w:t xml:space="preserve"> </w:t>
      </w:r>
      <w:r w:rsidRPr="002273BC">
        <w:rPr>
          <w:rFonts w:ascii="Arabic Transparent" w:hAnsi="Arabic Transparent" w:cs="Arabic Transparent" w:hint="eastAsia"/>
          <w:sz w:val="24"/>
          <w:szCs w:val="24"/>
          <w:rtl/>
          <w:lang w:bidi="ar-JO"/>
        </w:rPr>
        <w:t>ج</w:t>
      </w:r>
      <w:r w:rsidRPr="002273BC">
        <w:rPr>
          <w:rFonts w:ascii="Arabic Transparent" w:hAnsi="Arabic Transparent" w:cs="Arabic Transparent"/>
          <w:sz w:val="24"/>
          <w:szCs w:val="24"/>
          <w:rtl/>
          <w:lang w:bidi="ar-JO"/>
        </w:rPr>
        <w:t>3</w:t>
      </w:r>
      <w:r w:rsidRPr="002273BC">
        <w:rPr>
          <w:rFonts w:ascii="Arabic Transparent" w:hAnsi="Arabic Transparent" w:cs="Arabic Transparent" w:hint="eastAsia"/>
          <w:sz w:val="24"/>
          <w:szCs w:val="24"/>
          <w:rtl/>
          <w:lang w:bidi="ar-JO"/>
        </w:rPr>
        <w:t>،</w:t>
      </w:r>
      <w:r w:rsidRPr="002273BC">
        <w:rPr>
          <w:rFonts w:ascii="Arabic Transparent" w:hAnsi="Arabic Transparent" w:cs="Arabic Transparent"/>
          <w:sz w:val="24"/>
          <w:szCs w:val="24"/>
          <w:rtl/>
          <w:lang w:bidi="ar-JO"/>
        </w:rPr>
        <w:t xml:space="preserve"> </w:t>
      </w:r>
      <w:r w:rsidRPr="002273BC">
        <w:rPr>
          <w:rFonts w:ascii="Arabic Transparent" w:hAnsi="Arabic Transparent" w:cs="Arabic Transparent" w:hint="eastAsia"/>
          <w:sz w:val="24"/>
          <w:szCs w:val="24"/>
          <w:rtl/>
          <w:lang w:bidi="ar-JO"/>
        </w:rPr>
        <w:t>ص</w:t>
      </w:r>
      <w:r w:rsidRPr="002273BC">
        <w:rPr>
          <w:rFonts w:ascii="Arabic Transparent" w:hAnsi="Arabic Transparent" w:cs="Arabic Transparent"/>
          <w:sz w:val="24"/>
          <w:szCs w:val="24"/>
          <w:rtl/>
          <w:lang w:bidi="ar-JO"/>
        </w:rPr>
        <w:t>1457</w:t>
      </w:r>
      <w:r w:rsidRPr="002273BC">
        <w:rPr>
          <w:rFonts w:ascii="Arabic Transparent" w:hAnsi="Arabic Transparent" w:cs="Arabic Transparent" w:hint="eastAsia"/>
          <w:sz w:val="24"/>
          <w:szCs w:val="24"/>
          <w:rtl/>
          <w:lang w:bidi="ar-JO"/>
        </w:rPr>
        <w:t>،</w:t>
      </w:r>
      <w:r w:rsidRPr="002273BC">
        <w:rPr>
          <w:rFonts w:ascii="Arabic Transparent" w:hAnsi="Arabic Transparent" w:cs="Arabic Transparent"/>
          <w:sz w:val="24"/>
          <w:szCs w:val="24"/>
          <w:rtl/>
          <w:lang w:bidi="ar-JO"/>
        </w:rPr>
        <w:t xml:space="preserve"> </w:t>
      </w:r>
      <w:r w:rsidRPr="002273BC">
        <w:rPr>
          <w:rFonts w:ascii="Arabic Transparent" w:hAnsi="Arabic Transparent" w:cs="Arabic Transparent" w:hint="eastAsia"/>
          <w:sz w:val="24"/>
          <w:szCs w:val="24"/>
          <w:rtl/>
          <w:lang w:bidi="ar-JO"/>
        </w:rPr>
        <w:t>حديث</w:t>
      </w:r>
      <w:r w:rsidRPr="002273BC">
        <w:rPr>
          <w:rFonts w:ascii="Arabic Transparent" w:hAnsi="Arabic Transparent" w:cs="Arabic Transparent"/>
          <w:sz w:val="24"/>
          <w:szCs w:val="24"/>
          <w:rtl/>
          <w:lang w:bidi="ar-JO"/>
        </w:rPr>
        <w:t xml:space="preserve"> </w:t>
      </w:r>
      <w:r w:rsidRPr="002273BC">
        <w:rPr>
          <w:rFonts w:ascii="Arabic Transparent" w:hAnsi="Arabic Transparent" w:cs="Arabic Transparent" w:hint="eastAsia"/>
          <w:sz w:val="24"/>
          <w:szCs w:val="24"/>
          <w:rtl/>
          <w:lang w:bidi="ar-JO"/>
        </w:rPr>
        <w:t>رقم</w:t>
      </w:r>
      <w:r w:rsidRPr="002273BC">
        <w:rPr>
          <w:rFonts w:ascii="Arabic Transparent" w:hAnsi="Arabic Transparent" w:cs="Arabic Transparent"/>
          <w:sz w:val="24"/>
          <w:szCs w:val="24"/>
          <w:rtl/>
          <w:lang w:bidi="ar-JO"/>
        </w:rPr>
        <w:t>: 1825.</w:t>
      </w:r>
    </w:p>
  </w:footnote>
  <w:footnote w:id="206">
    <w:p w14:paraId="0420C3B4" w14:textId="10CDFF03" w:rsidR="00925CED" w:rsidRPr="002273BC" w:rsidRDefault="00925CE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00FA49B9">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جابر، محمود صالح، والدباغ، أيمن مصطفى (2005)، </w:t>
      </w:r>
      <w:r w:rsidRPr="002273BC">
        <w:rPr>
          <w:rFonts w:ascii="Arabic Transparent" w:hAnsi="Arabic Transparent" w:cs="Arabic Transparent" w:hint="cs"/>
          <w:b/>
          <w:bCs/>
          <w:sz w:val="24"/>
          <w:szCs w:val="24"/>
          <w:rtl/>
          <w:lang w:bidi="ar-JO"/>
        </w:rPr>
        <w:t>مناهج الأصوليين في بحث مسألة تعليل الأحكام</w:t>
      </w:r>
      <w:r w:rsidRPr="002273BC">
        <w:rPr>
          <w:rFonts w:ascii="Arabic Transparent" w:hAnsi="Arabic Transparent" w:cs="Arabic Transparent" w:hint="cs"/>
          <w:sz w:val="24"/>
          <w:szCs w:val="24"/>
          <w:rtl/>
          <w:lang w:bidi="ar-JO"/>
        </w:rPr>
        <w:t>، مجلة دراسات: علوم الشريعة والقانون، المجلد 32، العدد 1، ص188.</w:t>
      </w:r>
    </w:p>
  </w:footnote>
  <w:footnote w:id="207">
    <w:p w14:paraId="78008630" w14:textId="050515D4" w:rsidR="00925CED" w:rsidRPr="002273BC" w:rsidRDefault="00925CE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0053157B">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أمجوض، عبدالحليم بن محمد أيت، </w:t>
      </w:r>
      <w:r w:rsidRPr="002273BC">
        <w:rPr>
          <w:rFonts w:ascii="Arabic Transparent" w:hAnsi="Arabic Transparent" w:cs="Arabic Transparent" w:hint="cs"/>
          <w:b/>
          <w:bCs/>
          <w:sz w:val="24"/>
          <w:szCs w:val="24"/>
          <w:rtl/>
          <w:lang w:bidi="ar-JO"/>
        </w:rPr>
        <w:t>فقه التنزيل وقواعده وتطبيقاته من خلال نوازل من تراث المالكية ونماذج من القضايا المعاصرة</w:t>
      </w:r>
      <w:r w:rsidRPr="002273BC">
        <w:rPr>
          <w:rFonts w:ascii="Arabic Transparent" w:hAnsi="Arabic Transparent" w:cs="Arabic Transparent" w:hint="cs"/>
          <w:sz w:val="24"/>
          <w:szCs w:val="24"/>
          <w:rtl/>
          <w:lang w:bidi="ar-JO"/>
        </w:rPr>
        <w:t>، ط1، ص402، دار الفقيه للنشر والتوزيع، أبوظبي، الإمارات العربية المتحدة.</w:t>
      </w:r>
    </w:p>
  </w:footnote>
  <w:footnote w:id="208">
    <w:p w14:paraId="4728C950" w14:textId="77777777" w:rsidR="00925CED" w:rsidRPr="002273BC" w:rsidRDefault="00925CED" w:rsidP="00EA3738">
      <w:pPr>
        <w:pStyle w:val="FootnoteText"/>
        <w:spacing w:line="360" w:lineRule="auto"/>
        <w:jc w:val="both"/>
        <w:rPr>
          <w:rFonts w:ascii="Arabic Transparent" w:hAnsi="Arabic Transparent" w:cs="Arabic Transparent"/>
          <w:sz w:val="24"/>
          <w:szCs w:val="24"/>
          <w:rtl/>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خليل، بن إسحاق بن موسى، ضياء الدين المالكي المصري الجندي (2005)، </w:t>
      </w:r>
      <w:r w:rsidRPr="002273BC">
        <w:rPr>
          <w:rFonts w:ascii="Arabic Transparent" w:hAnsi="Arabic Transparent" w:cs="Arabic Transparent" w:hint="cs"/>
          <w:b/>
          <w:bCs/>
          <w:sz w:val="24"/>
          <w:szCs w:val="24"/>
          <w:rtl/>
        </w:rPr>
        <w:t>مختصر العلامة خليل</w:t>
      </w:r>
      <w:r w:rsidRPr="002273BC">
        <w:rPr>
          <w:rFonts w:ascii="Arabic Transparent" w:hAnsi="Arabic Transparent" w:cs="Arabic Transparent" w:hint="cs"/>
          <w:sz w:val="24"/>
          <w:szCs w:val="24"/>
          <w:rtl/>
        </w:rPr>
        <w:t xml:space="preserve"> (تحقيق أحمد جاد)، ط1، ص149، دار الحديث، القاهرة.</w:t>
      </w:r>
    </w:p>
  </w:footnote>
  <w:footnote w:id="209">
    <w:p w14:paraId="02BFCEDE" w14:textId="77777777" w:rsidR="00925CED" w:rsidRPr="002273BC" w:rsidRDefault="00925CE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lang w:bidi="ar-JO"/>
        </w:rPr>
        <w:t xml:space="preserve"> المصدر السابق ذاته، ص60.</w:t>
      </w:r>
    </w:p>
  </w:footnote>
  <w:footnote w:id="210">
    <w:p w14:paraId="136FD518" w14:textId="77777777" w:rsidR="00925CED" w:rsidRPr="002273BC" w:rsidRDefault="00925CE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المناوي، عبد الرؤوف بن تاج العارفين، (1937)، </w:t>
      </w:r>
      <w:r w:rsidRPr="002273BC">
        <w:rPr>
          <w:rFonts w:ascii="Arabic Transparent" w:hAnsi="Arabic Transparent" w:cs="Arabic Transparent" w:hint="cs"/>
          <w:b/>
          <w:bCs/>
          <w:sz w:val="24"/>
          <w:szCs w:val="24"/>
          <w:rtl/>
          <w:lang w:bidi="ar-JO"/>
        </w:rPr>
        <w:t>فيض القدير شرح الجامع الصغير</w:t>
      </w:r>
      <w:r w:rsidRPr="002273BC">
        <w:rPr>
          <w:rFonts w:ascii="Arabic Transparent" w:hAnsi="Arabic Transparent" w:cs="Arabic Transparent" w:hint="cs"/>
          <w:sz w:val="24"/>
          <w:szCs w:val="24"/>
          <w:rtl/>
          <w:lang w:bidi="ar-JO"/>
        </w:rPr>
        <w:t>، ط1، ج1، ص209، المكتبة التجارية الكبرى – مصر.</w:t>
      </w:r>
    </w:p>
  </w:footnote>
  <w:footnote w:id="211">
    <w:p w14:paraId="444EC746" w14:textId="0ECD57CB" w:rsidR="00925CED" w:rsidRPr="002273BC" w:rsidRDefault="00925CE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135610">
        <w:rPr>
          <w:rFonts w:ascii="Arabic Transparent" w:hAnsi="Arabic Transparent" w:cs="Arabic Transparent" w:hint="cs"/>
          <w:sz w:val="24"/>
          <w:szCs w:val="24"/>
          <w:rtl/>
          <w:lang w:bidi="ar-JO"/>
        </w:rPr>
        <w:t>الفرق بين الخلاف والاختلاف</w:t>
      </w:r>
      <w:r w:rsidRPr="002273BC">
        <w:rPr>
          <w:rFonts w:ascii="Arabic Transparent" w:hAnsi="Arabic Transparent" w:cs="Arabic Transparent" w:hint="cs"/>
          <w:b/>
          <w:bCs/>
          <w:sz w:val="24"/>
          <w:szCs w:val="24"/>
          <w:rtl/>
          <w:lang w:bidi="ar-JO"/>
        </w:rPr>
        <w:t>:</w:t>
      </w:r>
      <w:r w:rsidRPr="002273BC">
        <w:rPr>
          <w:rFonts w:ascii="Arabic Transparent" w:hAnsi="Arabic Transparent" w:cs="Arabic Transparent" w:hint="cs"/>
          <w:sz w:val="24"/>
          <w:szCs w:val="24"/>
          <w:rtl/>
          <w:lang w:bidi="ar-JO"/>
        </w:rPr>
        <w:t xml:space="preserve"> أشار إليه الكفوي، حيث قال: "الاختلاف هو أن يكون الطريق مختلفًا والمقصود واحدًا، فهو من الاجتهاد، والخلاف: هو أن يكون كلاهما مختلفًا، فلا يستند إلى دليل وهو من آثار البدعة والجدل المذموم" الكفوي، ا</w:t>
      </w:r>
      <w:r w:rsidRPr="002273BC">
        <w:rPr>
          <w:rFonts w:ascii="Arabic Transparent" w:hAnsi="Arabic Transparent" w:cs="Arabic Transparent" w:hint="cs"/>
          <w:b/>
          <w:bCs/>
          <w:sz w:val="24"/>
          <w:szCs w:val="24"/>
          <w:rtl/>
          <w:lang w:bidi="ar-JO"/>
        </w:rPr>
        <w:t>لكليات،</w:t>
      </w:r>
      <w:r w:rsidRPr="002273BC">
        <w:rPr>
          <w:rFonts w:ascii="Arabic Transparent" w:hAnsi="Arabic Transparent" w:cs="Arabic Transparent" w:hint="cs"/>
          <w:sz w:val="24"/>
          <w:szCs w:val="24"/>
          <w:rtl/>
          <w:lang w:bidi="ar-JO"/>
        </w:rPr>
        <w:t xml:space="preserve"> مصدر سابق، ص61.</w:t>
      </w:r>
    </w:p>
  </w:footnote>
  <w:footnote w:id="212">
    <w:p w14:paraId="1D3F92D6" w14:textId="77777777" w:rsidR="00925CED" w:rsidRPr="002273BC" w:rsidRDefault="00925CE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لم أجد تعريفاً له إلا عند علماء التفسير، حيث عرَّفوا اختلاف التنوع: "قولان أو أكثر متغايران على جنس واحد بحيث يمكن القول بهما معاً" انظر: الطيار، مساعد بن سليمان بن ناصر (2002م). </w:t>
      </w:r>
      <w:r w:rsidRPr="002273BC">
        <w:rPr>
          <w:rFonts w:ascii="Arabic Transparent" w:hAnsi="Arabic Transparent" w:cs="Arabic Transparent" w:hint="cs"/>
          <w:b/>
          <w:bCs/>
          <w:sz w:val="24"/>
          <w:szCs w:val="24"/>
          <w:rtl/>
          <w:lang w:bidi="ar-JO"/>
        </w:rPr>
        <w:t>فصول في أصول التفسير</w:t>
      </w:r>
      <w:r w:rsidRPr="002273BC">
        <w:rPr>
          <w:rFonts w:ascii="Arabic Transparent" w:hAnsi="Arabic Transparent" w:cs="Arabic Transparent" w:hint="cs"/>
          <w:sz w:val="24"/>
          <w:szCs w:val="24"/>
          <w:rtl/>
          <w:lang w:bidi="ar-JO"/>
        </w:rPr>
        <w:t>، ط2، دار ابن الجوزي، ص80.</w:t>
      </w:r>
    </w:p>
  </w:footnote>
  <w:footnote w:id="213">
    <w:p w14:paraId="2AF0DD62" w14:textId="17F1B263" w:rsidR="00925CED" w:rsidRPr="002273BC" w:rsidRDefault="00925CE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عرف اختلاف التضاد: "قولان أو أكثر متنافيان على جنس واحد، بحيث لا يمكن القول بهما معاً، فإذا قيل بأحدهما لزم منه عدم القول بالآخر"</w:t>
      </w:r>
      <w:r w:rsidR="005D7B91" w:rsidRPr="002273BC">
        <w:rPr>
          <w:rFonts w:ascii="Arabic Transparent" w:hAnsi="Arabic Transparent" w:cs="Arabic Transparent" w:hint="cs"/>
          <w:sz w:val="24"/>
          <w:szCs w:val="24"/>
          <w:rtl/>
          <w:lang w:bidi="ar-JO"/>
        </w:rPr>
        <w:t>،</w:t>
      </w:r>
      <w:r w:rsidR="0053157B">
        <w:rPr>
          <w:rFonts w:ascii="Arabic Transparent" w:hAnsi="Arabic Transparent" w:cs="Arabic Transparent" w:hint="cs"/>
          <w:sz w:val="24"/>
          <w:szCs w:val="24"/>
          <w:rtl/>
          <w:lang w:bidi="ar-JO"/>
        </w:rPr>
        <w:t>انظر:</w:t>
      </w:r>
      <w:r w:rsidRPr="002273BC">
        <w:rPr>
          <w:rFonts w:ascii="Arabic Transparent" w:hAnsi="Arabic Transparent" w:cs="Arabic Transparent" w:hint="cs"/>
          <w:sz w:val="24"/>
          <w:szCs w:val="24"/>
          <w:rtl/>
          <w:lang w:bidi="ar-JO"/>
        </w:rPr>
        <w:t xml:space="preserve"> المصدر السابق ذاته، ص80.</w:t>
      </w:r>
    </w:p>
  </w:footnote>
  <w:footnote w:id="214">
    <w:p w14:paraId="7569B092" w14:textId="77777777" w:rsidR="00925CED" w:rsidRPr="002273BC" w:rsidRDefault="00925CE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الشوكاني، محمد بن علي بن محمد بن عبد الله، اليمني، (1993)، </w:t>
      </w:r>
      <w:r w:rsidRPr="002273BC">
        <w:rPr>
          <w:rFonts w:ascii="Arabic Transparent" w:hAnsi="Arabic Transparent" w:cs="Arabic Transparent" w:hint="cs"/>
          <w:b/>
          <w:bCs/>
          <w:sz w:val="24"/>
          <w:szCs w:val="24"/>
          <w:rtl/>
          <w:lang w:bidi="ar-JO"/>
        </w:rPr>
        <w:t>فتح القدير</w:t>
      </w:r>
      <w:r w:rsidRPr="002273BC">
        <w:rPr>
          <w:rFonts w:ascii="Arabic Transparent" w:hAnsi="Arabic Transparent" w:cs="Arabic Transparent" w:hint="cs"/>
          <w:sz w:val="24"/>
          <w:szCs w:val="24"/>
          <w:rtl/>
          <w:lang w:bidi="ar-JO"/>
        </w:rPr>
        <w:t>، ط1، ج1، ص470، دار ابن كثير، دمشق – بيروت.</w:t>
      </w:r>
    </w:p>
  </w:footnote>
  <w:footnote w:id="215">
    <w:p w14:paraId="72A7C52D" w14:textId="63B643EA" w:rsidR="00925CED" w:rsidRPr="002273BC" w:rsidRDefault="00925CE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السمرقندي، نصر بن محمد بن أحمد بن إبراهيم، أبو الليث، (1993)، </w:t>
      </w:r>
      <w:r w:rsidRPr="002273BC">
        <w:rPr>
          <w:rFonts w:ascii="Arabic Transparent" w:hAnsi="Arabic Transparent" w:cs="Arabic Transparent" w:hint="cs"/>
          <w:b/>
          <w:bCs/>
          <w:sz w:val="24"/>
          <w:szCs w:val="24"/>
          <w:rtl/>
          <w:lang w:bidi="ar-JO"/>
        </w:rPr>
        <w:t>تفسير السمرقندي بحر العلوم،</w:t>
      </w:r>
      <w:r w:rsidR="00135610">
        <w:rPr>
          <w:rFonts w:ascii="Arabic Transparent" w:hAnsi="Arabic Transparent" w:cs="Arabic Transparent" w:hint="cs"/>
          <w:sz w:val="24"/>
          <w:szCs w:val="24"/>
          <w:rtl/>
          <w:lang w:bidi="ar-JO"/>
        </w:rPr>
        <w:t xml:space="preserve"> ط1، ج3، ص474، </w:t>
      </w:r>
      <w:r w:rsidRPr="002273BC">
        <w:rPr>
          <w:rFonts w:ascii="Arabic Transparent" w:hAnsi="Arabic Transparent" w:cs="Arabic Transparent" w:hint="cs"/>
          <w:sz w:val="24"/>
          <w:szCs w:val="24"/>
          <w:rtl/>
          <w:lang w:bidi="ar-JO"/>
        </w:rPr>
        <w:t xml:space="preserve"> دار الكتب العلمية، بيروت – لبنان.</w:t>
      </w:r>
    </w:p>
  </w:footnote>
  <w:footnote w:id="216">
    <w:p w14:paraId="29443E2B" w14:textId="77777777" w:rsidR="00925CED" w:rsidRPr="002273BC" w:rsidRDefault="00925CE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انظر: الشوكاني،</w:t>
      </w:r>
      <w:r w:rsidRPr="002273BC">
        <w:rPr>
          <w:rFonts w:ascii="Arabic Transparent" w:hAnsi="Arabic Transparent" w:cs="Arabic Transparent" w:hint="cs"/>
          <w:b/>
          <w:bCs/>
          <w:sz w:val="24"/>
          <w:szCs w:val="24"/>
          <w:rtl/>
          <w:lang w:bidi="ar-JO"/>
        </w:rPr>
        <w:t xml:space="preserve"> فتح القدير، </w:t>
      </w:r>
      <w:r w:rsidRPr="002273BC">
        <w:rPr>
          <w:rFonts w:ascii="Arabic Transparent" w:hAnsi="Arabic Transparent" w:cs="Arabic Transparent" w:hint="cs"/>
          <w:sz w:val="24"/>
          <w:szCs w:val="24"/>
          <w:rtl/>
          <w:lang w:bidi="ar-JO"/>
        </w:rPr>
        <w:t>مصدر سابق، ج5، ص309.</w:t>
      </w:r>
    </w:p>
  </w:footnote>
  <w:footnote w:id="217">
    <w:p w14:paraId="3A11C3F9" w14:textId="627BCE03" w:rsidR="00925CED" w:rsidRPr="002273BC" w:rsidRDefault="00925CE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005241F3">
        <w:rPr>
          <w:rFonts w:ascii="Arabic Transparent" w:hAnsi="Arabic Transparent" w:cs="Arabic Transparent" w:hint="cs"/>
          <w:sz w:val="24"/>
          <w:szCs w:val="24"/>
          <w:rtl/>
          <w:lang w:bidi="ar-JO"/>
        </w:rPr>
        <w:t xml:space="preserve"> الغزالي، محمد بن محمد،(د.ت)، </w:t>
      </w:r>
      <w:r w:rsidR="005241F3" w:rsidRPr="005241F3">
        <w:rPr>
          <w:rFonts w:ascii="Arabic Transparent" w:hAnsi="Arabic Transparent" w:cs="Arabic Transparent" w:hint="cs"/>
          <w:b/>
          <w:bCs/>
          <w:sz w:val="24"/>
          <w:szCs w:val="24"/>
          <w:rtl/>
          <w:lang w:bidi="ar-JO"/>
        </w:rPr>
        <w:t>إحياء علوم الدين،</w:t>
      </w:r>
      <w:r w:rsidR="005241F3">
        <w:rPr>
          <w:rFonts w:ascii="Arabic Transparent" w:hAnsi="Arabic Transparent" w:cs="Arabic Transparent" w:hint="cs"/>
          <w:sz w:val="24"/>
          <w:szCs w:val="24"/>
          <w:rtl/>
          <w:lang w:bidi="ar-JO"/>
        </w:rPr>
        <w:t xml:space="preserve"> ط1، ج1، ص42، دار المعرفة، بيروت.</w:t>
      </w:r>
    </w:p>
  </w:footnote>
  <w:footnote w:id="218">
    <w:p w14:paraId="569804D1" w14:textId="77777777" w:rsidR="00925CED" w:rsidRPr="002273BC" w:rsidRDefault="00925CE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الشاطبي، </w:t>
      </w:r>
      <w:r w:rsidRPr="002273BC">
        <w:rPr>
          <w:rFonts w:ascii="Arabic Transparent" w:hAnsi="Arabic Transparent" w:cs="Arabic Transparent" w:hint="cs"/>
          <w:b/>
          <w:bCs/>
          <w:sz w:val="24"/>
          <w:szCs w:val="24"/>
          <w:rtl/>
          <w:lang w:bidi="ar-JO"/>
        </w:rPr>
        <w:t>الموافقات</w:t>
      </w:r>
      <w:r w:rsidRPr="002273BC">
        <w:rPr>
          <w:rFonts w:ascii="Arabic Transparent" w:hAnsi="Arabic Transparent" w:cs="Arabic Transparent" w:hint="cs"/>
          <w:sz w:val="24"/>
          <w:szCs w:val="24"/>
          <w:rtl/>
          <w:lang w:bidi="ar-JO"/>
        </w:rPr>
        <w:t>، مصدر سابق، ج4، ص221.</w:t>
      </w:r>
    </w:p>
  </w:footnote>
  <w:footnote w:id="219">
    <w:p w14:paraId="20FDAC35" w14:textId="77777777" w:rsidR="00925CED" w:rsidRPr="002273BC" w:rsidRDefault="00925CE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انظر: ابن تيمية، </w:t>
      </w:r>
      <w:r w:rsidRPr="002273BC">
        <w:rPr>
          <w:rFonts w:ascii="Arabic Transparent" w:hAnsi="Arabic Transparent" w:cs="Arabic Transparent" w:hint="cs"/>
          <w:b/>
          <w:bCs/>
          <w:sz w:val="24"/>
          <w:szCs w:val="24"/>
          <w:rtl/>
          <w:lang w:bidi="ar-JO"/>
        </w:rPr>
        <w:t>مجموع الفتاوى</w:t>
      </w:r>
      <w:r w:rsidRPr="002273BC">
        <w:rPr>
          <w:rFonts w:ascii="Arabic Transparent" w:hAnsi="Arabic Transparent" w:cs="Arabic Transparent" w:hint="cs"/>
          <w:sz w:val="24"/>
          <w:szCs w:val="24"/>
          <w:rtl/>
          <w:lang w:bidi="ar-JO"/>
        </w:rPr>
        <w:t>، مصدر سابق، ج14، ص195.</w:t>
      </w:r>
    </w:p>
  </w:footnote>
  <w:footnote w:id="220">
    <w:p w14:paraId="3EC41E68" w14:textId="3DB0CBB5" w:rsidR="00925CED" w:rsidRPr="002273BC" w:rsidRDefault="00925CE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انظر: العلواني، طه جابر فياض، (1987)، </w:t>
      </w:r>
      <w:r w:rsidRPr="002273BC">
        <w:rPr>
          <w:rFonts w:ascii="Arabic Transparent" w:hAnsi="Arabic Transparent" w:cs="Arabic Transparent" w:hint="cs"/>
          <w:b/>
          <w:bCs/>
          <w:sz w:val="24"/>
          <w:szCs w:val="24"/>
          <w:rtl/>
          <w:lang w:bidi="ar-JO"/>
        </w:rPr>
        <w:t>أدب الاختلاف في الإسلام</w:t>
      </w:r>
      <w:r w:rsidRPr="002273BC">
        <w:rPr>
          <w:rFonts w:ascii="Arabic Transparent" w:hAnsi="Arabic Transparent" w:cs="Arabic Transparent" w:hint="cs"/>
          <w:sz w:val="24"/>
          <w:szCs w:val="24"/>
          <w:rtl/>
          <w:lang w:bidi="ar-JO"/>
        </w:rPr>
        <w:t xml:space="preserve">، </w:t>
      </w:r>
      <w:r w:rsidR="0015550E">
        <w:rPr>
          <w:rFonts w:ascii="Arabic Transparent" w:hAnsi="Arabic Transparent" w:cs="Arabic Transparent" w:hint="cs"/>
          <w:sz w:val="24"/>
          <w:szCs w:val="24"/>
          <w:rtl/>
          <w:lang w:bidi="ar-JO"/>
        </w:rPr>
        <w:t xml:space="preserve">ط1، ص25، </w:t>
      </w:r>
      <w:r w:rsidRPr="002273BC">
        <w:rPr>
          <w:rFonts w:ascii="Arabic Transparent" w:hAnsi="Arabic Transparent" w:cs="Arabic Transparent" w:hint="cs"/>
          <w:sz w:val="24"/>
          <w:szCs w:val="24"/>
          <w:rtl/>
          <w:lang w:bidi="ar-JO"/>
        </w:rPr>
        <w:t>المعهد العالمي للفكر الإسلامي، فيرجينيا – الولايات المتحدة الأمريكية.</w:t>
      </w:r>
    </w:p>
  </w:footnote>
  <w:footnote w:id="221">
    <w:p w14:paraId="04CF5B9E" w14:textId="534F94C3" w:rsidR="00925CED" w:rsidRPr="002273BC" w:rsidRDefault="00925CE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الجويني، عبد الملك بن عبد الله بن يوسف (1999). </w:t>
      </w:r>
      <w:r w:rsidRPr="002273BC">
        <w:rPr>
          <w:rFonts w:ascii="Arabic Transparent" w:hAnsi="Arabic Transparent" w:cs="Arabic Transparent" w:hint="cs"/>
          <w:b/>
          <w:bCs/>
          <w:sz w:val="24"/>
          <w:szCs w:val="24"/>
          <w:rtl/>
          <w:lang w:bidi="ar-JO"/>
        </w:rPr>
        <w:t>الكافية في الجدل</w:t>
      </w:r>
      <w:r w:rsidRPr="002273BC">
        <w:rPr>
          <w:rFonts w:ascii="Arabic Transparent" w:hAnsi="Arabic Transparent" w:cs="Arabic Transparent" w:hint="cs"/>
          <w:sz w:val="24"/>
          <w:szCs w:val="24"/>
          <w:rtl/>
          <w:lang w:bidi="ar-JO"/>
        </w:rPr>
        <w:t>، ط1،</w:t>
      </w:r>
      <w:r w:rsidR="0015550E">
        <w:rPr>
          <w:rFonts w:ascii="Arabic Transparent" w:hAnsi="Arabic Transparent" w:cs="Arabic Transparent" w:hint="cs"/>
          <w:sz w:val="24"/>
          <w:szCs w:val="24"/>
          <w:rtl/>
          <w:lang w:bidi="ar-JO"/>
        </w:rPr>
        <w:t xml:space="preserve"> </w:t>
      </w:r>
      <w:r w:rsidR="0015550E" w:rsidRPr="0015550E">
        <w:rPr>
          <w:rFonts w:ascii="Arabic Transparent" w:hAnsi="Arabic Transparent" w:cs="Arabic Transparent"/>
          <w:sz w:val="24"/>
          <w:szCs w:val="24"/>
          <w:rtl/>
          <w:lang w:bidi="ar-JO"/>
        </w:rPr>
        <w:t>ص69.</w:t>
      </w:r>
      <w:r w:rsidRPr="002273BC">
        <w:rPr>
          <w:rFonts w:ascii="Arabic Transparent" w:hAnsi="Arabic Transparent" w:cs="Arabic Transparent" w:hint="cs"/>
          <w:sz w:val="24"/>
          <w:szCs w:val="24"/>
          <w:rtl/>
          <w:lang w:bidi="ar-JO"/>
        </w:rPr>
        <w:t xml:space="preserve"> دار الكتب العلمية، بيروت، </w:t>
      </w:r>
    </w:p>
  </w:footnote>
  <w:footnote w:id="222">
    <w:p w14:paraId="21FA7C17" w14:textId="1D3181EE" w:rsidR="00925CED" w:rsidRPr="002273BC" w:rsidRDefault="00925CE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00761066">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المصدر السابق ذاته، </w:t>
      </w:r>
      <w:r w:rsidRPr="002273BC">
        <w:rPr>
          <w:rFonts w:ascii="Arabic Transparent" w:hAnsi="Arabic Transparent" w:cs="Arabic Transparent" w:hint="eastAsia"/>
          <w:sz w:val="24"/>
          <w:szCs w:val="24"/>
          <w:rtl/>
          <w:lang w:bidi="ar-JO"/>
        </w:rPr>
        <w:t>ص</w:t>
      </w:r>
      <w:r w:rsidRPr="002273BC">
        <w:rPr>
          <w:rFonts w:ascii="Arabic Transparent" w:hAnsi="Arabic Transparent" w:cs="Arabic Transparent"/>
          <w:sz w:val="24"/>
          <w:szCs w:val="24"/>
          <w:rtl/>
          <w:lang w:bidi="ar-JO"/>
        </w:rPr>
        <w:t>69.</w:t>
      </w:r>
    </w:p>
  </w:footnote>
  <w:footnote w:id="223">
    <w:p w14:paraId="217740F8" w14:textId="77777777" w:rsidR="00925CED" w:rsidRPr="002273BC" w:rsidRDefault="00925CE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السيوطي، </w:t>
      </w:r>
      <w:r w:rsidRPr="002273BC">
        <w:rPr>
          <w:rFonts w:ascii="Arabic Transparent" w:hAnsi="Arabic Transparent" w:cs="Arabic Transparent" w:hint="cs"/>
          <w:b/>
          <w:bCs/>
          <w:sz w:val="24"/>
          <w:szCs w:val="24"/>
          <w:rtl/>
          <w:lang w:bidi="ar-JO"/>
        </w:rPr>
        <w:t>الأشباه والنظائر</w:t>
      </w:r>
      <w:r w:rsidRPr="002273BC">
        <w:rPr>
          <w:rFonts w:ascii="Arabic Transparent" w:hAnsi="Arabic Transparent" w:cs="Arabic Transparent" w:hint="cs"/>
          <w:sz w:val="24"/>
          <w:szCs w:val="24"/>
          <w:rtl/>
          <w:lang w:bidi="ar-JO"/>
        </w:rPr>
        <w:t>، مصدر سابق، ص7.</w:t>
      </w:r>
    </w:p>
  </w:footnote>
  <w:footnote w:id="224">
    <w:p w14:paraId="77042FED" w14:textId="77777777" w:rsidR="00925CED" w:rsidRPr="002273BC" w:rsidRDefault="00925CE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الباحسين، يعقوب بن عبد الوهاب بن يوسف (1998). </w:t>
      </w:r>
      <w:r w:rsidRPr="002273BC">
        <w:rPr>
          <w:rFonts w:ascii="Arabic Transparent" w:hAnsi="Arabic Transparent" w:cs="Arabic Transparent" w:hint="cs"/>
          <w:b/>
          <w:bCs/>
          <w:sz w:val="24"/>
          <w:szCs w:val="24"/>
          <w:rtl/>
        </w:rPr>
        <w:t>الفروق الفقهية والأصولية</w:t>
      </w:r>
      <w:r w:rsidRPr="002273BC">
        <w:rPr>
          <w:rFonts w:ascii="Arabic Transparent" w:hAnsi="Arabic Transparent" w:cs="Arabic Transparent" w:hint="cs"/>
          <w:b/>
          <w:bCs/>
          <w:sz w:val="24"/>
          <w:szCs w:val="24"/>
        </w:rPr>
        <w:t xml:space="preserve">: </w:t>
      </w:r>
      <w:r w:rsidRPr="002273BC">
        <w:rPr>
          <w:rFonts w:ascii="Arabic Transparent" w:hAnsi="Arabic Transparent" w:cs="Arabic Transparent" w:hint="cs"/>
          <w:b/>
          <w:bCs/>
          <w:sz w:val="24"/>
          <w:szCs w:val="24"/>
          <w:rtl/>
        </w:rPr>
        <w:t>مقوماتها، شروطها، نشأتها، تطورها</w:t>
      </w:r>
      <w:r w:rsidRPr="002273BC">
        <w:rPr>
          <w:rFonts w:ascii="Arabic Transparent" w:hAnsi="Arabic Transparent" w:cs="Arabic Transparent" w:hint="cs"/>
          <w:sz w:val="24"/>
          <w:szCs w:val="24"/>
          <w:rtl/>
        </w:rPr>
        <w:t xml:space="preserve"> (دراسة نظرية وصفية تاريخية). ط1، ص25، مكتبة الرشد، الرياض</w:t>
      </w:r>
      <w:r w:rsidRPr="002273BC">
        <w:rPr>
          <w:rFonts w:ascii="Arabic Transparent" w:hAnsi="Arabic Transparent" w:cs="Arabic Transparent" w:hint="cs"/>
          <w:sz w:val="24"/>
          <w:szCs w:val="24"/>
        </w:rPr>
        <w:t>.</w:t>
      </w:r>
    </w:p>
  </w:footnote>
  <w:footnote w:id="225">
    <w:p w14:paraId="5922919E" w14:textId="77777777" w:rsidR="00761066" w:rsidRPr="002273BC" w:rsidRDefault="00761066" w:rsidP="00EA3738">
      <w:pPr>
        <w:pStyle w:val="FootnoteText"/>
        <w:spacing w:line="360" w:lineRule="auto"/>
        <w:jc w:val="both"/>
        <w:rPr>
          <w:rFonts w:ascii="Arabic Transparent" w:hAnsi="Arabic Transparent" w:cs="Arabic Transparent"/>
          <w:sz w:val="24"/>
          <w:szCs w:val="24"/>
          <w:rtl/>
        </w:rPr>
      </w:pP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الصلاحين، عبد المجيد محمود (2013)، ا</w:t>
      </w:r>
      <w:r w:rsidRPr="002273BC">
        <w:rPr>
          <w:rFonts w:ascii="Arabic Transparent" w:hAnsi="Arabic Transparent" w:cs="Arabic Transparent" w:hint="cs"/>
          <w:b/>
          <w:bCs/>
          <w:sz w:val="24"/>
          <w:szCs w:val="24"/>
          <w:rtl/>
        </w:rPr>
        <w:t xml:space="preserve">لفروق الفقهية: مفهومها، وتأصيلها، وشروطها، </w:t>
      </w:r>
      <w:r w:rsidRPr="002273BC">
        <w:rPr>
          <w:rFonts w:ascii="Arabic Transparent" w:hAnsi="Arabic Transparent" w:cs="Arabic Transparent" w:hint="cs"/>
          <w:sz w:val="24"/>
          <w:szCs w:val="24"/>
          <w:rtl/>
        </w:rPr>
        <w:t>م 17, عدد 34، ص13، التجديد - مجلة فكرية محكمة.</w:t>
      </w:r>
    </w:p>
  </w:footnote>
  <w:footnote w:id="226">
    <w:p w14:paraId="4535E5CB" w14:textId="77777777" w:rsidR="00925CED" w:rsidRPr="002273BC" w:rsidRDefault="00925CE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انظر: سالم، عطية بن محمد (1980م). </w:t>
      </w:r>
      <w:r w:rsidRPr="002273BC">
        <w:rPr>
          <w:rFonts w:ascii="Arabic Transparent" w:hAnsi="Arabic Transparent" w:cs="Arabic Transparent" w:hint="cs"/>
          <w:b/>
          <w:bCs/>
          <w:sz w:val="24"/>
          <w:szCs w:val="24"/>
          <w:rtl/>
          <w:lang w:bidi="ar-JO"/>
        </w:rPr>
        <w:t>الرشوة،</w:t>
      </w:r>
      <w:r w:rsidRPr="002273BC">
        <w:rPr>
          <w:rFonts w:ascii="Arabic Transparent" w:hAnsi="Arabic Transparent" w:cs="Arabic Transparent" w:hint="cs"/>
          <w:sz w:val="24"/>
          <w:szCs w:val="24"/>
          <w:rtl/>
          <w:lang w:bidi="ar-JO"/>
        </w:rPr>
        <w:t xml:space="preserve"> الجامعة الإسلامية بالمدينة المنورة، السنة الثانية عشرة، العددان 47، 48، ص143.</w:t>
      </w:r>
    </w:p>
  </w:footnote>
  <w:footnote w:id="227">
    <w:p w14:paraId="3FBD8113" w14:textId="77777777" w:rsidR="00925CED" w:rsidRPr="002273BC" w:rsidRDefault="00925CE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الإسنوي، </w:t>
      </w:r>
      <w:r w:rsidRPr="002273BC">
        <w:rPr>
          <w:rFonts w:ascii="Arabic Transparent" w:hAnsi="Arabic Transparent" w:cs="Arabic Transparent" w:hint="cs"/>
          <w:b/>
          <w:bCs/>
          <w:sz w:val="24"/>
          <w:szCs w:val="24"/>
          <w:rtl/>
          <w:lang w:bidi="ar-JO"/>
        </w:rPr>
        <w:t>نهاية السول شرح منهاج الوصول</w:t>
      </w:r>
      <w:r w:rsidRPr="002273BC">
        <w:rPr>
          <w:rFonts w:ascii="Arabic Transparent" w:hAnsi="Arabic Transparent" w:cs="Arabic Transparent" w:hint="cs"/>
          <w:sz w:val="24"/>
          <w:szCs w:val="24"/>
          <w:rtl/>
          <w:lang w:bidi="ar-JO"/>
        </w:rPr>
        <w:t>، مصدر سابق، ص254.</w:t>
      </w:r>
    </w:p>
  </w:footnote>
  <w:footnote w:id="228">
    <w:p w14:paraId="640D980E" w14:textId="5C1D755C" w:rsidR="00925CED" w:rsidRPr="002273BC" w:rsidRDefault="00925CE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00392FD7">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sz w:val="24"/>
          <w:szCs w:val="24"/>
          <w:rtl/>
          <w:lang w:bidi="ar-JO"/>
        </w:rPr>
        <w:t xml:space="preserve">المجاهد، محمد سعيد، وأبو حماد، زياد عواد (2020م). </w:t>
      </w:r>
      <w:r w:rsidRPr="002273BC">
        <w:rPr>
          <w:rFonts w:ascii="Arabic Transparent" w:hAnsi="Arabic Transparent" w:cs="Arabic Transparent" w:hint="cs"/>
          <w:b/>
          <w:bCs/>
          <w:sz w:val="24"/>
          <w:szCs w:val="24"/>
          <w:rtl/>
          <w:lang w:bidi="ar-JO"/>
        </w:rPr>
        <w:t>التعارض بين النصوص: أسبابه ودفعه</w:t>
      </w:r>
      <w:r w:rsidRPr="002273BC">
        <w:rPr>
          <w:rFonts w:ascii="Arabic Transparent" w:hAnsi="Arabic Transparent" w:cs="Arabic Transparent" w:hint="cs"/>
          <w:sz w:val="24"/>
          <w:szCs w:val="24"/>
          <w:rtl/>
          <w:lang w:bidi="ar-JO"/>
        </w:rPr>
        <w:t>، دراسات: علوم الشريعة والقانون، 47(4)، ص 121.</w:t>
      </w:r>
    </w:p>
  </w:footnote>
  <w:footnote w:id="229">
    <w:p w14:paraId="788F4F56" w14:textId="77777777" w:rsidR="00925CED" w:rsidRPr="002273BC" w:rsidRDefault="00925CE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انظر: الغزالي، </w:t>
      </w:r>
      <w:r w:rsidRPr="002273BC">
        <w:rPr>
          <w:rFonts w:ascii="Arabic Transparent" w:hAnsi="Arabic Transparent" w:cs="Arabic Transparent" w:hint="cs"/>
          <w:b/>
          <w:bCs/>
          <w:sz w:val="24"/>
          <w:szCs w:val="24"/>
          <w:rtl/>
          <w:lang w:bidi="ar-JO"/>
        </w:rPr>
        <w:t>المستصفى،</w:t>
      </w:r>
      <w:r w:rsidRPr="002273BC">
        <w:rPr>
          <w:rFonts w:ascii="Arabic Transparent" w:hAnsi="Arabic Transparent" w:cs="Arabic Transparent" w:hint="cs"/>
          <w:sz w:val="24"/>
          <w:szCs w:val="24"/>
          <w:rtl/>
          <w:lang w:bidi="ar-JO"/>
        </w:rPr>
        <w:t xml:space="preserve"> مصدر سابق، ج1، ص365.</w:t>
      </w:r>
    </w:p>
  </w:footnote>
  <w:footnote w:id="230">
    <w:p w14:paraId="4ABE4876" w14:textId="2F0ACD50" w:rsidR="002C32B4" w:rsidRPr="002273BC" w:rsidRDefault="002C32B4"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علي، منير عبد الماجد محمد (2020</w:t>
      </w:r>
      <w:r w:rsidRPr="002273BC">
        <w:rPr>
          <w:rFonts w:ascii="Arabic Transparent" w:hAnsi="Arabic Transparent" w:cs="Arabic Transparent" w:hint="cs"/>
          <w:b/>
          <w:bCs/>
          <w:sz w:val="24"/>
          <w:szCs w:val="24"/>
          <w:rtl/>
        </w:rPr>
        <w:t>)، أوجه الجمع بين النصوص الشرعية المتعارضة ظاهراً عند الأصوليين وتطبيقاتها،</w:t>
      </w:r>
      <w:r w:rsidRPr="002273BC">
        <w:rPr>
          <w:rFonts w:ascii="Arabic Transparent" w:hAnsi="Arabic Transparent" w:cs="Arabic Transparent" w:hint="cs"/>
          <w:sz w:val="24"/>
          <w:szCs w:val="24"/>
          <w:rtl/>
        </w:rPr>
        <w:t xml:space="preserve"> مجلة كلية الدراسات الإسلامية والعربية للبنات بالإسكندرية، م36، ع(7)، </w:t>
      </w:r>
      <w:r w:rsidR="0015550E">
        <w:rPr>
          <w:rFonts w:ascii="Arabic Transparent" w:hAnsi="Arabic Transparent" w:cs="Arabic Transparent" w:hint="cs"/>
          <w:sz w:val="24"/>
          <w:szCs w:val="24"/>
          <w:rtl/>
        </w:rPr>
        <w:t>ص</w:t>
      </w:r>
      <w:r w:rsidRPr="002273BC">
        <w:rPr>
          <w:rFonts w:ascii="Arabic Transparent" w:hAnsi="Arabic Transparent" w:cs="Arabic Transparent" w:hint="cs"/>
          <w:sz w:val="24"/>
          <w:szCs w:val="24"/>
          <w:rtl/>
        </w:rPr>
        <w:t>426.</w:t>
      </w:r>
    </w:p>
  </w:footnote>
  <w:footnote w:id="231">
    <w:p w14:paraId="326E40D2" w14:textId="3F568514" w:rsidR="00925CED" w:rsidRPr="002273BC" w:rsidRDefault="00925CE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انظر: الآمدي، </w:t>
      </w:r>
      <w:r w:rsidRPr="002273BC">
        <w:rPr>
          <w:rFonts w:ascii="Arabic Transparent" w:hAnsi="Arabic Transparent" w:cs="Arabic Transparent" w:hint="cs"/>
          <w:b/>
          <w:bCs/>
          <w:sz w:val="24"/>
          <w:szCs w:val="24"/>
          <w:rtl/>
          <w:lang w:bidi="ar-JO"/>
        </w:rPr>
        <w:t>الإحكام في أصول الأحكام،</w:t>
      </w:r>
      <w:r w:rsidRPr="002273BC">
        <w:rPr>
          <w:rFonts w:ascii="Arabic Transparent" w:hAnsi="Arabic Transparent" w:cs="Arabic Transparent" w:hint="cs"/>
          <w:sz w:val="24"/>
          <w:szCs w:val="24"/>
          <w:rtl/>
          <w:lang w:bidi="ar-JO"/>
        </w:rPr>
        <w:t xml:space="preserve"> مصدر سابق، ج4، ص245، وانظر الغزالي،</w:t>
      </w:r>
      <w:r w:rsidRPr="002273BC">
        <w:rPr>
          <w:rFonts w:ascii="Arabic Transparent" w:hAnsi="Arabic Transparent" w:cs="Arabic Transparent" w:hint="cs"/>
          <w:b/>
          <w:bCs/>
          <w:sz w:val="24"/>
          <w:szCs w:val="24"/>
          <w:rtl/>
          <w:lang w:bidi="ar-JO"/>
        </w:rPr>
        <w:t xml:space="preserve"> المستصفى</w:t>
      </w:r>
      <w:r w:rsidRPr="002273BC">
        <w:rPr>
          <w:rFonts w:ascii="Arabic Transparent" w:hAnsi="Arabic Transparent" w:cs="Arabic Transparent" w:hint="cs"/>
          <w:sz w:val="24"/>
          <w:szCs w:val="24"/>
          <w:rtl/>
          <w:lang w:bidi="ar-JO"/>
        </w:rPr>
        <w:t xml:space="preserve">، مصدر سابق، ج2، ص290، وانظر: الشوكاني، </w:t>
      </w:r>
      <w:r w:rsidRPr="002273BC">
        <w:rPr>
          <w:rFonts w:ascii="Arabic Transparent" w:hAnsi="Arabic Transparent" w:cs="Arabic Transparent" w:hint="cs"/>
          <w:b/>
          <w:bCs/>
          <w:sz w:val="24"/>
          <w:szCs w:val="24"/>
          <w:rtl/>
          <w:lang w:bidi="ar-JO"/>
        </w:rPr>
        <w:t>إرشاد الفحول</w:t>
      </w:r>
      <w:r w:rsidRPr="002273BC">
        <w:rPr>
          <w:rFonts w:ascii="Arabic Transparent" w:hAnsi="Arabic Transparent" w:cs="Arabic Transparent" w:hint="cs"/>
          <w:sz w:val="24"/>
          <w:szCs w:val="24"/>
          <w:rtl/>
          <w:lang w:bidi="ar-JO"/>
        </w:rPr>
        <w:t>،</w:t>
      </w:r>
      <w:r w:rsidR="00453E5B" w:rsidRPr="002273BC">
        <w:rPr>
          <w:rFonts w:ascii="Arabic Transparent" w:hAnsi="Arabic Transparent" w:cs="Arabic Transparent" w:hint="cs"/>
          <w:sz w:val="24"/>
          <w:szCs w:val="24"/>
          <w:rtl/>
          <w:lang w:bidi="ar-JO"/>
        </w:rPr>
        <w:t xml:space="preserve"> مصدر سابق،</w:t>
      </w:r>
      <w:r w:rsidRPr="002273BC">
        <w:rPr>
          <w:rFonts w:ascii="Arabic Transparent" w:hAnsi="Arabic Transparent" w:cs="Arabic Transparent" w:hint="cs"/>
          <w:sz w:val="24"/>
          <w:szCs w:val="24"/>
          <w:rtl/>
          <w:lang w:bidi="ar-JO"/>
        </w:rPr>
        <w:t xml:space="preserve"> ج2، ص260.</w:t>
      </w:r>
    </w:p>
  </w:footnote>
  <w:footnote w:id="232">
    <w:p w14:paraId="0EEBE89D" w14:textId="31FA2D41" w:rsidR="00017DFE" w:rsidRPr="002273BC" w:rsidRDefault="00017DFE"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00453E5B" w:rsidRPr="002273BC">
        <w:rPr>
          <w:rFonts w:ascii="Arabic Transparent" w:hAnsi="Arabic Transparent" w:cs="Arabic Transparent"/>
          <w:sz w:val="24"/>
          <w:szCs w:val="24"/>
          <w:rtl/>
          <w:lang w:bidi="ar-JO"/>
        </w:rPr>
        <w:t xml:space="preserve">الطبري، محمد بن جرير، أبو جعفر (د.ت)، </w:t>
      </w:r>
      <w:r w:rsidR="00453E5B" w:rsidRPr="002C32B4">
        <w:rPr>
          <w:rFonts w:ascii="Arabic Transparent" w:hAnsi="Arabic Transparent" w:cs="Arabic Transparent"/>
          <w:b/>
          <w:bCs/>
          <w:sz w:val="24"/>
          <w:szCs w:val="24"/>
          <w:rtl/>
          <w:lang w:bidi="ar-JO"/>
        </w:rPr>
        <w:t>جامع البيان عن تأويل آي القرآن</w:t>
      </w:r>
      <w:r w:rsidR="00453E5B" w:rsidRPr="002273BC">
        <w:rPr>
          <w:rFonts w:ascii="Arabic Transparent" w:hAnsi="Arabic Transparent" w:cs="Arabic Transparent"/>
          <w:sz w:val="24"/>
          <w:szCs w:val="24"/>
          <w:rtl/>
          <w:lang w:bidi="ar-JO"/>
        </w:rPr>
        <w:t>، ط1،</w:t>
      </w:r>
      <w:r w:rsidR="00453E5B" w:rsidRPr="002273BC">
        <w:rPr>
          <w:rFonts w:ascii="Arabic Transparent" w:hAnsi="Arabic Transparent" w:cs="Arabic Transparent" w:hint="cs"/>
          <w:sz w:val="24"/>
          <w:szCs w:val="24"/>
          <w:rtl/>
          <w:lang w:bidi="ar-JO"/>
        </w:rPr>
        <w:t xml:space="preserve"> </w:t>
      </w:r>
      <w:r w:rsidR="00453E5B" w:rsidRPr="002273BC">
        <w:rPr>
          <w:rFonts w:ascii="Arabic Transparent" w:hAnsi="Arabic Transparent" w:cs="Arabic Transparent"/>
          <w:sz w:val="24"/>
          <w:szCs w:val="24"/>
          <w:rtl/>
          <w:lang w:bidi="ar-JO"/>
        </w:rPr>
        <w:t>ج5، ص15</w:t>
      </w:r>
      <w:r w:rsidR="00453E5B" w:rsidRPr="002273BC">
        <w:rPr>
          <w:rFonts w:ascii="Arabic Transparent" w:hAnsi="Arabic Transparent" w:cs="Arabic Transparent" w:hint="cs"/>
          <w:sz w:val="24"/>
          <w:szCs w:val="24"/>
          <w:rtl/>
          <w:lang w:bidi="ar-JO"/>
        </w:rPr>
        <w:t>،</w:t>
      </w:r>
      <w:r w:rsidR="00453E5B" w:rsidRPr="002273BC">
        <w:rPr>
          <w:rFonts w:ascii="Arabic Transparent" w:hAnsi="Arabic Transparent" w:cs="Arabic Transparent"/>
          <w:sz w:val="24"/>
          <w:szCs w:val="24"/>
          <w:rtl/>
          <w:lang w:bidi="ar-JO"/>
        </w:rPr>
        <w:t xml:space="preserve"> توزيع: دار التربية والتراث، مكة المكرمة</w:t>
      </w:r>
      <w:r w:rsidRPr="002273BC">
        <w:rPr>
          <w:rFonts w:ascii="Arabic Transparent" w:hAnsi="Arabic Transparent" w:cs="Arabic Transparent" w:hint="cs"/>
          <w:sz w:val="24"/>
          <w:szCs w:val="24"/>
          <w:rtl/>
          <w:lang w:bidi="ar-JO"/>
        </w:rPr>
        <w:t>.</w:t>
      </w:r>
    </w:p>
  </w:footnote>
  <w:footnote w:id="233">
    <w:p w14:paraId="0B478F7A" w14:textId="77777777" w:rsidR="00017DFE" w:rsidRPr="002273BC" w:rsidRDefault="00017DFE"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الطحاوي، أحمد بن محمد بن سلامة (2021م</w:t>
      </w:r>
      <w:r w:rsidRPr="002273BC">
        <w:rPr>
          <w:rFonts w:ascii="Arabic Transparent" w:hAnsi="Arabic Transparent" w:cs="Arabic Transparent" w:hint="cs"/>
          <w:b/>
          <w:bCs/>
          <w:sz w:val="24"/>
          <w:szCs w:val="24"/>
          <w:rtl/>
          <w:lang w:bidi="ar-JO"/>
        </w:rPr>
        <w:t>). شرح معاني الآثار</w:t>
      </w:r>
      <w:r w:rsidRPr="002273BC">
        <w:rPr>
          <w:rFonts w:ascii="Arabic Transparent" w:hAnsi="Arabic Transparent" w:cs="Arabic Transparent" w:hint="cs"/>
          <w:sz w:val="24"/>
          <w:szCs w:val="24"/>
          <w:rtl/>
          <w:lang w:bidi="ar-JO"/>
        </w:rPr>
        <w:t xml:space="preserve"> (تحقيق وتخريج: لطيف الرحمن البهرائجي القاسمي)، ط1، دار ابن حزم، بيروت، ج8، ص213.</w:t>
      </w:r>
    </w:p>
  </w:footnote>
  <w:footnote w:id="234">
    <w:p w14:paraId="5357F6E3" w14:textId="77777777" w:rsidR="00017DFE" w:rsidRPr="002273BC" w:rsidRDefault="00017DFE"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القرطبي، </w:t>
      </w:r>
      <w:r w:rsidRPr="002273BC">
        <w:rPr>
          <w:rFonts w:ascii="Arabic Transparent" w:hAnsi="Arabic Transparent" w:cs="Arabic Transparent" w:hint="cs"/>
          <w:b/>
          <w:bCs/>
          <w:sz w:val="24"/>
          <w:szCs w:val="24"/>
          <w:rtl/>
          <w:lang w:bidi="ar-JO"/>
        </w:rPr>
        <w:t>الجامع لأحكام القرآن،</w:t>
      </w:r>
      <w:r w:rsidRPr="002273BC">
        <w:rPr>
          <w:rFonts w:ascii="Arabic Transparent" w:hAnsi="Arabic Transparent" w:cs="Arabic Transparent" w:hint="cs"/>
          <w:sz w:val="24"/>
          <w:szCs w:val="24"/>
          <w:rtl/>
          <w:lang w:bidi="ar-JO"/>
        </w:rPr>
        <w:t xml:space="preserve"> مصدر سابق، ج3، ص371.</w:t>
      </w:r>
    </w:p>
  </w:footnote>
  <w:footnote w:id="235">
    <w:p w14:paraId="70A74BD0" w14:textId="77777777" w:rsidR="00017DFE" w:rsidRPr="002273BC" w:rsidRDefault="00017DFE"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الشافعي، محمد بن إدريس (2006م</w:t>
      </w:r>
      <w:r w:rsidRPr="002273BC">
        <w:rPr>
          <w:rFonts w:ascii="Arabic Transparent" w:hAnsi="Arabic Transparent" w:cs="Arabic Transparent" w:hint="cs"/>
          <w:b/>
          <w:bCs/>
          <w:sz w:val="24"/>
          <w:szCs w:val="24"/>
          <w:rtl/>
          <w:lang w:bidi="ar-JO"/>
        </w:rPr>
        <w:t>). تفسير الإمام الشافعي</w:t>
      </w:r>
      <w:r w:rsidRPr="002273BC">
        <w:rPr>
          <w:rFonts w:ascii="Arabic Transparent" w:hAnsi="Arabic Transparent" w:cs="Arabic Transparent" w:hint="cs"/>
          <w:sz w:val="24"/>
          <w:szCs w:val="24"/>
          <w:rtl/>
          <w:lang w:bidi="ar-JO"/>
        </w:rPr>
        <w:t xml:space="preserve"> (جمع وتحقيق ودراسة: أحمد بن مصطفى الفرّان). ط1، دار التدمرية، المملكة العربية السعودية، ج3، ص1394.</w:t>
      </w:r>
    </w:p>
  </w:footnote>
  <w:footnote w:id="236">
    <w:p w14:paraId="5D14533C" w14:textId="77777777" w:rsidR="00017DFE" w:rsidRPr="002273BC" w:rsidRDefault="00017DFE"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الطبري، </w:t>
      </w:r>
      <w:r w:rsidRPr="002273BC">
        <w:rPr>
          <w:rFonts w:ascii="Arabic Transparent" w:hAnsi="Arabic Transparent" w:cs="Arabic Transparent" w:hint="cs"/>
          <w:b/>
          <w:bCs/>
          <w:sz w:val="24"/>
          <w:szCs w:val="24"/>
          <w:rtl/>
          <w:lang w:bidi="ar-JO"/>
        </w:rPr>
        <w:t>جامع البيان عن تأويل آي القرآن</w:t>
      </w:r>
      <w:r w:rsidRPr="002273BC">
        <w:rPr>
          <w:rFonts w:ascii="Arabic Transparent" w:hAnsi="Arabic Transparent" w:cs="Arabic Transparent" w:hint="cs"/>
          <w:sz w:val="24"/>
          <w:szCs w:val="24"/>
          <w:rtl/>
          <w:lang w:bidi="ar-JO"/>
        </w:rPr>
        <w:t>، مصدر سابق، ج5، ص101.</w:t>
      </w:r>
    </w:p>
  </w:footnote>
  <w:footnote w:id="237">
    <w:p w14:paraId="462D3E23" w14:textId="1D0B40ED" w:rsidR="0095634B" w:rsidRPr="002273BC" w:rsidRDefault="0095634B"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أبو حيان</w:t>
      </w:r>
      <w:r w:rsidR="00D41725">
        <w:rPr>
          <w:rFonts w:ascii="Arabic Transparent" w:hAnsi="Arabic Transparent" w:cs="Arabic Transparent" w:hint="cs"/>
          <w:sz w:val="24"/>
          <w:szCs w:val="24"/>
          <w:rtl/>
          <w:lang w:bidi="ar-JO"/>
        </w:rPr>
        <w:t>،</w:t>
      </w:r>
      <w:r w:rsidRPr="002273BC">
        <w:rPr>
          <w:rFonts w:ascii="Arabic Transparent" w:hAnsi="Arabic Transparent" w:cs="Arabic Transparent" w:hint="cs"/>
          <w:sz w:val="24"/>
          <w:szCs w:val="24"/>
          <w:rtl/>
          <w:lang w:bidi="ar-JO"/>
        </w:rPr>
        <w:t xml:space="preserve"> الأندلسي، محمد بن يوسف (2000م). </w:t>
      </w:r>
      <w:r w:rsidRPr="002273BC">
        <w:rPr>
          <w:rFonts w:ascii="Arabic Transparent" w:hAnsi="Arabic Transparent" w:cs="Arabic Transparent" w:hint="cs"/>
          <w:b/>
          <w:bCs/>
          <w:sz w:val="24"/>
          <w:szCs w:val="24"/>
          <w:rtl/>
          <w:lang w:bidi="ar-JO"/>
        </w:rPr>
        <w:t>البحر المحيط في التفسير</w:t>
      </w:r>
      <w:r w:rsidRPr="002273BC">
        <w:rPr>
          <w:rFonts w:ascii="Arabic Transparent" w:hAnsi="Arabic Transparent" w:cs="Arabic Transparent" w:hint="cs"/>
          <w:sz w:val="24"/>
          <w:szCs w:val="24"/>
          <w:rtl/>
          <w:lang w:bidi="ar-JO"/>
        </w:rPr>
        <w:t>، بعناية: صدقي محمد جميل العطار، وزهير جعيد، وعرفان العشا حسّونة، ج3، ص525.</w:t>
      </w:r>
    </w:p>
  </w:footnote>
  <w:footnote w:id="238">
    <w:p w14:paraId="379012F8" w14:textId="77777777" w:rsidR="00017DFE" w:rsidRPr="002273BC" w:rsidRDefault="00017DFE"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الطبري، </w:t>
      </w:r>
      <w:r w:rsidRPr="002273BC">
        <w:rPr>
          <w:rFonts w:ascii="Arabic Transparent" w:hAnsi="Arabic Transparent" w:cs="Arabic Transparent" w:hint="cs"/>
          <w:b/>
          <w:bCs/>
          <w:sz w:val="24"/>
          <w:szCs w:val="24"/>
          <w:rtl/>
          <w:lang w:bidi="ar-JO"/>
        </w:rPr>
        <w:t>جامع البيان</w:t>
      </w:r>
      <w:r w:rsidRPr="002273BC">
        <w:rPr>
          <w:rFonts w:ascii="Arabic Transparent" w:hAnsi="Arabic Transparent" w:cs="Arabic Transparent" w:hint="cs"/>
          <w:sz w:val="24"/>
          <w:szCs w:val="24"/>
          <w:rtl/>
          <w:lang w:bidi="ar-JO"/>
        </w:rPr>
        <w:t xml:space="preserve">، مصدر سابق، ج12، ص75، </w:t>
      </w:r>
    </w:p>
  </w:footnote>
  <w:footnote w:id="239">
    <w:p w14:paraId="2D347BA7" w14:textId="77777777" w:rsidR="00017DFE" w:rsidRPr="002273BC" w:rsidRDefault="00017DFE"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رضا، محمد رشيد بن علي (1990م). </w:t>
      </w:r>
      <w:r w:rsidRPr="002273BC">
        <w:rPr>
          <w:rFonts w:ascii="Arabic Transparent" w:hAnsi="Arabic Transparent" w:cs="Arabic Transparent" w:hint="cs"/>
          <w:b/>
          <w:bCs/>
          <w:sz w:val="24"/>
          <w:szCs w:val="24"/>
          <w:rtl/>
          <w:lang w:bidi="ar-JO"/>
        </w:rPr>
        <w:t>تفسير القرآن الحكيم (تفسير المنار)،</w:t>
      </w:r>
      <w:r w:rsidRPr="002273BC">
        <w:rPr>
          <w:rFonts w:ascii="Arabic Transparent" w:hAnsi="Arabic Transparent" w:cs="Arabic Transparent" w:hint="cs"/>
          <w:sz w:val="24"/>
          <w:szCs w:val="24"/>
          <w:rtl/>
          <w:lang w:bidi="ar-JO"/>
        </w:rPr>
        <w:t xml:space="preserve"> الهيئة المصرية العامة للكتاب، ج11، ص61.</w:t>
      </w:r>
    </w:p>
  </w:footnote>
  <w:footnote w:id="240">
    <w:p w14:paraId="51787B0D" w14:textId="477CE59E" w:rsidR="00017DFE" w:rsidRPr="002273BC" w:rsidRDefault="00017DFE"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أخرجه البخاري في صحيحه، البخاري، </w:t>
      </w:r>
      <w:r w:rsidR="00453E5B" w:rsidRPr="002273BC">
        <w:rPr>
          <w:rFonts w:ascii="Arabic Transparent" w:hAnsi="Arabic Transparent" w:cs="Arabic Transparent" w:hint="cs"/>
          <w:b/>
          <w:bCs/>
          <w:sz w:val="24"/>
          <w:szCs w:val="24"/>
          <w:rtl/>
          <w:lang w:bidi="ar-JO"/>
        </w:rPr>
        <w:t>صحيح البخاري</w:t>
      </w:r>
      <w:r w:rsidRPr="002273BC">
        <w:rPr>
          <w:rFonts w:ascii="Arabic Transparent" w:hAnsi="Arabic Transparent" w:cs="Arabic Transparent" w:hint="cs"/>
          <w:sz w:val="24"/>
          <w:szCs w:val="24"/>
          <w:rtl/>
          <w:lang w:bidi="ar-JO"/>
        </w:rPr>
        <w:t>، مصدر سابق، كتاب الوكالة، باب وكالة والغائب جائزة، رقم (2182)، ج2، ص809.</w:t>
      </w:r>
    </w:p>
  </w:footnote>
  <w:footnote w:id="241">
    <w:p w14:paraId="16158335" w14:textId="7402E040" w:rsidR="00017DFE" w:rsidRPr="002273BC" w:rsidRDefault="00017DFE"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النووي، </w:t>
      </w:r>
      <w:r w:rsidRPr="002273BC">
        <w:rPr>
          <w:rFonts w:ascii="Arabic Transparent" w:hAnsi="Arabic Transparent" w:cs="Arabic Transparent" w:hint="cs"/>
          <w:b/>
          <w:bCs/>
          <w:sz w:val="24"/>
          <w:szCs w:val="24"/>
          <w:rtl/>
          <w:lang w:bidi="ar-JO"/>
        </w:rPr>
        <w:t>المنهاج شرح صحيح مسلم بن الحجاج</w:t>
      </w:r>
      <w:r w:rsidR="00453E5B" w:rsidRPr="002273BC">
        <w:rPr>
          <w:rFonts w:ascii="Arabic Transparent" w:hAnsi="Arabic Transparent" w:cs="Arabic Transparent" w:hint="cs"/>
          <w:sz w:val="24"/>
          <w:szCs w:val="24"/>
          <w:rtl/>
          <w:lang w:bidi="ar-JO"/>
        </w:rPr>
        <w:t xml:space="preserve">، مصدر سابق، </w:t>
      </w:r>
      <w:r w:rsidRPr="002273BC">
        <w:rPr>
          <w:rFonts w:ascii="Arabic Transparent" w:hAnsi="Arabic Transparent" w:cs="Arabic Transparent" w:hint="cs"/>
          <w:sz w:val="24"/>
          <w:szCs w:val="24"/>
          <w:rtl/>
          <w:lang w:bidi="ar-JO"/>
        </w:rPr>
        <w:t>ج11، ص37.</w:t>
      </w:r>
    </w:p>
  </w:footnote>
  <w:footnote w:id="242">
    <w:p w14:paraId="525747CB" w14:textId="58F6C827" w:rsidR="00017DFE" w:rsidRPr="002273BC" w:rsidRDefault="00017DFE"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أخرجه البخاري في صحيحه، البخاري، </w:t>
      </w:r>
      <w:r w:rsidR="00453E5B" w:rsidRPr="002273BC">
        <w:rPr>
          <w:rFonts w:ascii="Arabic Transparent" w:hAnsi="Arabic Transparent" w:cs="Arabic Transparent" w:hint="cs"/>
          <w:b/>
          <w:bCs/>
          <w:sz w:val="24"/>
          <w:szCs w:val="24"/>
          <w:rtl/>
          <w:lang w:bidi="ar-JO"/>
        </w:rPr>
        <w:t>صحيح البخاري</w:t>
      </w:r>
      <w:r w:rsidRPr="002273BC">
        <w:rPr>
          <w:rFonts w:ascii="Arabic Transparent" w:hAnsi="Arabic Transparent" w:cs="Arabic Transparent" w:hint="cs"/>
          <w:sz w:val="24"/>
          <w:szCs w:val="24"/>
          <w:rtl/>
          <w:lang w:bidi="ar-JO"/>
        </w:rPr>
        <w:t>، مصدر سابق، كتاب الوكالة، باب الوكالة في الصرف والميزان، رقم (2180)، ج2، ص808.</w:t>
      </w:r>
    </w:p>
  </w:footnote>
  <w:footnote w:id="243">
    <w:p w14:paraId="796A11C8" w14:textId="77777777" w:rsidR="00017DFE" w:rsidRPr="002273BC" w:rsidRDefault="00017DFE"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انظر: العيني، محمود بن أحمد بن موسى بدر الدين (د.ت). </w:t>
      </w:r>
      <w:r w:rsidRPr="002273BC">
        <w:rPr>
          <w:rFonts w:ascii="Arabic Transparent" w:hAnsi="Arabic Transparent" w:cs="Arabic Transparent" w:hint="cs"/>
          <w:b/>
          <w:bCs/>
          <w:sz w:val="24"/>
          <w:szCs w:val="24"/>
          <w:rtl/>
          <w:lang w:bidi="ar-JO"/>
        </w:rPr>
        <w:t>عمدة القاري شرح صحيح البخاري</w:t>
      </w:r>
      <w:r w:rsidRPr="002273BC">
        <w:rPr>
          <w:rFonts w:ascii="Arabic Transparent" w:hAnsi="Arabic Transparent" w:cs="Arabic Transparent" w:hint="cs"/>
          <w:sz w:val="24"/>
          <w:szCs w:val="24"/>
          <w:rtl/>
          <w:lang w:bidi="ar-JO"/>
        </w:rPr>
        <w:t>. طبع بإدارة الطباعة المنيرية، ثم صورته دار إحياء التراث العربي، ودار الفكر، بيروت، ج17، ص270.</w:t>
      </w:r>
    </w:p>
  </w:footnote>
  <w:footnote w:id="244">
    <w:p w14:paraId="75391A18" w14:textId="77777777" w:rsidR="00017DFE" w:rsidRPr="002273BC" w:rsidRDefault="00017DFE"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أخرجه ابن ماجة في سننه، ابن ماجه، محمد بن يزيد القزويني (2009م). </w:t>
      </w:r>
      <w:r w:rsidRPr="002273BC">
        <w:rPr>
          <w:rFonts w:ascii="Arabic Transparent" w:hAnsi="Arabic Transparent" w:cs="Arabic Transparent" w:hint="cs"/>
          <w:b/>
          <w:bCs/>
          <w:sz w:val="24"/>
          <w:szCs w:val="24"/>
          <w:rtl/>
          <w:lang w:bidi="ar-JO"/>
        </w:rPr>
        <w:t>سنن ابن ماجه</w:t>
      </w:r>
      <w:r w:rsidRPr="002273BC">
        <w:rPr>
          <w:rFonts w:ascii="Arabic Transparent" w:hAnsi="Arabic Transparent" w:cs="Arabic Transparent" w:hint="cs"/>
          <w:sz w:val="24"/>
          <w:szCs w:val="24"/>
          <w:rtl/>
          <w:lang w:bidi="ar-JO"/>
        </w:rPr>
        <w:t xml:space="preserve"> (تحقيق: شعيب الأرنؤوط، وعادل مرشد، ومحمد كامل قره بللي، وعبد اللطيف حرز الله)، ط1، أبواب الأشربة، باب ما أسكر كثيره فقليله حرام، رقم الحديث (3393)، ج4، ص475، دار الرسالة العالمية، لبنان، وأخرجه أبو داود في السنن، أبو داود، </w:t>
      </w:r>
      <w:r w:rsidRPr="002273BC">
        <w:rPr>
          <w:rFonts w:ascii="Arabic Transparent" w:hAnsi="Arabic Transparent" w:cs="Arabic Transparent" w:hint="cs"/>
          <w:b/>
          <w:bCs/>
          <w:sz w:val="24"/>
          <w:szCs w:val="24"/>
          <w:rtl/>
          <w:lang w:bidi="ar-JO"/>
        </w:rPr>
        <w:t>سنن أبي داود</w:t>
      </w:r>
      <w:r w:rsidRPr="002273BC">
        <w:rPr>
          <w:rFonts w:ascii="Arabic Transparent" w:hAnsi="Arabic Transparent" w:cs="Arabic Transparent" w:hint="cs"/>
          <w:sz w:val="24"/>
          <w:szCs w:val="24"/>
          <w:rtl/>
          <w:lang w:bidi="ar-JO"/>
        </w:rPr>
        <w:t xml:space="preserve">، مصدر سابق، رقم الحديث (3681)، ج5، ص523، وأخرجه الترمذي، </w:t>
      </w:r>
      <w:r w:rsidRPr="002273BC">
        <w:rPr>
          <w:rFonts w:ascii="Arabic Transparent" w:hAnsi="Arabic Transparent" w:cs="Arabic Transparent" w:hint="cs"/>
          <w:b/>
          <w:bCs/>
          <w:sz w:val="24"/>
          <w:szCs w:val="24"/>
          <w:rtl/>
          <w:lang w:bidi="ar-JO"/>
        </w:rPr>
        <w:t>سنن الترمذي،</w:t>
      </w:r>
      <w:r w:rsidRPr="002273BC">
        <w:rPr>
          <w:rFonts w:ascii="Arabic Transparent" w:hAnsi="Arabic Transparent" w:cs="Arabic Transparent" w:hint="cs"/>
          <w:sz w:val="24"/>
          <w:szCs w:val="24"/>
          <w:rtl/>
          <w:lang w:bidi="ar-JO"/>
        </w:rPr>
        <w:t xml:space="preserve"> مصدر سابق، أبواب الأشربة، باب ما أسكر كصيره وقليله حرام، حديث رقم (1865)، ج4، ص292، وحكم عليه الترمذي، حَدِيثٌ حَسَنٌ غَرِيبٌ مِنْ حَدِيثِ جَابِرٍ</w:t>
      </w:r>
    </w:p>
  </w:footnote>
  <w:footnote w:id="245">
    <w:p w14:paraId="2AAAEF0D" w14:textId="77777777" w:rsidR="00017DFE" w:rsidRPr="002273BC" w:rsidRDefault="00017DFE"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الزرقاني، محمد بن عبد الباقي بن يوسف (2003م). </w:t>
      </w:r>
      <w:r w:rsidRPr="002273BC">
        <w:rPr>
          <w:rFonts w:ascii="Arabic Transparent" w:hAnsi="Arabic Transparent" w:cs="Arabic Transparent" w:hint="cs"/>
          <w:b/>
          <w:bCs/>
          <w:sz w:val="24"/>
          <w:szCs w:val="24"/>
          <w:rtl/>
          <w:lang w:bidi="ar-JO"/>
        </w:rPr>
        <w:t xml:space="preserve">شرح الزرقاني على موطأ الإمام مالك </w:t>
      </w:r>
      <w:r w:rsidRPr="002273BC">
        <w:rPr>
          <w:rFonts w:ascii="Arabic Transparent" w:hAnsi="Arabic Transparent" w:cs="Arabic Transparent" w:hint="cs"/>
          <w:sz w:val="24"/>
          <w:szCs w:val="24"/>
          <w:rtl/>
          <w:lang w:bidi="ar-JO"/>
        </w:rPr>
        <w:t>(تحقيق: طه عبد الرؤوف سعد)، ط1، مكتبة الثقافة الدينية، القاهرة، ج4، ص269.</w:t>
      </w:r>
    </w:p>
  </w:footnote>
  <w:footnote w:id="246">
    <w:p w14:paraId="7AA18196" w14:textId="77777777" w:rsidR="00017DFE" w:rsidRPr="002273BC" w:rsidRDefault="00017DFE"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eastAsia"/>
          <w:sz w:val="24"/>
          <w:szCs w:val="24"/>
          <w:rtl/>
          <w:lang w:bidi="ar-JO"/>
        </w:rPr>
        <w:t>الكاساني</w:t>
      </w:r>
      <w:r w:rsidRPr="002273BC">
        <w:rPr>
          <w:rFonts w:ascii="Arabic Transparent" w:hAnsi="Arabic Transparent" w:cs="Arabic Transparent" w:hint="eastAsia"/>
          <w:b/>
          <w:bCs/>
          <w:sz w:val="24"/>
          <w:szCs w:val="24"/>
          <w:rtl/>
          <w:lang w:bidi="ar-JO"/>
        </w:rPr>
        <w:t>،</w:t>
      </w:r>
      <w:r w:rsidRPr="002273BC">
        <w:rPr>
          <w:rFonts w:ascii="Arabic Transparent" w:hAnsi="Arabic Transparent" w:cs="Arabic Transparent"/>
          <w:b/>
          <w:bCs/>
          <w:sz w:val="24"/>
          <w:szCs w:val="24"/>
          <w:rtl/>
          <w:lang w:bidi="ar-JO"/>
        </w:rPr>
        <w:t xml:space="preserve"> </w:t>
      </w:r>
      <w:r w:rsidRPr="002273BC">
        <w:rPr>
          <w:rFonts w:ascii="Arabic Transparent" w:hAnsi="Arabic Transparent" w:cs="Arabic Transparent" w:hint="eastAsia"/>
          <w:b/>
          <w:bCs/>
          <w:sz w:val="24"/>
          <w:szCs w:val="24"/>
          <w:rtl/>
          <w:lang w:bidi="ar-JO"/>
        </w:rPr>
        <w:t>بدائع</w:t>
      </w:r>
      <w:r w:rsidRPr="002273BC">
        <w:rPr>
          <w:rFonts w:ascii="Arabic Transparent" w:hAnsi="Arabic Transparent" w:cs="Arabic Transparent"/>
          <w:b/>
          <w:bCs/>
          <w:sz w:val="24"/>
          <w:szCs w:val="24"/>
          <w:rtl/>
          <w:lang w:bidi="ar-JO"/>
        </w:rPr>
        <w:t xml:space="preserve"> </w:t>
      </w:r>
      <w:r w:rsidRPr="002273BC">
        <w:rPr>
          <w:rFonts w:ascii="Arabic Transparent" w:hAnsi="Arabic Transparent" w:cs="Arabic Transparent" w:hint="eastAsia"/>
          <w:b/>
          <w:bCs/>
          <w:sz w:val="24"/>
          <w:szCs w:val="24"/>
          <w:rtl/>
          <w:lang w:bidi="ar-JO"/>
        </w:rPr>
        <w:t>الصنائع</w:t>
      </w:r>
      <w:r w:rsidRPr="002273BC">
        <w:rPr>
          <w:rFonts w:ascii="Arabic Transparent" w:hAnsi="Arabic Transparent" w:cs="Arabic Transparent"/>
          <w:b/>
          <w:bCs/>
          <w:sz w:val="24"/>
          <w:szCs w:val="24"/>
          <w:rtl/>
          <w:lang w:bidi="ar-JO"/>
        </w:rPr>
        <w:t xml:space="preserve"> </w:t>
      </w:r>
      <w:r w:rsidRPr="002273BC">
        <w:rPr>
          <w:rFonts w:ascii="Arabic Transparent" w:hAnsi="Arabic Transparent" w:cs="Arabic Transparent" w:hint="eastAsia"/>
          <w:b/>
          <w:bCs/>
          <w:sz w:val="24"/>
          <w:szCs w:val="24"/>
          <w:rtl/>
          <w:lang w:bidi="ar-JO"/>
        </w:rPr>
        <w:t>في</w:t>
      </w:r>
      <w:r w:rsidRPr="002273BC">
        <w:rPr>
          <w:rFonts w:ascii="Arabic Transparent" w:hAnsi="Arabic Transparent" w:cs="Arabic Transparent"/>
          <w:b/>
          <w:bCs/>
          <w:sz w:val="24"/>
          <w:szCs w:val="24"/>
          <w:rtl/>
          <w:lang w:bidi="ar-JO"/>
        </w:rPr>
        <w:t xml:space="preserve"> </w:t>
      </w:r>
      <w:r w:rsidRPr="002273BC">
        <w:rPr>
          <w:rFonts w:ascii="Arabic Transparent" w:hAnsi="Arabic Transparent" w:cs="Arabic Transparent" w:hint="eastAsia"/>
          <w:b/>
          <w:bCs/>
          <w:sz w:val="24"/>
          <w:szCs w:val="24"/>
          <w:rtl/>
          <w:lang w:bidi="ar-JO"/>
        </w:rPr>
        <w:t>ترتيب</w:t>
      </w:r>
      <w:r w:rsidRPr="002273BC">
        <w:rPr>
          <w:rFonts w:ascii="Arabic Transparent" w:hAnsi="Arabic Transparent" w:cs="Arabic Transparent"/>
          <w:sz w:val="24"/>
          <w:szCs w:val="24"/>
          <w:rtl/>
          <w:lang w:bidi="ar-JO"/>
        </w:rPr>
        <w:t xml:space="preserve"> </w:t>
      </w:r>
      <w:r w:rsidRPr="002273BC">
        <w:rPr>
          <w:rFonts w:ascii="Arabic Transparent" w:hAnsi="Arabic Transparent" w:cs="Arabic Transparent" w:hint="eastAsia"/>
          <w:sz w:val="24"/>
          <w:szCs w:val="24"/>
          <w:rtl/>
          <w:lang w:bidi="ar-JO"/>
        </w:rPr>
        <w:t>الشرائع،</w:t>
      </w:r>
      <w:r w:rsidRPr="002273BC">
        <w:rPr>
          <w:rFonts w:ascii="Arabic Transparent" w:hAnsi="Arabic Transparent" w:cs="Arabic Transparent"/>
          <w:sz w:val="24"/>
          <w:szCs w:val="24"/>
          <w:rtl/>
          <w:lang w:bidi="ar-JO"/>
        </w:rPr>
        <w:t xml:space="preserve"> </w:t>
      </w:r>
      <w:r w:rsidRPr="002273BC">
        <w:rPr>
          <w:rFonts w:ascii="Arabic Transparent" w:hAnsi="Arabic Transparent" w:cs="Arabic Transparent" w:hint="eastAsia"/>
          <w:sz w:val="24"/>
          <w:szCs w:val="24"/>
          <w:rtl/>
          <w:lang w:bidi="ar-JO"/>
        </w:rPr>
        <w:t>مصدر</w:t>
      </w:r>
      <w:r w:rsidRPr="002273BC">
        <w:rPr>
          <w:rFonts w:ascii="Arabic Transparent" w:hAnsi="Arabic Transparent" w:cs="Arabic Transparent"/>
          <w:sz w:val="24"/>
          <w:szCs w:val="24"/>
          <w:rtl/>
          <w:lang w:bidi="ar-JO"/>
        </w:rPr>
        <w:t xml:space="preserve"> </w:t>
      </w:r>
      <w:r w:rsidRPr="002273BC">
        <w:rPr>
          <w:rFonts w:ascii="Arabic Transparent" w:hAnsi="Arabic Transparent" w:cs="Arabic Transparent" w:hint="eastAsia"/>
          <w:sz w:val="24"/>
          <w:szCs w:val="24"/>
          <w:rtl/>
          <w:lang w:bidi="ar-JO"/>
        </w:rPr>
        <w:t>سابق،</w:t>
      </w:r>
      <w:r w:rsidRPr="002273BC">
        <w:rPr>
          <w:rFonts w:ascii="Arabic Transparent" w:hAnsi="Arabic Transparent" w:cs="Arabic Transparent"/>
          <w:sz w:val="24"/>
          <w:szCs w:val="24"/>
          <w:rtl/>
          <w:lang w:bidi="ar-JO"/>
        </w:rPr>
        <w:t xml:space="preserve"> </w:t>
      </w:r>
      <w:r w:rsidRPr="002273BC">
        <w:rPr>
          <w:rFonts w:ascii="Arabic Transparent" w:hAnsi="Arabic Transparent" w:cs="Arabic Transparent" w:hint="eastAsia"/>
          <w:sz w:val="24"/>
          <w:szCs w:val="24"/>
          <w:rtl/>
          <w:lang w:bidi="ar-JO"/>
        </w:rPr>
        <w:t>ج</w:t>
      </w:r>
      <w:r w:rsidRPr="002273BC">
        <w:rPr>
          <w:rFonts w:ascii="Arabic Transparent" w:hAnsi="Arabic Transparent" w:cs="Arabic Transparent"/>
          <w:sz w:val="24"/>
          <w:szCs w:val="24"/>
          <w:rtl/>
          <w:lang w:bidi="ar-JO"/>
        </w:rPr>
        <w:t>5</w:t>
      </w:r>
      <w:r w:rsidRPr="002273BC">
        <w:rPr>
          <w:rFonts w:ascii="Arabic Transparent" w:hAnsi="Arabic Transparent" w:cs="Arabic Transparent" w:hint="eastAsia"/>
          <w:sz w:val="24"/>
          <w:szCs w:val="24"/>
          <w:rtl/>
          <w:lang w:bidi="ar-JO"/>
        </w:rPr>
        <w:t>،</w:t>
      </w:r>
      <w:r w:rsidRPr="002273BC">
        <w:rPr>
          <w:rFonts w:ascii="Arabic Transparent" w:hAnsi="Arabic Transparent" w:cs="Arabic Transparent"/>
          <w:sz w:val="24"/>
          <w:szCs w:val="24"/>
          <w:rtl/>
          <w:lang w:bidi="ar-JO"/>
        </w:rPr>
        <w:t xml:space="preserve"> </w:t>
      </w:r>
      <w:r w:rsidRPr="002273BC">
        <w:rPr>
          <w:rFonts w:ascii="Arabic Transparent" w:hAnsi="Arabic Transparent" w:cs="Arabic Transparent" w:hint="eastAsia"/>
          <w:sz w:val="24"/>
          <w:szCs w:val="24"/>
          <w:rtl/>
          <w:lang w:bidi="ar-JO"/>
        </w:rPr>
        <w:t>ص</w:t>
      </w:r>
      <w:r w:rsidRPr="002273BC">
        <w:rPr>
          <w:rFonts w:ascii="Arabic Transparent" w:hAnsi="Arabic Transparent" w:cs="Arabic Transparent"/>
          <w:sz w:val="24"/>
          <w:szCs w:val="24"/>
          <w:rtl/>
          <w:lang w:bidi="ar-JO"/>
        </w:rPr>
        <w:t>112</w:t>
      </w:r>
      <w:r w:rsidRPr="002273BC">
        <w:rPr>
          <w:rFonts w:ascii="Arabic Transparent" w:hAnsi="Arabic Transparent" w:cs="Arabic Transparent" w:hint="cs"/>
          <w:sz w:val="24"/>
          <w:szCs w:val="24"/>
          <w:rtl/>
          <w:lang w:bidi="ar-JO"/>
        </w:rPr>
        <w:t>.</w:t>
      </w:r>
    </w:p>
  </w:footnote>
  <w:footnote w:id="247">
    <w:p w14:paraId="20F55CB8" w14:textId="77777777" w:rsidR="00017DFE" w:rsidRPr="002273BC" w:rsidRDefault="00017DFE"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eastAsia"/>
          <w:sz w:val="24"/>
          <w:szCs w:val="24"/>
          <w:rtl/>
          <w:lang w:bidi="ar-JO"/>
        </w:rPr>
        <w:t>القرافي،</w:t>
      </w:r>
      <w:r w:rsidRPr="002273BC">
        <w:rPr>
          <w:rFonts w:ascii="Arabic Transparent" w:hAnsi="Arabic Transparent" w:cs="Arabic Transparent"/>
          <w:sz w:val="24"/>
          <w:szCs w:val="24"/>
          <w:rtl/>
          <w:lang w:bidi="ar-JO"/>
        </w:rPr>
        <w:t xml:space="preserve"> </w:t>
      </w:r>
      <w:r w:rsidRPr="002273BC">
        <w:rPr>
          <w:rFonts w:ascii="Arabic Transparent" w:hAnsi="Arabic Transparent" w:cs="Arabic Transparent" w:hint="eastAsia"/>
          <w:b/>
          <w:bCs/>
          <w:sz w:val="24"/>
          <w:szCs w:val="24"/>
          <w:rtl/>
          <w:lang w:bidi="ar-JO"/>
        </w:rPr>
        <w:t>الذخيرة،</w:t>
      </w:r>
      <w:r w:rsidRPr="002273BC">
        <w:rPr>
          <w:rFonts w:ascii="Arabic Transparent" w:hAnsi="Arabic Transparent" w:cs="Arabic Transparent"/>
          <w:b/>
          <w:bCs/>
          <w:sz w:val="24"/>
          <w:szCs w:val="24"/>
          <w:rtl/>
          <w:lang w:bidi="ar-JO"/>
        </w:rPr>
        <w:t xml:space="preserve"> </w:t>
      </w:r>
      <w:r w:rsidRPr="002273BC">
        <w:rPr>
          <w:rFonts w:ascii="Arabic Transparent" w:hAnsi="Arabic Transparent" w:cs="Arabic Transparent" w:hint="eastAsia"/>
          <w:sz w:val="24"/>
          <w:szCs w:val="24"/>
          <w:rtl/>
          <w:lang w:bidi="ar-JO"/>
        </w:rPr>
        <w:t>مصدر</w:t>
      </w:r>
      <w:r w:rsidRPr="002273BC">
        <w:rPr>
          <w:rFonts w:ascii="Arabic Transparent" w:hAnsi="Arabic Transparent" w:cs="Arabic Transparent"/>
          <w:sz w:val="24"/>
          <w:szCs w:val="24"/>
          <w:rtl/>
          <w:lang w:bidi="ar-JO"/>
        </w:rPr>
        <w:t xml:space="preserve"> </w:t>
      </w:r>
      <w:r w:rsidRPr="002273BC">
        <w:rPr>
          <w:rFonts w:ascii="Arabic Transparent" w:hAnsi="Arabic Transparent" w:cs="Arabic Transparent" w:hint="eastAsia"/>
          <w:sz w:val="24"/>
          <w:szCs w:val="24"/>
          <w:rtl/>
          <w:lang w:bidi="ar-JO"/>
        </w:rPr>
        <w:t>سابق،</w:t>
      </w:r>
      <w:r w:rsidRPr="002273BC">
        <w:rPr>
          <w:rFonts w:ascii="Arabic Transparent" w:hAnsi="Arabic Transparent" w:cs="Arabic Transparent"/>
          <w:sz w:val="24"/>
          <w:szCs w:val="24"/>
          <w:rtl/>
          <w:lang w:bidi="ar-JO"/>
        </w:rPr>
        <w:t xml:space="preserve"> </w:t>
      </w:r>
      <w:r w:rsidRPr="002273BC">
        <w:rPr>
          <w:rFonts w:ascii="Arabic Transparent" w:hAnsi="Arabic Transparent" w:cs="Arabic Transparent" w:hint="eastAsia"/>
          <w:sz w:val="24"/>
          <w:szCs w:val="24"/>
          <w:rtl/>
          <w:lang w:bidi="ar-JO"/>
        </w:rPr>
        <w:t>ج</w:t>
      </w:r>
      <w:r w:rsidRPr="002273BC">
        <w:rPr>
          <w:rFonts w:ascii="Arabic Transparent" w:hAnsi="Arabic Transparent" w:cs="Arabic Transparent"/>
          <w:sz w:val="24"/>
          <w:szCs w:val="24"/>
          <w:rtl/>
          <w:lang w:bidi="ar-JO"/>
        </w:rPr>
        <w:t>4</w:t>
      </w:r>
      <w:r w:rsidRPr="002273BC">
        <w:rPr>
          <w:rFonts w:ascii="Arabic Transparent" w:hAnsi="Arabic Transparent" w:cs="Arabic Transparent" w:hint="eastAsia"/>
          <w:sz w:val="24"/>
          <w:szCs w:val="24"/>
          <w:rtl/>
          <w:lang w:bidi="ar-JO"/>
        </w:rPr>
        <w:t>،</w:t>
      </w:r>
      <w:r w:rsidRPr="002273BC">
        <w:rPr>
          <w:rFonts w:ascii="Arabic Transparent" w:hAnsi="Arabic Transparent" w:cs="Arabic Transparent"/>
          <w:sz w:val="24"/>
          <w:szCs w:val="24"/>
          <w:rtl/>
          <w:lang w:bidi="ar-JO"/>
        </w:rPr>
        <w:t xml:space="preserve"> </w:t>
      </w:r>
      <w:r w:rsidRPr="002273BC">
        <w:rPr>
          <w:rFonts w:ascii="Arabic Transparent" w:hAnsi="Arabic Transparent" w:cs="Arabic Transparent" w:hint="eastAsia"/>
          <w:sz w:val="24"/>
          <w:szCs w:val="24"/>
          <w:rtl/>
          <w:lang w:bidi="ar-JO"/>
        </w:rPr>
        <w:t>ص</w:t>
      </w:r>
      <w:r w:rsidRPr="002273BC">
        <w:rPr>
          <w:rFonts w:ascii="Arabic Transparent" w:hAnsi="Arabic Transparent" w:cs="Arabic Transparent"/>
          <w:sz w:val="24"/>
          <w:szCs w:val="24"/>
          <w:rtl/>
          <w:lang w:bidi="ar-JO"/>
        </w:rPr>
        <w:t>117</w:t>
      </w:r>
      <w:r w:rsidRPr="002273BC">
        <w:rPr>
          <w:rFonts w:ascii="Arabic Transparent" w:hAnsi="Arabic Transparent" w:cs="Arabic Transparent" w:hint="cs"/>
          <w:sz w:val="24"/>
          <w:szCs w:val="24"/>
          <w:rtl/>
          <w:lang w:bidi="ar-JO"/>
        </w:rPr>
        <w:t>.</w:t>
      </w:r>
    </w:p>
  </w:footnote>
  <w:footnote w:id="248">
    <w:p w14:paraId="7FF2B0D1" w14:textId="77777777" w:rsidR="00017DFE" w:rsidRPr="002273BC" w:rsidRDefault="00017DFE"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eastAsia"/>
          <w:sz w:val="24"/>
          <w:szCs w:val="24"/>
          <w:rtl/>
          <w:lang w:bidi="ar-JO"/>
        </w:rPr>
        <w:t>النووي،</w:t>
      </w:r>
      <w:r w:rsidRPr="002273BC">
        <w:rPr>
          <w:rFonts w:ascii="Arabic Transparent" w:hAnsi="Arabic Transparent" w:cs="Arabic Transparent"/>
          <w:sz w:val="24"/>
          <w:szCs w:val="24"/>
          <w:rtl/>
          <w:lang w:bidi="ar-JO"/>
        </w:rPr>
        <w:t xml:space="preserve"> </w:t>
      </w:r>
      <w:r w:rsidRPr="002273BC">
        <w:rPr>
          <w:rFonts w:ascii="Arabic Transparent" w:hAnsi="Arabic Transparent" w:cs="Arabic Transparent" w:hint="eastAsia"/>
          <w:b/>
          <w:bCs/>
          <w:sz w:val="24"/>
          <w:szCs w:val="24"/>
          <w:rtl/>
          <w:lang w:bidi="ar-JO"/>
        </w:rPr>
        <w:t>المجموع</w:t>
      </w:r>
      <w:r w:rsidRPr="002273BC">
        <w:rPr>
          <w:rFonts w:ascii="Arabic Transparent" w:hAnsi="Arabic Transparent" w:cs="Arabic Transparent"/>
          <w:b/>
          <w:bCs/>
          <w:sz w:val="24"/>
          <w:szCs w:val="24"/>
          <w:rtl/>
          <w:lang w:bidi="ar-JO"/>
        </w:rPr>
        <w:t xml:space="preserve"> </w:t>
      </w:r>
      <w:r w:rsidRPr="002273BC">
        <w:rPr>
          <w:rFonts w:ascii="Arabic Transparent" w:hAnsi="Arabic Transparent" w:cs="Arabic Transparent" w:hint="eastAsia"/>
          <w:b/>
          <w:bCs/>
          <w:sz w:val="24"/>
          <w:szCs w:val="24"/>
          <w:rtl/>
          <w:lang w:bidi="ar-JO"/>
        </w:rPr>
        <w:t>شرح</w:t>
      </w:r>
      <w:r w:rsidRPr="002273BC">
        <w:rPr>
          <w:rFonts w:ascii="Arabic Transparent" w:hAnsi="Arabic Transparent" w:cs="Arabic Transparent"/>
          <w:b/>
          <w:bCs/>
          <w:sz w:val="24"/>
          <w:szCs w:val="24"/>
          <w:rtl/>
          <w:lang w:bidi="ar-JO"/>
        </w:rPr>
        <w:t xml:space="preserve"> </w:t>
      </w:r>
      <w:r w:rsidRPr="002273BC">
        <w:rPr>
          <w:rFonts w:ascii="Arabic Transparent" w:hAnsi="Arabic Transparent" w:cs="Arabic Transparent" w:hint="eastAsia"/>
          <w:b/>
          <w:bCs/>
          <w:sz w:val="24"/>
          <w:szCs w:val="24"/>
          <w:rtl/>
          <w:lang w:bidi="ar-JO"/>
        </w:rPr>
        <w:t>المهذب</w:t>
      </w:r>
      <w:r w:rsidRPr="002273BC">
        <w:rPr>
          <w:rFonts w:ascii="Arabic Transparent" w:hAnsi="Arabic Transparent" w:cs="Arabic Transparent" w:hint="eastAsia"/>
          <w:sz w:val="24"/>
          <w:szCs w:val="24"/>
          <w:rtl/>
          <w:lang w:bidi="ar-JO"/>
        </w:rPr>
        <w:t>،</w:t>
      </w:r>
      <w:r w:rsidRPr="002273BC">
        <w:rPr>
          <w:rFonts w:ascii="Arabic Transparent" w:hAnsi="Arabic Transparent" w:cs="Arabic Transparent"/>
          <w:sz w:val="24"/>
          <w:szCs w:val="24"/>
          <w:rtl/>
          <w:lang w:bidi="ar-JO"/>
        </w:rPr>
        <w:t xml:space="preserve"> </w:t>
      </w:r>
      <w:r w:rsidRPr="002273BC">
        <w:rPr>
          <w:rFonts w:ascii="Arabic Transparent" w:hAnsi="Arabic Transparent" w:cs="Arabic Transparent" w:hint="eastAsia"/>
          <w:sz w:val="24"/>
          <w:szCs w:val="24"/>
          <w:rtl/>
          <w:lang w:bidi="ar-JO"/>
        </w:rPr>
        <w:t>مصدر</w:t>
      </w:r>
      <w:r w:rsidRPr="002273BC">
        <w:rPr>
          <w:rFonts w:ascii="Arabic Transparent" w:hAnsi="Arabic Transparent" w:cs="Arabic Transparent"/>
          <w:sz w:val="24"/>
          <w:szCs w:val="24"/>
          <w:rtl/>
          <w:lang w:bidi="ar-JO"/>
        </w:rPr>
        <w:t xml:space="preserve"> </w:t>
      </w:r>
      <w:r w:rsidRPr="002273BC">
        <w:rPr>
          <w:rFonts w:ascii="Arabic Transparent" w:hAnsi="Arabic Transparent" w:cs="Arabic Transparent" w:hint="eastAsia"/>
          <w:sz w:val="24"/>
          <w:szCs w:val="24"/>
          <w:rtl/>
          <w:lang w:bidi="ar-JO"/>
        </w:rPr>
        <w:t>سابق،</w:t>
      </w:r>
      <w:r w:rsidRPr="002273BC">
        <w:rPr>
          <w:rFonts w:ascii="Arabic Transparent" w:hAnsi="Arabic Transparent" w:cs="Arabic Transparent"/>
          <w:sz w:val="24"/>
          <w:szCs w:val="24"/>
          <w:rtl/>
          <w:lang w:bidi="ar-JO"/>
        </w:rPr>
        <w:t xml:space="preserve"> </w:t>
      </w:r>
      <w:r w:rsidRPr="002273BC">
        <w:rPr>
          <w:rFonts w:ascii="Arabic Transparent" w:hAnsi="Arabic Transparent" w:cs="Arabic Transparent" w:hint="eastAsia"/>
          <w:sz w:val="24"/>
          <w:szCs w:val="24"/>
          <w:rtl/>
          <w:lang w:bidi="ar-JO"/>
        </w:rPr>
        <w:t>ج</w:t>
      </w:r>
      <w:r w:rsidRPr="002273BC">
        <w:rPr>
          <w:rFonts w:ascii="Arabic Transparent" w:hAnsi="Arabic Transparent" w:cs="Arabic Transparent"/>
          <w:sz w:val="24"/>
          <w:szCs w:val="24"/>
          <w:rtl/>
          <w:lang w:bidi="ar-JO"/>
        </w:rPr>
        <w:t>9</w:t>
      </w:r>
      <w:r w:rsidRPr="002273BC">
        <w:rPr>
          <w:rFonts w:ascii="Arabic Transparent" w:hAnsi="Arabic Transparent" w:cs="Arabic Transparent" w:hint="eastAsia"/>
          <w:sz w:val="24"/>
          <w:szCs w:val="24"/>
          <w:rtl/>
          <w:lang w:bidi="ar-JO"/>
        </w:rPr>
        <w:t>،</w:t>
      </w:r>
      <w:r w:rsidRPr="002273BC">
        <w:rPr>
          <w:rFonts w:ascii="Arabic Transparent" w:hAnsi="Arabic Transparent" w:cs="Arabic Transparent"/>
          <w:sz w:val="24"/>
          <w:szCs w:val="24"/>
          <w:rtl/>
          <w:lang w:bidi="ar-JO"/>
        </w:rPr>
        <w:t xml:space="preserve"> </w:t>
      </w:r>
      <w:r w:rsidRPr="002273BC">
        <w:rPr>
          <w:rFonts w:ascii="Arabic Transparent" w:hAnsi="Arabic Transparent" w:cs="Arabic Transparent" w:hint="eastAsia"/>
          <w:sz w:val="24"/>
          <w:szCs w:val="24"/>
          <w:rtl/>
          <w:lang w:bidi="ar-JO"/>
        </w:rPr>
        <w:t>ص</w:t>
      </w:r>
      <w:r w:rsidRPr="002273BC">
        <w:rPr>
          <w:rFonts w:ascii="Arabic Transparent" w:hAnsi="Arabic Transparent" w:cs="Arabic Transparent"/>
          <w:sz w:val="24"/>
          <w:szCs w:val="24"/>
          <w:rtl/>
          <w:lang w:bidi="ar-JO"/>
        </w:rPr>
        <w:t>37</w:t>
      </w:r>
      <w:r w:rsidRPr="002273BC">
        <w:rPr>
          <w:rFonts w:ascii="Arabic Transparent" w:hAnsi="Arabic Transparent" w:cs="Arabic Transparent" w:hint="cs"/>
          <w:sz w:val="24"/>
          <w:szCs w:val="24"/>
          <w:rtl/>
          <w:lang w:bidi="ar-JO"/>
        </w:rPr>
        <w:t>.</w:t>
      </w:r>
    </w:p>
  </w:footnote>
  <w:footnote w:id="249">
    <w:p w14:paraId="1C76480D" w14:textId="77777777" w:rsidR="00017DFE" w:rsidRPr="002273BC" w:rsidRDefault="00017DFE"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lang w:bidi="ar-JO"/>
        </w:rPr>
        <w:t xml:space="preserve">،ابن قدامة، </w:t>
      </w:r>
      <w:r w:rsidRPr="002273BC">
        <w:rPr>
          <w:rFonts w:ascii="Arabic Transparent" w:hAnsi="Arabic Transparent" w:cs="Arabic Transparent" w:hint="cs"/>
          <w:b/>
          <w:bCs/>
          <w:sz w:val="24"/>
          <w:szCs w:val="24"/>
          <w:rtl/>
          <w:lang w:bidi="ar-JO"/>
        </w:rPr>
        <w:t>المغني</w:t>
      </w:r>
      <w:r w:rsidRPr="002273BC">
        <w:rPr>
          <w:rFonts w:ascii="Arabic Transparent" w:hAnsi="Arabic Transparent" w:cs="Arabic Transparent" w:hint="cs"/>
          <w:sz w:val="24"/>
          <w:szCs w:val="24"/>
          <w:rtl/>
          <w:lang w:bidi="ar-JO"/>
        </w:rPr>
        <w:t>، مصدر سابق، ج12، ص495.</w:t>
      </w:r>
    </w:p>
  </w:footnote>
  <w:footnote w:id="250">
    <w:p w14:paraId="00B6D399" w14:textId="77777777" w:rsidR="00017DFE" w:rsidRPr="002273BC" w:rsidRDefault="00017DFE"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أخرجه مسلم في صحيحه، مسلم، </w:t>
      </w:r>
      <w:r w:rsidRPr="002273BC">
        <w:rPr>
          <w:rFonts w:ascii="Arabic Transparent" w:hAnsi="Arabic Transparent" w:cs="Arabic Transparent" w:hint="cs"/>
          <w:b/>
          <w:bCs/>
          <w:sz w:val="24"/>
          <w:szCs w:val="24"/>
          <w:rtl/>
          <w:lang w:bidi="ar-JO"/>
        </w:rPr>
        <w:t>الجامع الصحيح «صحيح مسلم»،</w:t>
      </w:r>
      <w:r w:rsidRPr="002273BC">
        <w:rPr>
          <w:rFonts w:ascii="Arabic Transparent" w:hAnsi="Arabic Transparent" w:cs="Arabic Transparent" w:hint="cs"/>
          <w:sz w:val="24"/>
          <w:szCs w:val="24"/>
          <w:rtl/>
          <w:lang w:bidi="ar-JO"/>
        </w:rPr>
        <w:t xml:space="preserve"> مصدر سابق، كتاب الإيمان، باب شعب الإيمان، رقم (35) ج1، ص46.</w:t>
      </w:r>
    </w:p>
  </w:footnote>
  <w:footnote w:id="251">
    <w:p w14:paraId="00E042E4" w14:textId="4835C4D0" w:rsidR="00017DFE" w:rsidRPr="002273BC" w:rsidRDefault="00017DFE"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0095634B">
        <w:rPr>
          <w:rFonts w:ascii="Arabic Transparent" w:hAnsi="Arabic Transparent" w:cs="Arabic Transparent" w:hint="cs"/>
          <w:sz w:val="24"/>
          <w:szCs w:val="24"/>
          <w:rtl/>
          <w:lang w:bidi="ar-JO"/>
        </w:rPr>
        <w:t xml:space="preserve">انظر: </w:t>
      </w:r>
      <w:r w:rsidRPr="002273BC">
        <w:rPr>
          <w:rFonts w:ascii="Arabic Transparent" w:hAnsi="Arabic Transparent" w:cs="Arabic Transparent" w:hint="cs"/>
          <w:sz w:val="24"/>
          <w:szCs w:val="24"/>
          <w:rtl/>
          <w:lang w:bidi="ar-JO"/>
        </w:rPr>
        <w:t xml:space="preserve">عياض، عياض بن موسى اليحصبي السبتي (1998م). </w:t>
      </w:r>
      <w:r w:rsidRPr="002273BC">
        <w:rPr>
          <w:rFonts w:ascii="Arabic Transparent" w:hAnsi="Arabic Transparent" w:cs="Arabic Transparent" w:hint="cs"/>
          <w:b/>
          <w:bCs/>
          <w:sz w:val="24"/>
          <w:szCs w:val="24"/>
          <w:rtl/>
          <w:lang w:bidi="ar-JO"/>
        </w:rPr>
        <w:t>إكمال المعلم بفوائد مسلم</w:t>
      </w:r>
      <w:r w:rsidRPr="002273BC">
        <w:rPr>
          <w:rFonts w:ascii="Arabic Transparent" w:hAnsi="Arabic Transparent" w:cs="Arabic Transparent" w:hint="cs"/>
          <w:sz w:val="24"/>
          <w:szCs w:val="24"/>
          <w:rtl/>
          <w:lang w:bidi="ar-JO"/>
        </w:rPr>
        <w:t xml:space="preserve"> (تحقيق: يحيى إسماعيل)، ط1، دار الوفاء للطباعة والنشر والتوزيع، مصر، ج1، ص272.</w:t>
      </w:r>
    </w:p>
  </w:footnote>
  <w:footnote w:id="252">
    <w:p w14:paraId="3672E20C" w14:textId="39812D1E" w:rsidR="00017DFE" w:rsidRPr="002273BC" w:rsidRDefault="00017DFE"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ومن أمثلة ذلك: "جميع البيوع التي نهي عنها </w:t>
      </w:r>
      <w:r w:rsidR="005224A0" w:rsidRPr="002273BC">
        <w:rPr>
          <w:rFonts w:ascii="AGA Arabesque" w:eastAsia="AGA Arabesque" w:hAnsi="AGA Arabesque" w:cs="AGA Arabesque"/>
          <w:sz w:val="24"/>
          <w:szCs w:val="24"/>
          <w:lang w:bidi="ar-JO"/>
        </w:rPr>
        <w:t></w:t>
      </w:r>
      <w:r w:rsidRPr="002273BC">
        <w:rPr>
          <w:rFonts w:ascii="Arabic Transparent" w:hAnsi="Arabic Transparent" w:cs="Arabic Transparent" w:hint="cs"/>
          <w:sz w:val="24"/>
          <w:szCs w:val="24"/>
          <w:rtl/>
          <w:lang w:bidi="ar-JO"/>
        </w:rPr>
        <w:t xml:space="preserve"> كبيع حبل الحبلة؛ لأنه إما عبارة عن بيع يؤجلونه إلى أن تنتج الناقة ما في بطنها، ثم ينتج ما في بطنها، والغرر في هذا من جهة جهل الأجل بين، وإما عبارة عن بيع جنين الناقة، وهذا من باب النهي عن بيع المضامين والملاقيح، والمضامين، هي: ما في بطون الحوامل، والملاقيح: ما في ظهور الفحول، كبيع ما لم يخلق، وبيع الملامسة، وكانت صورته في الجاهلية أن يلمس الرجل الثوب ولا ينشره أو يبتاعه ليلا ولا يعلم ما فيه، وسبب تحريمه الجهل بالصفة، وكبيع المنابذة، وصورته: أن ينبذ كل واحد من المتبايعين إلى صاحبه الثوب من غير أن يعين أن هذا بهذا، بل كانوا يجعلون ذلك راجعاً إلى الاتفاق، وكبيع الحصاة، وصورته: أن يقول المشتري أي ثوب وقعت عليه الحصاة التي أرمي بها فهو لي، وقيل أيضا إنهم كانوا يقولون إذا وقعت الحصاة من يدي فقد وجب البيع"، القرافي، </w:t>
      </w:r>
      <w:r w:rsidRPr="002273BC">
        <w:rPr>
          <w:rFonts w:ascii="Arabic Transparent" w:hAnsi="Arabic Transparent" w:cs="Arabic Transparent" w:hint="cs"/>
          <w:b/>
          <w:bCs/>
          <w:sz w:val="24"/>
          <w:szCs w:val="24"/>
          <w:rtl/>
          <w:lang w:bidi="ar-JO"/>
        </w:rPr>
        <w:t>الفروق</w:t>
      </w:r>
      <w:r w:rsidR="005D7B91" w:rsidRPr="002273BC">
        <w:rPr>
          <w:rFonts w:ascii="Arabic Transparent" w:hAnsi="Arabic Transparent" w:cs="Arabic Transparent" w:hint="cs"/>
          <w:b/>
          <w:bCs/>
          <w:sz w:val="24"/>
          <w:szCs w:val="24"/>
          <w:rtl/>
          <w:lang w:bidi="ar-JO"/>
        </w:rPr>
        <w:t xml:space="preserve">، </w:t>
      </w:r>
      <w:r w:rsidRPr="002273BC">
        <w:rPr>
          <w:rFonts w:ascii="Arabic Transparent" w:hAnsi="Arabic Transparent" w:cs="Arabic Transparent" w:hint="cs"/>
          <w:sz w:val="24"/>
          <w:szCs w:val="24"/>
          <w:rtl/>
          <w:lang w:bidi="ar-JO"/>
        </w:rPr>
        <w:t xml:space="preserve">مصدر سابق، ج3، ص271، والدسوقي، محمد بن أحمد بن عرفة (د.ت). </w:t>
      </w:r>
      <w:r w:rsidRPr="002273BC">
        <w:rPr>
          <w:rFonts w:ascii="Arabic Transparent" w:hAnsi="Arabic Transparent" w:cs="Arabic Transparent" w:hint="cs"/>
          <w:b/>
          <w:bCs/>
          <w:sz w:val="24"/>
          <w:szCs w:val="24"/>
          <w:rtl/>
          <w:lang w:bidi="ar-JO"/>
        </w:rPr>
        <w:t>حاشية الدسوقي على الشرح الكبير</w:t>
      </w:r>
      <w:r w:rsidRPr="002273BC">
        <w:rPr>
          <w:rFonts w:ascii="Arabic Transparent" w:hAnsi="Arabic Transparent" w:cs="Arabic Transparent" w:hint="cs"/>
          <w:sz w:val="24"/>
          <w:szCs w:val="24"/>
          <w:rtl/>
          <w:lang w:bidi="ar-JO"/>
        </w:rPr>
        <w:t xml:space="preserve">. دار الفكر، بيروت، ج3، ص60، ابن حزم، علي بن أحمد بن سعيد (د.ت). </w:t>
      </w:r>
      <w:r w:rsidRPr="002273BC">
        <w:rPr>
          <w:rFonts w:ascii="Arabic Transparent" w:hAnsi="Arabic Transparent" w:cs="Arabic Transparent" w:hint="cs"/>
          <w:b/>
          <w:bCs/>
          <w:sz w:val="24"/>
          <w:szCs w:val="24"/>
          <w:rtl/>
          <w:lang w:bidi="ar-JO"/>
        </w:rPr>
        <w:t>المُحلَّى بالآثار</w:t>
      </w:r>
      <w:r w:rsidRPr="002273BC">
        <w:rPr>
          <w:rFonts w:ascii="Arabic Transparent" w:hAnsi="Arabic Transparent" w:cs="Arabic Transparent" w:hint="cs"/>
          <w:sz w:val="24"/>
          <w:szCs w:val="24"/>
          <w:rtl/>
          <w:lang w:bidi="ar-JO"/>
        </w:rPr>
        <w:t xml:space="preserve"> (تحقيق: عبد الغفار سليمان البنداري). دار الفكر، بيروت، ج7، ص223.</w:t>
      </w:r>
    </w:p>
  </w:footnote>
  <w:footnote w:id="253">
    <w:p w14:paraId="7056B4B1" w14:textId="77777777" w:rsidR="00017DFE" w:rsidRPr="002273BC" w:rsidRDefault="00017DFE"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قد يحتمل ببعض الغرر اليسير فيصح معه البيع، إذا دعت إليه الحاجة: كالجهل بأساس الدار المغطى، وكبيع الجبة المحشوة وإن لم ير حشوها، فإن ذلك مجمع عليه. وكذا على جواز إجارة الدار والدابة شهرا، مع أنه قد يكون الشهر ثلاثين يوما أو تسعة وعشرين، وعلى دخول الحمام بالأجرة مع اختلاف الناس في استعمالهم الماء وقدر مكثهم، على جواز الشراب قي السقاء بالعوض مع الجهالة. الصنعاني، محمد بن إسماعيل بن صلاح الأمير الكحلاني (1997م). </w:t>
      </w:r>
      <w:r w:rsidRPr="002273BC">
        <w:rPr>
          <w:rFonts w:ascii="Arabic Transparent" w:hAnsi="Arabic Transparent" w:cs="Arabic Transparent" w:hint="cs"/>
          <w:b/>
          <w:bCs/>
          <w:sz w:val="24"/>
          <w:szCs w:val="24"/>
          <w:rtl/>
          <w:lang w:bidi="ar-JO"/>
        </w:rPr>
        <w:t>سبل السلام شرح بلوغ المرام</w:t>
      </w:r>
      <w:r w:rsidRPr="002273BC">
        <w:rPr>
          <w:rFonts w:ascii="Arabic Transparent" w:hAnsi="Arabic Transparent" w:cs="Arabic Transparent" w:hint="cs"/>
          <w:sz w:val="24"/>
          <w:szCs w:val="24"/>
          <w:rtl/>
          <w:lang w:bidi="ar-JO"/>
        </w:rPr>
        <w:t xml:space="preserve"> (تحقيق: عصام الصبابطي، وعماد السيد). ط5، دار الحديث، القاهرة، ج1، ص7.</w:t>
      </w:r>
    </w:p>
  </w:footnote>
  <w:footnote w:id="254">
    <w:p w14:paraId="495EE316" w14:textId="69A6B87C" w:rsidR="00017DFE" w:rsidRPr="002273BC" w:rsidRDefault="00017DFE"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القرافي، </w:t>
      </w:r>
      <w:r w:rsidRPr="002273BC">
        <w:rPr>
          <w:rFonts w:ascii="Arabic Transparent" w:hAnsi="Arabic Transparent" w:cs="Arabic Transparent" w:hint="cs"/>
          <w:b/>
          <w:bCs/>
          <w:sz w:val="24"/>
          <w:szCs w:val="24"/>
          <w:rtl/>
          <w:lang w:bidi="ar-JO"/>
        </w:rPr>
        <w:t>الفروق</w:t>
      </w:r>
      <w:r w:rsidRPr="002273BC">
        <w:rPr>
          <w:rFonts w:ascii="Arabic Transparent" w:hAnsi="Arabic Transparent" w:cs="Arabic Transparent" w:hint="cs"/>
          <w:sz w:val="24"/>
          <w:szCs w:val="24"/>
          <w:rtl/>
          <w:lang w:bidi="ar-JO"/>
        </w:rPr>
        <w:t xml:space="preserve">، مصدر سابق، ج3، ص266، وانظر: </w:t>
      </w:r>
      <w:r w:rsidR="00B86EB8" w:rsidRPr="002273BC">
        <w:rPr>
          <w:rFonts w:ascii="Arabic Transparent" w:hAnsi="Arabic Transparent" w:cs="Arabic Transparent" w:hint="cs"/>
          <w:sz w:val="24"/>
          <w:szCs w:val="24"/>
          <w:rtl/>
          <w:lang w:bidi="ar-JO"/>
        </w:rPr>
        <w:t>ا</w:t>
      </w:r>
      <w:r w:rsidR="00B86EB8" w:rsidRPr="002273BC">
        <w:rPr>
          <w:rFonts w:ascii="Arabic Transparent" w:hAnsi="Arabic Transparent" w:cs="Arabic Transparent"/>
          <w:sz w:val="24"/>
          <w:szCs w:val="24"/>
          <w:rtl/>
          <w:lang w:bidi="ar-JO"/>
        </w:rPr>
        <w:t xml:space="preserve">بن رشد، محمد بن أحمد بن محمد بن أحمد القرطبي الأندلسي (2004). </w:t>
      </w:r>
      <w:r w:rsidR="00B86EB8" w:rsidRPr="002273BC">
        <w:rPr>
          <w:rFonts w:ascii="Arabic Transparent" w:hAnsi="Arabic Transparent" w:cs="Arabic Transparent"/>
          <w:b/>
          <w:bCs/>
          <w:sz w:val="24"/>
          <w:szCs w:val="24"/>
          <w:rtl/>
          <w:lang w:bidi="ar-JO"/>
        </w:rPr>
        <w:t>بداية المجتهد ونهاية المقتصد.</w:t>
      </w:r>
      <w:r w:rsidR="00B86EB8" w:rsidRPr="002273BC">
        <w:rPr>
          <w:rFonts w:ascii="Arabic Transparent" w:hAnsi="Arabic Transparent" w:cs="Arabic Transparent"/>
          <w:sz w:val="24"/>
          <w:szCs w:val="24"/>
          <w:rtl/>
          <w:lang w:bidi="ar-JO"/>
        </w:rPr>
        <w:t xml:space="preserve"> تحقيق أحاديثه وتخريجها: فريد عبدالعزيز الجندي، ط1،</w:t>
      </w:r>
      <w:r w:rsidR="00B86EB8" w:rsidRPr="002273BC">
        <w:rPr>
          <w:rFonts w:ascii="Arabic Transparent" w:hAnsi="Arabic Transparent" w:cs="Arabic Transparent" w:hint="cs"/>
          <w:sz w:val="24"/>
          <w:szCs w:val="24"/>
          <w:rtl/>
          <w:lang w:bidi="ar-JO"/>
        </w:rPr>
        <w:t xml:space="preserve"> </w:t>
      </w:r>
      <w:r w:rsidR="00B86EB8" w:rsidRPr="002273BC">
        <w:rPr>
          <w:rFonts w:ascii="Arabic Transparent" w:hAnsi="Arabic Transparent" w:cs="Arabic Transparent"/>
          <w:sz w:val="24"/>
          <w:szCs w:val="24"/>
          <w:rtl/>
          <w:lang w:bidi="ar-JO"/>
        </w:rPr>
        <w:t>ج2، ص168</w:t>
      </w:r>
      <w:r w:rsidR="00B86EB8" w:rsidRPr="002273BC">
        <w:rPr>
          <w:rFonts w:ascii="Arabic Transparent" w:hAnsi="Arabic Transparent" w:cs="Arabic Transparent" w:hint="cs"/>
          <w:sz w:val="24"/>
          <w:szCs w:val="24"/>
          <w:rtl/>
          <w:lang w:bidi="ar-JO"/>
        </w:rPr>
        <w:t xml:space="preserve">، </w:t>
      </w:r>
      <w:r w:rsidR="00B86EB8" w:rsidRPr="002273BC">
        <w:rPr>
          <w:rFonts w:ascii="Arabic Transparent" w:hAnsi="Arabic Transparent" w:cs="Arabic Transparent"/>
          <w:sz w:val="24"/>
          <w:szCs w:val="24"/>
          <w:rtl/>
          <w:lang w:bidi="ar-JO"/>
        </w:rPr>
        <w:t>دار الحديث، القاهرة.</w:t>
      </w:r>
      <w:r w:rsidRPr="002273BC">
        <w:rPr>
          <w:rFonts w:ascii="Arabic Transparent" w:hAnsi="Arabic Transparent" w:cs="Arabic Transparent" w:hint="cs"/>
          <w:sz w:val="24"/>
          <w:szCs w:val="24"/>
          <w:rtl/>
          <w:lang w:bidi="ar-JO"/>
        </w:rPr>
        <w:t xml:space="preserve"> </w:t>
      </w:r>
      <w:r w:rsidR="00EA06B3" w:rsidRPr="002273BC">
        <w:rPr>
          <w:rFonts w:ascii="Arabic Transparent" w:hAnsi="Arabic Transparent" w:cs="Arabic Transparent"/>
          <w:sz w:val="24"/>
          <w:szCs w:val="24"/>
          <w:rtl/>
          <w:lang w:bidi="ar-JO"/>
        </w:rPr>
        <w:t xml:space="preserve">النووي، يحيى بن شرف، أبو زكريا محيي الدين (1935–1926)، </w:t>
      </w:r>
      <w:r w:rsidR="00EA06B3" w:rsidRPr="002C272D">
        <w:rPr>
          <w:rFonts w:ascii="Arabic Transparent" w:hAnsi="Arabic Transparent" w:cs="Arabic Transparent"/>
          <w:b/>
          <w:bCs/>
          <w:sz w:val="24"/>
          <w:szCs w:val="24"/>
          <w:rtl/>
          <w:lang w:bidi="ar-JO"/>
        </w:rPr>
        <w:t>المجموع</w:t>
      </w:r>
      <w:r w:rsidR="00EA06B3" w:rsidRPr="002273BC">
        <w:rPr>
          <w:rFonts w:ascii="Arabic Transparent" w:hAnsi="Arabic Transparent" w:cs="Arabic Transparent"/>
          <w:sz w:val="24"/>
          <w:szCs w:val="24"/>
          <w:rtl/>
          <w:lang w:bidi="ar-JO"/>
        </w:rPr>
        <w:t xml:space="preserve"> </w:t>
      </w:r>
      <w:r w:rsidR="00EA06B3" w:rsidRPr="002C272D">
        <w:rPr>
          <w:rFonts w:ascii="Arabic Transparent" w:hAnsi="Arabic Transparent" w:cs="Arabic Transparent"/>
          <w:b/>
          <w:bCs/>
          <w:sz w:val="24"/>
          <w:szCs w:val="24"/>
          <w:rtl/>
          <w:lang w:bidi="ar-JO"/>
        </w:rPr>
        <w:t>شرح المهذب</w:t>
      </w:r>
      <w:r w:rsidR="00EA06B3" w:rsidRPr="002273BC">
        <w:rPr>
          <w:rFonts w:ascii="Arabic Transparent" w:hAnsi="Arabic Transparent" w:cs="Arabic Transparent"/>
          <w:sz w:val="24"/>
          <w:szCs w:val="24"/>
          <w:rtl/>
          <w:lang w:bidi="ar-JO"/>
        </w:rPr>
        <w:t>، باشر تصحيحه لجنة من العلماء،</w:t>
      </w:r>
      <w:r w:rsidR="00EA06B3" w:rsidRPr="002273BC">
        <w:rPr>
          <w:rFonts w:ascii="Arabic Transparent" w:hAnsi="Arabic Transparent" w:cs="Arabic Transparent" w:hint="cs"/>
          <w:sz w:val="24"/>
          <w:szCs w:val="24"/>
          <w:rtl/>
          <w:lang w:bidi="ar-JO"/>
        </w:rPr>
        <w:t xml:space="preserve">ط1، </w:t>
      </w:r>
      <w:r w:rsidR="00EA06B3" w:rsidRPr="002273BC">
        <w:rPr>
          <w:rFonts w:ascii="Arabic Transparent" w:hAnsi="Arabic Transparent" w:cs="Arabic Transparent"/>
          <w:sz w:val="24"/>
          <w:szCs w:val="24"/>
          <w:rtl/>
          <w:lang w:bidi="ar-JO"/>
        </w:rPr>
        <w:t>ج9، ص311/364، إدارة الطباعة المنيرية</w:t>
      </w:r>
      <w:r w:rsidR="00EA06B3" w:rsidRPr="002273BC">
        <w:rPr>
          <w:rFonts w:ascii="Arabic Transparent" w:hAnsi="Arabic Transparent" w:cs="Arabic Transparent" w:hint="cs"/>
          <w:sz w:val="24"/>
          <w:szCs w:val="24"/>
          <w:rtl/>
          <w:lang w:bidi="ar-JO"/>
        </w:rPr>
        <w:t xml:space="preserve">، </w:t>
      </w:r>
      <w:r w:rsidR="00EA06B3" w:rsidRPr="002273BC">
        <w:rPr>
          <w:rFonts w:ascii="Arabic Transparent" w:hAnsi="Arabic Transparent" w:cs="Arabic Transparent"/>
          <w:sz w:val="24"/>
          <w:szCs w:val="24"/>
          <w:rtl/>
          <w:lang w:bidi="ar-JO"/>
        </w:rPr>
        <w:t>مطبعة التضامن الأخوي، القاهرة.</w:t>
      </w:r>
      <w:r w:rsidRPr="002273BC">
        <w:rPr>
          <w:rFonts w:ascii="Arabic Transparent" w:hAnsi="Arabic Transparent" w:cs="Arabic Transparent" w:hint="cs"/>
          <w:sz w:val="24"/>
          <w:szCs w:val="24"/>
          <w:rtl/>
          <w:lang w:bidi="ar-JO"/>
        </w:rPr>
        <w:t xml:space="preserve"> </w:t>
      </w:r>
      <w:r w:rsidR="00EA06B3" w:rsidRPr="002273BC">
        <w:rPr>
          <w:rFonts w:ascii="Arabic Transparent" w:hAnsi="Arabic Transparent" w:cs="Arabic Transparent" w:hint="cs"/>
          <w:sz w:val="24"/>
          <w:szCs w:val="24"/>
          <w:rtl/>
          <w:lang w:bidi="ar-JO"/>
        </w:rPr>
        <w:t>و</w:t>
      </w:r>
      <w:r w:rsidRPr="002273BC">
        <w:rPr>
          <w:rFonts w:ascii="Arabic Transparent" w:hAnsi="Arabic Transparent" w:cs="Arabic Transparent" w:hint="cs"/>
          <w:sz w:val="24"/>
          <w:szCs w:val="24"/>
          <w:rtl/>
          <w:lang w:bidi="ar-JO"/>
        </w:rPr>
        <w:t xml:space="preserve">الخرشي، </w:t>
      </w:r>
      <w:r w:rsidRPr="002273BC">
        <w:rPr>
          <w:rFonts w:ascii="Arabic Transparent" w:hAnsi="Arabic Transparent" w:cs="Arabic Transparent" w:hint="cs"/>
          <w:b/>
          <w:bCs/>
          <w:sz w:val="24"/>
          <w:szCs w:val="24"/>
          <w:rtl/>
          <w:lang w:bidi="ar-JO"/>
        </w:rPr>
        <w:t>شرح مختصر خليل</w:t>
      </w:r>
      <w:r w:rsidRPr="002273BC">
        <w:rPr>
          <w:rFonts w:ascii="Arabic Transparent" w:hAnsi="Arabic Transparent" w:cs="Arabic Transparent" w:hint="cs"/>
          <w:sz w:val="24"/>
          <w:szCs w:val="24"/>
          <w:rtl/>
          <w:lang w:bidi="ar-JO"/>
        </w:rPr>
        <w:t>، مصدر سابق، ج5، ص69/75.</w:t>
      </w:r>
    </w:p>
  </w:footnote>
  <w:footnote w:id="255">
    <w:p w14:paraId="583A9556" w14:textId="3B2660EE" w:rsidR="00017DFE" w:rsidRPr="002273BC" w:rsidRDefault="00017DFE" w:rsidP="00EA3738">
      <w:pPr>
        <w:pStyle w:val="FootnoteText"/>
        <w:spacing w:line="360" w:lineRule="auto"/>
        <w:jc w:val="both"/>
        <w:rPr>
          <w:rFonts w:ascii="Arabic Transparent" w:hAnsi="Arabic Transparent" w:cs="Arabic Transparent"/>
          <w:sz w:val="24"/>
          <w:szCs w:val="24"/>
          <w:rtl/>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انظر: الزيلعي، عثمان بن علي (</w:t>
      </w:r>
      <w:r w:rsidR="00AB0CAA" w:rsidRPr="00AB0CAA">
        <w:rPr>
          <w:rFonts w:ascii="Arabic Transparent" w:hAnsi="Arabic Transparent" w:cs="Arabic Transparent"/>
          <w:sz w:val="24"/>
          <w:szCs w:val="24"/>
          <w:rtl/>
        </w:rPr>
        <w:t>2008</w:t>
      </w:r>
      <w:r w:rsidRPr="002273BC">
        <w:rPr>
          <w:rFonts w:ascii="Arabic Transparent" w:hAnsi="Arabic Transparent" w:cs="Arabic Transparent" w:hint="cs"/>
          <w:sz w:val="24"/>
          <w:szCs w:val="24"/>
          <w:rtl/>
        </w:rPr>
        <w:t xml:space="preserve">ـ). </w:t>
      </w:r>
      <w:r w:rsidRPr="002273BC">
        <w:rPr>
          <w:rFonts w:ascii="Arabic Transparent" w:hAnsi="Arabic Transparent" w:cs="Arabic Transparent" w:hint="cs"/>
          <w:b/>
          <w:bCs/>
          <w:sz w:val="24"/>
          <w:szCs w:val="24"/>
          <w:rtl/>
        </w:rPr>
        <w:t>تبيين الحقائق شرح كنز الدقائق وحاشية الشِّلْبِيِّ</w:t>
      </w:r>
      <w:r w:rsidRPr="002273BC">
        <w:rPr>
          <w:rFonts w:ascii="Arabic Transparent" w:hAnsi="Arabic Transparent" w:cs="Arabic Transparent" w:hint="cs"/>
          <w:sz w:val="24"/>
          <w:szCs w:val="24"/>
          <w:rtl/>
        </w:rPr>
        <w:t xml:space="preserve">. ط1، المطبعة الكبرى الأميرية (بولاق)، القاهرة، ج4، ص89، وانظر: </w:t>
      </w:r>
      <w:r w:rsidR="003D70B2" w:rsidRPr="002273BC">
        <w:rPr>
          <w:rFonts w:ascii="Arabic Transparent" w:hAnsi="Arabic Transparent" w:cs="Arabic Transparent"/>
          <w:b/>
          <w:bCs/>
          <w:sz w:val="24"/>
          <w:szCs w:val="24"/>
          <w:rtl/>
        </w:rPr>
        <w:t xml:space="preserve">ابن الهمام، </w:t>
      </w:r>
      <w:r w:rsidR="003D70B2" w:rsidRPr="002273BC">
        <w:rPr>
          <w:rFonts w:ascii="Arabic Transparent" w:hAnsi="Arabic Transparent" w:cs="Arabic Transparent"/>
          <w:sz w:val="24"/>
          <w:szCs w:val="24"/>
          <w:rtl/>
        </w:rPr>
        <w:t xml:space="preserve">كمال الدين محمد بن عبد الواحد السيواسي السكندري (1970)، </w:t>
      </w:r>
      <w:r w:rsidR="003D70B2" w:rsidRPr="002273BC">
        <w:rPr>
          <w:rFonts w:ascii="Arabic Transparent" w:hAnsi="Arabic Transparent" w:cs="Arabic Transparent"/>
          <w:b/>
          <w:bCs/>
          <w:sz w:val="24"/>
          <w:szCs w:val="24"/>
          <w:rtl/>
        </w:rPr>
        <w:t>فتح القدير شرح الهداية</w:t>
      </w:r>
      <w:r w:rsidR="003D70B2" w:rsidRPr="002273BC">
        <w:rPr>
          <w:rFonts w:ascii="Arabic Transparent" w:hAnsi="Arabic Transparent" w:cs="Arabic Transparent"/>
          <w:sz w:val="24"/>
          <w:szCs w:val="24"/>
          <w:rtl/>
        </w:rPr>
        <w:t xml:space="preserve">، ط1، </w:t>
      </w:r>
      <w:r w:rsidR="003D70B2" w:rsidRPr="002273BC">
        <w:rPr>
          <w:rFonts w:ascii="Arabic Transparent" w:hAnsi="Arabic Transparent" w:cs="Arabic Transparent" w:hint="cs"/>
          <w:sz w:val="24"/>
          <w:szCs w:val="24"/>
          <w:rtl/>
        </w:rPr>
        <w:t xml:space="preserve">ج1، ص322، </w:t>
      </w:r>
      <w:r w:rsidR="003D70B2" w:rsidRPr="002273BC">
        <w:rPr>
          <w:rFonts w:ascii="Arabic Transparent" w:hAnsi="Arabic Transparent" w:cs="Arabic Transparent"/>
          <w:sz w:val="24"/>
          <w:szCs w:val="24"/>
          <w:rtl/>
        </w:rPr>
        <w:t>شركة مكتبة ومطبعة مصطفى البابي الحلبي وأولاده، القاهرة.</w:t>
      </w:r>
    </w:p>
  </w:footnote>
  <w:footnote w:id="256">
    <w:p w14:paraId="5A7FF5FB" w14:textId="77777777" w:rsidR="00017DFE" w:rsidRPr="002273BC" w:rsidRDefault="00017DFE" w:rsidP="00EA3738">
      <w:pPr>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sz w:val="24"/>
          <w:szCs w:val="24"/>
        </w:rPr>
        <w:t xml:space="preserve"> </w:t>
      </w: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بادشاه، محمد أمين أمير الحنفي (1932م</w:t>
      </w:r>
      <w:r w:rsidRPr="002273BC">
        <w:rPr>
          <w:rFonts w:ascii="Arabic Transparent" w:hAnsi="Arabic Transparent" w:cs="Arabic Transparent" w:hint="cs"/>
          <w:b/>
          <w:bCs/>
          <w:sz w:val="24"/>
          <w:szCs w:val="24"/>
          <w:rtl/>
        </w:rPr>
        <w:t>). تيسير التحرير على كتاب التحرير في أصول الفقه الجامع بين اصطلاحي الحنفية والشافعية</w:t>
      </w:r>
      <w:r w:rsidRPr="002273BC">
        <w:rPr>
          <w:rFonts w:ascii="Arabic Transparent" w:hAnsi="Arabic Transparent" w:cs="Arabic Transparent" w:hint="cs"/>
          <w:sz w:val="24"/>
          <w:szCs w:val="24"/>
          <w:rtl/>
        </w:rPr>
        <w:t>، ط1، ج4، ص181، مصطفى البابي الحلبي، مصر.</w:t>
      </w:r>
    </w:p>
  </w:footnote>
  <w:footnote w:id="257">
    <w:p w14:paraId="7A0C940B" w14:textId="77777777" w:rsidR="00017DFE" w:rsidRPr="002273BC" w:rsidRDefault="00017DFE"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انظر: الشاطبي، </w:t>
      </w:r>
      <w:r w:rsidRPr="002273BC">
        <w:rPr>
          <w:rFonts w:ascii="Arabic Transparent" w:hAnsi="Arabic Transparent" w:cs="Arabic Transparent" w:hint="cs"/>
          <w:b/>
          <w:bCs/>
          <w:sz w:val="24"/>
          <w:szCs w:val="24"/>
          <w:rtl/>
          <w:lang w:bidi="ar-JO"/>
        </w:rPr>
        <w:t>الموافقات</w:t>
      </w:r>
      <w:r w:rsidRPr="002273BC">
        <w:rPr>
          <w:rFonts w:ascii="Arabic Transparent" w:hAnsi="Arabic Transparent" w:cs="Arabic Transparent" w:hint="cs"/>
          <w:sz w:val="24"/>
          <w:szCs w:val="24"/>
          <w:rtl/>
          <w:lang w:bidi="ar-JO"/>
        </w:rPr>
        <w:t>، مصدر سابق، ج5، ص181.</w:t>
      </w:r>
    </w:p>
  </w:footnote>
  <w:footnote w:id="258">
    <w:p w14:paraId="4F985F7C" w14:textId="77777777" w:rsidR="00017DFE" w:rsidRPr="002273BC" w:rsidRDefault="00017DFE"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انظر: الطبري، </w:t>
      </w:r>
      <w:r w:rsidRPr="002273BC">
        <w:rPr>
          <w:rFonts w:ascii="Arabic Transparent" w:hAnsi="Arabic Transparent" w:cs="Arabic Transparent" w:hint="cs"/>
          <w:b/>
          <w:bCs/>
          <w:sz w:val="24"/>
          <w:szCs w:val="24"/>
          <w:rtl/>
          <w:lang w:bidi="ar-JO"/>
        </w:rPr>
        <w:t>جامع البيان</w:t>
      </w:r>
      <w:r w:rsidRPr="002273BC">
        <w:rPr>
          <w:rFonts w:ascii="Arabic Transparent" w:hAnsi="Arabic Transparent" w:cs="Arabic Transparent" w:hint="cs"/>
          <w:sz w:val="24"/>
          <w:szCs w:val="24"/>
          <w:rtl/>
          <w:lang w:bidi="ar-JO"/>
        </w:rPr>
        <w:t>، مصدر سابق، ج5، ص380.</w:t>
      </w:r>
    </w:p>
  </w:footnote>
  <w:footnote w:id="259">
    <w:p w14:paraId="2393EAB2" w14:textId="4C73530C" w:rsidR="00017DFE" w:rsidRPr="002273BC" w:rsidRDefault="00017DFE"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انظر: ابن قدامة، </w:t>
      </w:r>
      <w:r w:rsidRPr="002273BC">
        <w:rPr>
          <w:rFonts w:ascii="Arabic Transparent" w:hAnsi="Arabic Transparent" w:cs="Arabic Transparent" w:hint="cs"/>
          <w:b/>
          <w:bCs/>
          <w:sz w:val="24"/>
          <w:szCs w:val="24"/>
          <w:rtl/>
          <w:lang w:bidi="ar-JO"/>
        </w:rPr>
        <w:t>روضة الناظر وجنة المناظر</w:t>
      </w:r>
      <w:r w:rsidRPr="002273BC">
        <w:rPr>
          <w:rFonts w:ascii="Arabic Transparent" w:hAnsi="Arabic Transparent" w:cs="Arabic Transparent" w:hint="cs"/>
          <w:sz w:val="24"/>
          <w:szCs w:val="24"/>
          <w:rtl/>
          <w:lang w:bidi="ar-JO"/>
        </w:rPr>
        <w:t xml:space="preserve">، مصدر سابق، ج2، ص214، الآمدي، </w:t>
      </w:r>
      <w:r w:rsidRPr="002273BC">
        <w:rPr>
          <w:rFonts w:ascii="Arabic Transparent" w:hAnsi="Arabic Transparent" w:cs="Arabic Transparent" w:hint="cs"/>
          <w:b/>
          <w:bCs/>
          <w:sz w:val="24"/>
          <w:szCs w:val="24"/>
          <w:rtl/>
          <w:lang w:bidi="ar-JO"/>
        </w:rPr>
        <w:t>الإحكام في أصول الأحكام</w:t>
      </w:r>
      <w:r w:rsidRPr="002273BC">
        <w:rPr>
          <w:rFonts w:ascii="Arabic Transparent" w:hAnsi="Arabic Transparent" w:cs="Arabic Transparent" w:hint="cs"/>
          <w:sz w:val="24"/>
          <w:szCs w:val="24"/>
          <w:rtl/>
          <w:lang w:bidi="ar-JO"/>
        </w:rPr>
        <w:t>، مصدر سابق، ج3، ص244، والطوفي</w:t>
      </w:r>
      <w:r w:rsidRPr="002273BC">
        <w:rPr>
          <w:rFonts w:ascii="Arabic Transparent" w:hAnsi="Arabic Transparent" w:cs="Arabic Transparent" w:hint="cs"/>
          <w:b/>
          <w:bCs/>
          <w:sz w:val="24"/>
          <w:szCs w:val="24"/>
          <w:rtl/>
          <w:lang w:bidi="ar-JO"/>
        </w:rPr>
        <w:t>، شرح مختصر الروضة</w:t>
      </w:r>
      <w:r w:rsidRPr="002273BC">
        <w:rPr>
          <w:rFonts w:ascii="Arabic Transparent" w:hAnsi="Arabic Transparent" w:cs="Arabic Transparent" w:hint="cs"/>
          <w:sz w:val="24"/>
          <w:szCs w:val="24"/>
          <w:rtl/>
          <w:lang w:bidi="ar-JO"/>
        </w:rPr>
        <w:t xml:space="preserve">، مصدر سابق، ج3، </w:t>
      </w:r>
      <w:r w:rsidR="0015550E">
        <w:rPr>
          <w:rFonts w:ascii="Arabic Transparent" w:hAnsi="Arabic Transparent" w:cs="Arabic Transparent" w:hint="cs"/>
          <w:sz w:val="24"/>
          <w:szCs w:val="24"/>
          <w:rtl/>
          <w:lang w:bidi="ar-JO"/>
        </w:rPr>
        <w:t>ص</w:t>
      </w:r>
      <w:r w:rsidRPr="002273BC">
        <w:rPr>
          <w:rFonts w:ascii="Arabic Transparent" w:hAnsi="Arabic Transparent" w:cs="Arabic Transparent" w:hint="cs"/>
          <w:sz w:val="24"/>
          <w:szCs w:val="24"/>
          <w:rtl/>
          <w:lang w:bidi="ar-JO"/>
        </w:rPr>
        <w:t xml:space="preserve">516، والزركشي، </w:t>
      </w:r>
      <w:r w:rsidRPr="002273BC">
        <w:rPr>
          <w:rFonts w:ascii="Arabic Transparent" w:hAnsi="Arabic Transparent" w:cs="Arabic Transparent" w:hint="cs"/>
          <w:b/>
          <w:bCs/>
          <w:sz w:val="24"/>
          <w:szCs w:val="24"/>
          <w:rtl/>
          <w:lang w:bidi="ar-JO"/>
        </w:rPr>
        <w:t>البحر المحيط</w:t>
      </w:r>
      <w:r w:rsidRPr="002273BC">
        <w:rPr>
          <w:rFonts w:ascii="Arabic Transparent" w:hAnsi="Arabic Transparent" w:cs="Arabic Transparent" w:hint="cs"/>
          <w:sz w:val="24"/>
          <w:szCs w:val="24"/>
          <w:rtl/>
          <w:lang w:bidi="ar-JO"/>
        </w:rPr>
        <w:t>، مصدر سابق، ج7، ص314.</w:t>
      </w:r>
    </w:p>
  </w:footnote>
  <w:footnote w:id="260">
    <w:p w14:paraId="7C9F6F8C" w14:textId="7B9A26AB" w:rsidR="00017DFE" w:rsidRPr="002273BC" w:rsidRDefault="00017DFE"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00A254AD" w:rsidRPr="002273BC">
        <w:rPr>
          <w:rFonts w:ascii="Arabic Transparent" w:hAnsi="Arabic Transparent" w:cs="Arabic Transparent" w:hint="cs"/>
          <w:sz w:val="24"/>
          <w:szCs w:val="24"/>
          <w:rtl/>
        </w:rPr>
        <w:t>ا</w:t>
      </w:r>
      <w:r w:rsidR="00A254AD" w:rsidRPr="002273BC">
        <w:rPr>
          <w:rFonts w:ascii="Arabic Transparent" w:hAnsi="Arabic Transparent" w:cs="Arabic Transparent"/>
          <w:sz w:val="24"/>
          <w:szCs w:val="24"/>
          <w:rtl/>
          <w:lang w:bidi="ar-JO"/>
        </w:rPr>
        <w:t xml:space="preserve">لشيرازي، إبراهيم بن علي بن يوسف (د.ت). </w:t>
      </w:r>
      <w:r w:rsidR="00A254AD" w:rsidRPr="002273BC">
        <w:rPr>
          <w:rFonts w:ascii="Arabic Transparent" w:hAnsi="Arabic Transparent" w:cs="Arabic Transparent"/>
          <w:b/>
          <w:bCs/>
          <w:sz w:val="24"/>
          <w:szCs w:val="24"/>
          <w:rtl/>
          <w:lang w:bidi="ar-JO"/>
        </w:rPr>
        <w:t>المهذب في فقه الإمام الشافعي</w:t>
      </w:r>
      <w:r w:rsidR="00A254AD" w:rsidRPr="002273BC">
        <w:rPr>
          <w:rFonts w:ascii="Arabic Transparent" w:hAnsi="Arabic Transparent" w:cs="Arabic Transparent"/>
          <w:sz w:val="24"/>
          <w:szCs w:val="24"/>
          <w:rtl/>
          <w:lang w:bidi="ar-JO"/>
        </w:rPr>
        <w:t>.</w:t>
      </w:r>
      <w:r w:rsidR="00A254AD" w:rsidRPr="002273BC">
        <w:rPr>
          <w:rFonts w:ascii="Arabic Transparent" w:hAnsi="Arabic Transparent" w:cs="Arabic Transparent" w:hint="cs"/>
          <w:sz w:val="24"/>
          <w:szCs w:val="24"/>
          <w:rtl/>
          <w:lang w:bidi="ar-JO"/>
        </w:rPr>
        <w:t xml:space="preserve"> ط1، </w:t>
      </w:r>
      <w:r w:rsidR="00A254AD" w:rsidRPr="002273BC">
        <w:rPr>
          <w:rFonts w:ascii="Arabic Transparent" w:hAnsi="Arabic Transparent" w:cs="Arabic Transparent"/>
          <w:sz w:val="24"/>
          <w:szCs w:val="24"/>
          <w:rtl/>
          <w:lang w:bidi="ar-JO"/>
        </w:rPr>
        <w:t>ج2، ص29. دار الكتب العلمية</w:t>
      </w:r>
      <w:r w:rsidR="00A254AD" w:rsidRPr="002273BC">
        <w:rPr>
          <w:rFonts w:ascii="Arabic Transparent" w:hAnsi="Arabic Transparent" w:cs="Arabic Transparent" w:hint="cs"/>
          <w:sz w:val="24"/>
          <w:szCs w:val="24"/>
          <w:rtl/>
          <w:lang w:bidi="ar-JO"/>
        </w:rPr>
        <w:t>.</w:t>
      </w:r>
    </w:p>
  </w:footnote>
  <w:footnote w:id="261">
    <w:p w14:paraId="0B87599B" w14:textId="25CBD738" w:rsidR="00017DFE" w:rsidRPr="002273BC" w:rsidRDefault="00017DFE"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00A254AD" w:rsidRPr="002273BC">
        <w:rPr>
          <w:rFonts w:ascii="Arabic Transparent" w:hAnsi="Arabic Transparent" w:cs="Arabic Transparent"/>
          <w:sz w:val="24"/>
          <w:szCs w:val="24"/>
          <w:rtl/>
          <w:lang w:bidi="ar-JO"/>
        </w:rPr>
        <w:t xml:space="preserve">الماوردي، علي بن محمد بن حبيب، أبو الحسن، (1999)، </w:t>
      </w:r>
      <w:r w:rsidR="00A254AD" w:rsidRPr="002C272D">
        <w:rPr>
          <w:rFonts w:ascii="Arabic Transparent" w:hAnsi="Arabic Transparent" w:cs="Arabic Transparent"/>
          <w:b/>
          <w:bCs/>
          <w:sz w:val="24"/>
          <w:szCs w:val="24"/>
          <w:rtl/>
          <w:lang w:bidi="ar-JO"/>
        </w:rPr>
        <w:t>الحاوي الكبير في فقه مذهب الإمام الشافعي وهو شرح مختصر المزني</w:t>
      </w:r>
      <w:r w:rsidR="00A254AD" w:rsidRPr="002273BC">
        <w:rPr>
          <w:rFonts w:ascii="Arabic Transparent" w:hAnsi="Arabic Transparent" w:cs="Arabic Transparent"/>
          <w:sz w:val="24"/>
          <w:szCs w:val="24"/>
          <w:rtl/>
          <w:lang w:bidi="ar-JO"/>
        </w:rPr>
        <w:t xml:space="preserve"> (تحقيق علي محمد معوض، وعادل أحمد عبد الموجود)، ط1،</w:t>
      </w:r>
      <w:r w:rsidR="00A254AD" w:rsidRPr="002273BC">
        <w:rPr>
          <w:rFonts w:ascii="Arabic Transparent" w:hAnsi="Arabic Transparent" w:cs="Arabic Transparent" w:hint="cs"/>
          <w:sz w:val="24"/>
          <w:szCs w:val="24"/>
          <w:rtl/>
          <w:lang w:bidi="ar-JO"/>
        </w:rPr>
        <w:t xml:space="preserve"> </w:t>
      </w:r>
      <w:r w:rsidR="00A254AD" w:rsidRPr="002273BC">
        <w:rPr>
          <w:rFonts w:ascii="Arabic Transparent" w:hAnsi="Arabic Transparent" w:cs="Arabic Transparent"/>
          <w:sz w:val="24"/>
          <w:szCs w:val="24"/>
          <w:rtl/>
          <w:lang w:bidi="ar-JO"/>
        </w:rPr>
        <w:t>ج5، ص215. دار الكتب العلمية، بيروت.</w:t>
      </w:r>
    </w:p>
  </w:footnote>
  <w:footnote w:id="262">
    <w:p w14:paraId="628539A4" w14:textId="77777777" w:rsidR="00017DFE" w:rsidRPr="002273BC" w:rsidRDefault="00017DFE"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أخرجه البخاري في صحيحه، البخاري، </w:t>
      </w:r>
      <w:r w:rsidRPr="002273BC">
        <w:rPr>
          <w:rFonts w:ascii="Arabic Transparent" w:hAnsi="Arabic Transparent" w:cs="Arabic Transparent" w:hint="cs"/>
          <w:b/>
          <w:bCs/>
          <w:sz w:val="24"/>
          <w:szCs w:val="24"/>
          <w:rtl/>
          <w:lang w:bidi="ar-JO"/>
        </w:rPr>
        <w:t>صحيح البخاري</w:t>
      </w:r>
      <w:r w:rsidRPr="002273BC">
        <w:rPr>
          <w:rFonts w:ascii="Arabic Transparent" w:hAnsi="Arabic Transparent" w:cs="Arabic Transparent" w:hint="cs"/>
          <w:sz w:val="24"/>
          <w:szCs w:val="24"/>
          <w:rtl/>
          <w:lang w:bidi="ar-JO"/>
        </w:rPr>
        <w:t>، مصدر سابق، كتاب المساقاة، باب: الرجل يكون له ممر أو شرب أو حائط أو في نخل، رقم(٢٢٥٣)، ج2، ص839.</w:t>
      </w:r>
    </w:p>
  </w:footnote>
  <w:footnote w:id="263">
    <w:p w14:paraId="2C013A78" w14:textId="77777777" w:rsidR="00017DFE" w:rsidRPr="002273BC" w:rsidRDefault="00017DFE" w:rsidP="00EA3738">
      <w:pPr>
        <w:pStyle w:val="FootnoteText"/>
        <w:spacing w:line="360" w:lineRule="auto"/>
        <w:jc w:val="both"/>
        <w:rPr>
          <w:rFonts w:ascii="Arabic Transparent" w:hAnsi="Arabic Transparent" w:cs="Arabic Transparent"/>
          <w:sz w:val="24"/>
          <w:szCs w:val="24"/>
          <w:rtl/>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انظر: الماوردي، </w:t>
      </w:r>
      <w:r w:rsidRPr="002273BC">
        <w:rPr>
          <w:rFonts w:ascii="Arabic Transparent" w:hAnsi="Arabic Transparent" w:cs="Arabic Transparent" w:hint="cs"/>
          <w:b/>
          <w:bCs/>
          <w:sz w:val="24"/>
          <w:szCs w:val="24"/>
          <w:rtl/>
        </w:rPr>
        <w:t>الحاوي الكبير</w:t>
      </w:r>
      <w:r w:rsidRPr="002273BC">
        <w:rPr>
          <w:rFonts w:ascii="Arabic Transparent" w:hAnsi="Arabic Transparent" w:cs="Arabic Transparent" w:hint="cs"/>
          <w:sz w:val="24"/>
          <w:szCs w:val="24"/>
          <w:rtl/>
        </w:rPr>
        <w:t>، مصدر سابق، ج5، ص215.</w:t>
      </w:r>
    </w:p>
  </w:footnote>
  <w:footnote w:id="264">
    <w:p w14:paraId="462CEB07" w14:textId="77777777" w:rsidR="00017DFE" w:rsidRPr="002273BC" w:rsidRDefault="00017DFE"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النووي، يحيى بن شرف (1988م). </w:t>
      </w:r>
      <w:r w:rsidRPr="002273BC">
        <w:rPr>
          <w:rFonts w:ascii="Arabic Transparent" w:hAnsi="Arabic Transparent" w:cs="Arabic Transparent" w:hint="cs"/>
          <w:b/>
          <w:bCs/>
          <w:sz w:val="24"/>
          <w:szCs w:val="24"/>
          <w:rtl/>
          <w:lang w:bidi="ar-JO"/>
        </w:rPr>
        <w:t>آداب الفتوى والمفتي والمستفتي</w:t>
      </w:r>
      <w:r w:rsidRPr="002273BC">
        <w:rPr>
          <w:rFonts w:ascii="Arabic Transparent" w:hAnsi="Arabic Transparent" w:cs="Arabic Transparent" w:hint="cs"/>
          <w:sz w:val="24"/>
          <w:szCs w:val="24"/>
          <w:rtl/>
          <w:lang w:bidi="ar-JO"/>
        </w:rPr>
        <w:t xml:space="preserve"> (تحقيق: بسام عبد الوهاب الجابي). ط1،ج1، ص84، دار الفكر، دمشق.</w:t>
      </w:r>
    </w:p>
  </w:footnote>
  <w:footnote w:id="265">
    <w:p w14:paraId="444158CA" w14:textId="51B479D3" w:rsidR="00017DFE" w:rsidRPr="002273BC" w:rsidRDefault="00017DFE" w:rsidP="00EA3738">
      <w:pPr>
        <w:pStyle w:val="FootnoteText"/>
        <w:spacing w:line="360" w:lineRule="auto"/>
        <w:jc w:val="both"/>
        <w:rPr>
          <w:rFonts w:ascii="Arabic Transparent" w:hAnsi="Arabic Transparent" w:cs="Arabic Transparent"/>
          <w:sz w:val="24"/>
          <w:szCs w:val="24"/>
          <w:rtl/>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انظر: القدوري، أحمد بن محمد البغدادي (2022م). </w:t>
      </w:r>
      <w:r w:rsidRPr="002273BC">
        <w:rPr>
          <w:rFonts w:ascii="Arabic Transparent" w:hAnsi="Arabic Transparent" w:cs="Arabic Transparent" w:hint="cs"/>
          <w:b/>
          <w:bCs/>
          <w:sz w:val="24"/>
          <w:szCs w:val="24"/>
          <w:rtl/>
        </w:rPr>
        <w:t>شرح مختصر الكرخي</w:t>
      </w:r>
      <w:r w:rsidRPr="002273BC">
        <w:rPr>
          <w:rFonts w:ascii="Arabic Transparent" w:hAnsi="Arabic Transparent" w:cs="Arabic Transparent" w:hint="cs"/>
          <w:sz w:val="24"/>
          <w:szCs w:val="24"/>
          <w:rtl/>
        </w:rPr>
        <w:t xml:space="preserve"> (تحقيق: عبد الله نذير أحمد عبد الرحمن). ط1، ج5، ص439، دار أسفار، الكويت.</w:t>
      </w:r>
    </w:p>
  </w:footnote>
  <w:footnote w:id="266">
    <w:p w14:paraId="19F810C8" w14:textId="77777777" w:rsidR="00017DFE" w:rsidRPr="002273BC" w:rsidRDefault="00017DFE"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الكفوي، </w:t>
      </w:r>
      <w:r w:rsidRPr="002273BC">
        <w:rPr>
          <w:rFonts w:ascii="Arabic Transparent" w:hAnsi="Arabic Transparent" w:cs="Arabic Transparent" w:hint="cs"/>
          <w:b/>
          <w:bCs/>
          <w:sz w:val="24"/>
          <w:szCs w:val="24"/>
          <w:rtl/>
          <w:lang w:bidi="ar-JO"/>
        </w:rPr>
        <w:t>الكليات</w:t>
      </w:r>
      <w:r w:rsidRPr="002273BC">
        <w:rPr>
          <w:rFonts w:ascii="Arabic Transparent" w:hAnsi="Arabic Transparent" w:cs="Arabic Transparent" w:hint="cs"/>
          <w:sz w:val="24"/>
          <w:szCs w:val="24"/>
          <w:rtl/>
          <w:lang w:bidi="ar-JO"/>
        </w:rPr>
        <w:t>، مصدر سابق، ص546.</w:t>
      </w:r>
    </w:p>
  </w:footnote>
  <w:footnote w:id="267">
    <w:p w14:paraId="37C1A3AB" w14:textId="77777777" w:rsidR="0064615F" w:rsidRPr="002273BC" w:rsidRDefault="0064615F"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الجرجاني، </w:t>
      </w:r>
      <w:r w:rsidRPr="002273BC">
        <w:rPr>
          <w:rFonts w:ascii="Arabic Transparent" w:hAnsi="Arabic Transparent" w:cs="Arabic Transparent" w:hint="cs"/>
          <w:b/>
          <w:bCs/>
          <w:sz w:val="24"/>
          <w:szCs w:val="24"/>
          <w:rtl/>
          <w:lang w:bidi="ar-JO"/>
        </w:rPr>
        <w:t>التعريفات</w:t>
      </w:r>
      <w:r w:rsidRPr="002273BC">
        <w:rPr>
          <w:rFonts w:ascii="Arabic Transparent" w:hAnsi="Arabic Transparent" w:cs="Arabic Transparent" w:hint="cs"/>
          <w:sz w:val="24"/>
          <w:szCs w:val="24"/>
          <w:rtl/>
          <w:lang w:bidi="ar-JO"/>
        </w:rPr>
        <w:t>، مصدر سابق، ص133.</w:t>
      </w:r>
    </w:p>
  </w:footnote>
  <w:footnote w:id="268">
    <w:p w14:paraId="69C6F1E4" w14:textId="77777777" w:rsidR="004F1369" w:rsidRPr="002273BC" w:rsidRDefault="004F1369"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sz w:val="24"/>
          <w:szCs w:val="24"/>
          <w:rtl/>
          <w:lang w:bidi="ar-JO"/>
        </w:rPr>
        <w:t xml:space="preserve">المرغيناني، برهان الدين أبو الحسن علي بن أبي بكر بن عبد الجليل الرشداني (2004). </w:t>
      </w:r>
      <w:r w:rsidRPr="004F1369">
        <w:rPr>
          <w:rFonts w:ascii="Arabic Transparent" w:hAnsi="Arabic Transparent" w:cs="Arabic Transparent"/>
          <w:b/>
          <w:bCs/>
          <w:sz w:val="24"/>
          <w:szCs w:val="24"/>
          <w:rtl/>
          <w:lang w:bidi="ar-JO"/>
        </w:rPr>
        <w:t>الهداية في شرح بداية المبتدي</w:t>
      </w:r>
      <w:r w:rsidRPr="002273BC">
        <w:rPr>
          <w:rFonts w:ascii="Arabic Transparent" w:hAnsi="Arabic Transparent" w:cs="Arabic Transparent"/>
          <w:sz w:val="24"/>
          <w:szCs w:val="24"/>
          <w:rtl/>
          <w:lang w:bidi="ar-JO"/>
        </w:rPr>
        <w:t>، اعتنى بتصحيحه: طلال يوسف، ط1، ج3، ص61</w:t>
      </w:r>
      <w:r w:rsidRPr="002273BC">
        <w:rPr>
          <w:rFonts w:ascii="Arabic Transparent" w:hAnsi="Arabic Transparent" w:cs="Arabic Transparent" w:hint="cs"/>
          <w:sz w:val="24"/>
          <w:szCs w:val="24"/>
          <w:rtl/>
          <w:lang w:bidi="ar-JO"/>
        </w:rPr>
        <w:t xml:space="preserve">، </w:t>
      </w:r>
      <w:r w:rsidRPr="002273BC">
        <w:rPr>
          <w:rFonts w:ascii="Arabic Transparent" w:hAnsi="Arabic Transparent" w:cs="Arabic Transparent"/>
          <w:sz w:val="24"/>
          <w:szCs w:val="24"/>
          <w:rtl/>
          <w:lang w:bidi="ar-JO"/>
        </w:rPr>
        <w:t>دار احياء التراث العربي، بيروت – لبنان</w:t>
      </w:r>
      <w:r w:rsidRPr="002273BC">
        <w:rPr>
          <w:rFonts w:ascii="Arabic Transparent" w:hAnsi="Arabic Transparent" w:cs="Arabic Transparent" w:hint="cs"/>
          <w:sz w:val="24"/>
          <w:szCs w:val="24"/>
          <w:rtl/>
          <w:lang w:bidi="ar-JO"/>
        </w:rPr>
        <w:t>.</w:t>
      </w:r>
    </w:p>
  </w:footnote>
  <w:footnote w:id="269">
    <w:p w14:paraId="5E824646" w14:textId="77777777" w:rsidR="00017DFE" w:rsidRPr="002273BC" w:rsidRDefault="00017DFE"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الشنقيطي، </w:t>
      </w:r>
      <w:r w:rsidRPr="002273BC">
        <w:rPr>
          <w:rFonts w:ascii="Arabic Transparent" w:hAnsi="Arabic Transparent" w:cs="Arabic Transparent" w:hint="cs"/>
          <w:b/>
          <w:bCs/>
          <w:sz w:val="24"/>
          <w:szCs w:val="24"/>
          <w:rtl/>
          <w:lang w:bidi="ar-JO"/>
        </w:rPr>
        <w:t>نشر البنود على مراقي السعود</w:t>
      </w:r>
      <w:r w:rsidRPr="002273BC">
        <w:rPr>
          <w:rFonts w:ascii="Arabic Transparent" w:hAnsi="Arabic Transparent" w:cs="Arabic Transparent" w:hint="cs"/>
          <w:sz w:val="24"/>
          <w:szCs w:val="24"/>
          <w:rtl/>
          <w:lang w:bidi="ar-JO"/>
        </w:rPr>
        <w:t>، مصدر سابق، ج2، ص226.</w:t>
      </w:r>
    </w:p>
  </w:footnote>
  <w:footnote w:id="270">
    <w:p w14:paraId="46CED980" w14:textId="77777777" w:rsidR="00017DFE" w:rsidRPr="002273BC" w:rsidRDefault="00017DFE"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4F1369">
        <w:rPr>
          <w:rFonts w:ascii="Arabic Transparent" w:hAnsi="Arabic Transparent" w:cs="Arabic Transparent" w:hint="cs"/>
          <w:b/>
          <w:bCs/>
          <w:sz w:val="24"/>
          <w:szCs w:val="24"/>
          <w:rtl/>
          <w:lang w:bidi="ar-JO"/>
        </w:rPr>
        <w:t>المصدر السابق</w:t>
      </w:r>
      <w:r w:rsidRPr="002273BC">
        <w:rPr>
          <w:rFonts w:ascii="Arabic Transparent" w:hAnsi="Arabic Transparent" w:cs="Arabic Transparent" w:hint="cs"/>
          <w:sz w:val="24"/>
          <w:szCs w:val="24"/>
          <w:rtl/>
          <w:lang w:bidi="ar-JO"/>
        </w:rPr>
        <w:t xml:space="preserve"> ذاته، ج2، ص226.</w:t>
      </w:r>
    </w:p>
  </w:footnote>
  <w:footnote w:id="271">
    <w:p w14:paraId="087AD6D3" w14:textId="63222C1C" w:rsidR="00017DFE" w:rsidRPr="002273BC" w:rsidRDefault="00017DFE" w:rsidP="00EA3738">
      <w:pPr>
        <w:pStyle w:val="FootnoteText"/>
        <w:spacing w:line="360" w:lineRule="auto"/>
        <w:jc w:val="both"/>
        <w:rPr>
          <w:rFonts w:ascii="Arabic Transparent" w:hAnsi="Arabic Transparent" w:cs="Arabic Transparent"/>
          <w:sz w:val="24"/>
          <w:szCs w:val="24"/>
          <w:rtl/>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انظر: الرحيباني، مصطفى بن سعد بن عبده (1994م)، </w:t>
      </w:r>
      <w:r w:rsidRPr="002273BC">
        <w:rPr>
          <w:rFonts w:ascii="Arabic Transparent" w:hAnsi="Arabic Transparent" w:cs="Arabic Transparent" w:hint="cs"/>
          <w:b/>
          <w:bCs/>
          <w:sz w:val="24"/>
          <w:szCs w:val="24"/>
          <w:rtl/>
        </w:rPr>
        <w:t>مطالب أولي النهى في شرح غاية المنتهى،</w:t>
      </w:r>
      <w:r w:rsidRPr="002273BC">
        <w:rPr>
          <w:rFonts w:ascii="Arabic Transparent" w:hAnsi="Arabic Transparent" w:cs="Arabic Transparent" w:hint="cs"/>
          <w:sz w:val="24"/>
          <w:szCs w:val="24"/>
          <w:rtl/>
        </w:rPr>
        <w:t xml:space="preserve"> ط2،</w:t>
      </w:r>
      <w:r w:rsidR="0015550E">
        <w:rPr>
          <w:rFonts w:ascii="Arabic Transparent" w:hAnsi="Arabic Transparent" w:cs="Arabic Transparent" w:hint="cs"/>
          <w:sz w:val="24"/>
          <w:szCs w:val="24"/>
          <w:rtl/>
        </w:rPr>
        <w:t xml:space="preserve"> ج2، ص11،</w:t>
      </w:r>
      <w:r w:rsidRPr="002273BC">
        <w:rPr>
          <w:rFonts w:ascii="Arabic Transparent" w:hAnsi="Arabic Transparent" w:cs="Arabic Transparent" w:hint="cs"/>
          <w:sz w:val="24"/>
          <w:szCs w:val="24"/>
          <w:rtl/>
        </w:rPr>
        <w:t xml:space="preserve"> المكتب الإسلامي، بيروت.</w:t>
      </w:r>
    </w:p>
  </w:footnote>
  <w:footnote w:id="272">
    <w:p w14:paraId="6B900F87" w14:textId="5DD6AF9C" w:rsidR="00017DFE" w:rsidRPr="002273BC" w:rsidRDefault="00017DFE"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00A254AD" w:rsidRPr="002273BC">
        <w:rPr>
          <w:rFonts w:ascii="Arabic Transparent" w:hAnsi="Arabic Transparent" w:cs="Arabic Transparent"/>
          <w:sz w:val="24"/>
          <w:szCs w:val="24"/>
          <w:rtl/>
          <w:lang w:bidi="ar-JO"/>
        </w:rPr>
        <w:t xml:space="preserve">السلمي، عياض بن نامي (2005)، </w:t>
      </w:r>
      <w:r w:rsidR="00A254AD" w:rsidRPr="002273BC">
        <w:rPr>
          <w:rFonts w:ascii="Arabic Transparent" w:hAnsi="Arabic Transparent" w:cs="Arabic Transparent"/>
          <w:b/>
          <w:bCs/>
          <w:sz w:val="24"/>
          <w:szCs w:val="24"/>
          <w:rtl/>
          <w:lang w:bidi="ar-JO"/>
        </w:rPr>
        <w:t>أصول الفقه الذي لا يسع الفقيه جهله</w:t>
      </w:r>
      <w:r w:rsidR="00A254AD" w:rsidRPr="002273BC">
        <w:rPr>
          <w:rFonts w:ascii="Arabic Transparent" w:hAnsi="Arabic Transparent" w:cs="Arabic Transparent"/>
          <w:sz w:val="24"/>
          <w:szCs w:val="24"/>
          <w:rtl/>
          <w:lang w:bidi="ar-JO"/>
        </w:rPr>
        <w:t>، ط1،</w:t>
      </w:r>
      <w:r w:rsidR="00A254AD" w:rsidRPr="002273BC">
        <w:rPr>
          <w:rFonts w:ascii="Arabic Transparent" w:hAnsi="Arabic Transparent" w:cs="Arabic Transparent" w:hint="cs"/>
          <w:sz w:val="24"/>
          <w:szCs w:val="24"/>
          <w:rtl/>
          <w:lang w:bidi="ar-JO"/>
        </w:rPr>
        <w:t xml:space="preserve"> ص144،</w:t>
      </w:r>
      <w:r w:rsidR="00A254AD" w:rsidRPr="002273BC">
        <w:rPr>
          <w:rFonts w:ascii="Arabic Transparent" w:hAnsi="Arabic Transparent" w:cs="Arabic Transparent"/>
          <w:sz w:val="24"/>
          <w:szCs w:val="24"/>
          <w:rtl/>
          <w:lang w:bidi="ar-JO"/>
        </w:rPr>
        <w:t xml:space="preserve"> دار التدمرية، الرياض – المملكة العربية السعودية.</w:t>
      </w:r>
    </w:p>
  </w:footnote>
  <w:footnote w:id="273">
    <w:p w14:paraId="5BF3514F" w14:textId="77777777" w:rsidR="004F1369" w:rsidRPr="002273BC" w:rsidRDefault="004F1369"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sz w:val="24"/>
          <w:szCs w:val="24"/>
          <w:rtl/>
          <w:lang w:bidi="ar-JO"/>
        </w:rPr>
        <w:t xml:space="preserve">السرخسي، محمد بن أحمد بن أبي سهل، شمس الأئمة (1906)، </w:t>
      </w:r>
      <w:r w:rsidRPr="002273BC">
        <w:rPr>
          <w:rFonts w:ascii="Arabic Transparent" w:hAnsi="Arabic Transparent" w:cs="Arabic Transparent"/>
          <w:b/>
          <w:bCs/>
          <w:sz w:val="24"/>
          <w:szCs w:val="24"/>
          <w:rtl/>
          <w:lang w:bidi="ar-JO"/>
        </w:rPr>
        <w:t>المبسوط،</w:t>
      </w:r>
      <w:r w:rsidRPr="002273BC">
        <w:rPr>
          <w:rFonts w:ascii="Arabic Transparent" w:hAnsi="Arabic Transparent" w:cs="Arabic Transparent"/>
          <w:sz w:val="24"/>
          <w:szCs w:val="24"/>
          <w:rtl/>
          <w:lang w:bidi="ar-JO"/>
        </w:rPr>
        <w:t xml:space="preserve"> ط1، ج26، ص137</w:t>
      </w:r>
      <w:r w:rsidRPr="002273BC">
        <w:rPr>
          <w:rFonts w:ascii="Arabic Transparent" w:hAnsi="Arabic Transparent" w:cs="Arabic Transparent" w:hint="cs"/>
          <w:sz w:val="24"/>
          <w:szCs w:val="24"/>
          <w:rtl/>
          <w:lang w:bidi="ar-JO"/>
        </w:rPr>
        <w:t>،</w:t>
      </w:r>
      <w:r w:rsidRPr="002273BC">
        <w:rPr>
          <w:rFonts w:ascii="Arabic Transparent" w:hAnsi="Arabic Transparent" w:cs="Arabic Transparent"/>
          <w:sz w:val="24"/>
          <w:szCs w:val="24"/>
          <w:rtl/>
          <w:lang w:bidi="ar-JO"/>
        </w:rPr>
        <w:t xml:space="preserve"> مطبعة السعادة، القاهرة</w:t>
      </w:r>
      <w:r w:rsidRPr="002273BC">
        <w:rPr>
          <w:rFonts w:ascii="Arabic Transparent" w:hAnsi="Arabic Transparent" w:cs="Arabic Transparent" w:hint="cs"/>
          <w:sz w:val="24"/>
          <w:szCs w:val="24"/>
          <w:rtl/>
          <w:lang w:bidi="ar-JO"/>
        </w:rPr>
        <w:t>.</w:t>
      </w:r>
    </w:p>
  </w:footnote>
  <w:footnote w:id="274">
    <w:p w14:paraId="614544CF" w14:textId="5F19DC91" w:rsidR="00017DFE" w:rsidRPr="002273BC" w:rsidRDefault="00017DFE"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انظر: </w:t>
      </w:r>
      <w:r w:rsidR="00A254AD" w:rsidRPr="002273BC">
        <w:rPr>
          <w:rFonts w:ascii="Arabic Transparent" w:hAnsi="Arabic Transparent" w:cs="Arabic Transparent"/>
          <w:sz w:val="24"/>
          <w:szCs w:val="24"/>
          <w:rtl/>
          <w:lang w:bidi="ar-JO"/>
        </w:rPr>
        <w:t xml:space="preserve">الزحيلي، وهبة (2006)، </w:t>
      </w:r>
      <w:r w:rsidR="00A254AD" w:rsidRPr="002273BC">
        <w:rPr>
          <w:rFonts w:ascii="Arabic Transparent" w:hAnsi="Arabic Transparent" w:cs="Arabic Transparent"/>
          <w:b/>
          <w:bCs/>
          <w:sz w:val="24"/>
          <w:szCs w:val="24"/>
          <w:rtl/>
          <w:lang w:bidi="ar-JO"/>
        </w:rPr>
        <w:t>الفقه الإسلامي وأدلته</w:t>
      </w:r>
      <w:r w:rsidR="00A254AD" w:rsidRPr="002273BC">
        <w:rPr>
          <w:rFonts w:ascii="Arabic Transparent" w:hAnsi="Arabic Transparent" w:cs="Arabic Transparent"/>
          <w:sz w:val="24"/>
          <w:szCs w:val="24"/>
          <w:rtl/>
          <w:lang w:bidi="ar-JO"/>
        </w:rPr>
        <w:t>، ط4، ج4، ص48</w:t>
      </w:r>
      <w:r w:rsidR="00A254AD" w:rsidRPr="002273BC">
        <w:rPr>
          <w:rFonts w:ascii="Arabic Transparent" w:hAnsi="Arabic Transparent" w:cs="Arabic Transparent" w:hint="cs"/>
          <w:sz w:val="24"/>
          <w:szCs w:val="24"/>
          <w:rtl/>
          <w:lang w:bidi="ar-JO"/>
        </w:rPr>
        <w:t xml:space="preserve">، </w:t>
      </w:r>
      <w:r w:rsidR="00A254AD" w:rsidRPr="002273BC">
        <w:rPr>
          <w:rFonts w:ascii="Arabic Transparent" w:hAnsi="Arabic Transparent" w:cs="Arabic Transparent"/>
          <w:sz w:val="24"/>
          <w:szCs w:val="24"/>
          <w:rtl/>
          <w:lang w:bidi="ar-JO"/>
        </w:rPr>
        <w:t>دار الفكر، دمشق – سوريا.</w:t>
      </w:r>
      <w:r w:rsidRPr="002273BC">
        <w:rPr>
          <w:rFonts w:ascii="Arabic Transparent" w:hAnsi="Arabic Transparent" w:cs="Arabic Transparent" w:hint="cs"/>
          <w:sz w:val="24"/>
          <w:szCs w:val="24"/>
          <w:rtl/>
          <w:lang w:bidi="ar-JO"/>
        </w:rPr>
        <w:t xml:space="preserve"> </w:t>
      </w:r>
    </w:p>
  </w:footnote>
  <w:footnote w:id="275">
    <w:p w14:paraId="396D925D" w14:textId="78043B51" w:rsidR="00017DFE" w:rsidRPr="002273BC" w:rsidRDefault="00017DFE"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004F1369">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sz w:val="24"/>
          <w:szCs w:val="24"/>
          <w:rtl/>
          <w:lang w:bidi="ar-JO"/>
        </w:rPr>
        <w:t>الجويني، عبد الملك بن عبد الله بن يوسف (2007م</w:t>
      </w:r>
      <w:r w:rsidRPr="002273BC">
        <w:rPr>
          <w:rFonts w:ascii="Arabic Transparent" w:hAnsi="Arabic Transparent" w:cs="Arabic Transparent" w:hint="cs"/>
          <w:b/>
          <w:bCs/>
          <w:sz w:val="24"/>
          <w:szCs w:val="24"/>
          <w:rtl/>
          <w:lang w:bidi="ar-JO"/>
        </w:rPr>
        <w:t>). نهاية المطلب في دراية المذهب</w:t>
      </w:r>
      <w:r w:rsidRPr="002273BC">
        <w:rPr>
          <w:rFonts w:ascii="Arabic Transparent" w:hAnsi="Arabic Transparent" w:cs="Arabic Transparent" w:hint="cs"/>
          <w:sz w:val="24"/>
          <w:szCs w:val="24"/>
          <w:rtl/>
          <w:lang w:bidi="ar-JO"/>
        </w:rPr>
        <w:t xml:space="preserve"> (تحقيق وفهارس: عبد العظيم محمود الدّيب). ط1، ج18، ص554، دار المنهاج، جدة.</w:t>
      </w:r>
    </w:p>
  </w:footnote>
  <w:footnote w:id="276">
    <w:p w14:paraId="3B94D978" w14:textId="784BDD3C" w:rsidR="00017DFE" w:rsidRPr="002273BC" w:rsidRDefault="00017DFE" w:rsidP="00EA3738">
      <w:pPr>
        <w:pStyle w:val="FootnoteText"/>
        <w:spacing w:line="360" w:lineRule="auto"/>
        <w:jc w:val="both"/>
        <w:rPr>
          <w:rFonts w:ascii="Arabic Transparent" w:hAnsi="Arabic Transparent" w:cs="Arabic Transparent"/>
          <w:sz w:val="24"/>
          <w:szCs w:val="24"/>
          <w:rtl/>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004F1369">
        <w:rPr>
          <w:rFonts w:ascii="Arabic Transparent" w:hAnsi="Arabic Transparent" w:cs="Arabic Transparent" w:hint="cs"/>
          <w:sz w:val="24"/>
          <w:szCs w:val="24"/>
          <w:rtl/>
        </w:rPr>
        <w:t xml:space="preserve">انظر: </w:t>
      </w:r>
      <w:r w:rsidRPr="002273BC">
        <w:rPr>
          <w:rFonts w:ascii="Arabic Transparent" w:hAnsi="Arabic Transparent" w:cs="Arabic Transparent" w:hint="cs"/>
          <w:sz w:val="24"/>
          <w:szCs w:val="24"/>
          <w:rtl/>
        </w:rPr>
        <w:t>الدبيان، دبيان بن محمد (</w:t>
      </w:r>
      <w:r w:rsidR="00FC328B">
        <w:rPr>
          <w:rFonts w:ascii="Arabic Transparent" w:hAnsi="Arabic Transparent" w:cs="Arabic Transparent" w:hint="cs"/>
          <w:sz w:val="24"/>
          <w:szCs w:val="24"/>
          <w:rtl/>
        </w:rPr>
        <w:t>2010</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b/>
          <w:bCs/>
          <w:sz w:val="24"/>
          <w:szCs w:val="24"/>
          <w:rtl/>
        </w:rPr>
        <w:t xml:space="preserve">المعاملات المالية أصالة ومعاصرة، </w:t>
      </w:r>
      <w:r w:rsidRPr="002273BC">
        <w:rPr>
          <w:rFonts w:ascii="Arabic Transparent" w:hAnsi="Arabic Transparent" w:cs="Arabic Transparent" w:hint="cs"/>
          <w:sz w:val="24"/>
          <w:szCs w:val="24"/>
          <w:rtl/>
        </w:rPr>
        <w:t>ط2، ج18، ص179، (د.ن)، السعودية.</w:t>
      </w:r>
    </w:p>
  </w:footnote>
  <w:footnote w:id="277">
    <w:p w14:paraId="5867A8B5" w14:textId="77777777" w:rsidR="00017DFE" w:rsidRPr="002273BC" w:rsidRDefault="00017DFE"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انظر: </w:t>
      </w:r>
      <w:r w:rsidRPr="002273BC">
        <w:rPr>
          <w:rFonts w:ascii="Arabic Transparent" w:hAnsi="Arabic Transparent" w:cs="Arabic Transparent" w:hint="cs"/>
          <w:sz w:val="24"/>
          <w:szCs w:val="24"/>
          <w:rtl/>
          <w:lang w:bidi="ar-JO"/>
        </w:rPr>
        <w:t xml:space="preserve">درويش، عبد الودود (2023م). </w:t>
      </w:r>
      <w:r w:rsidRPr="002273BC">
        <w:rPr>
          <w:rFonts w:ascii="Arabic Transparent" w:hAnsi="Arabic Transparent" w:cs="Arabic Transparent" w:hint="cs"/>
          <w:b/>
          <w:bCs/>
          <w:sz w:val="24"/>
          <w:szCs w:val="24"/>
          <w:rtl/>
          <w:lang w:bidi="ar-JO"/>
        </w:rPr>
        <w:t>مُحقّقُ المناطِ في المعاملات المالية المعاصرة</w:t>
      </w:r>
      <w:r w:rsidRPr="002273BC">
        <w:rPr>
          <w:rFonts w:ascii="Arabic Transparent" w:hAnsi="Arabic Transparent" w:cs="Arabic Transparent" w:hint="cs"/>
          <w:sz w:val="24"/>
          <w:szCs w:val="24"/>
          <w:rtl/>
          <w:lang w:bidi="ar-JO"/>
        </w:rPr>
        <w:t>، مجلة معالم، مج27، ع5، ص520–522، جامعة تلمسان، الجزائر.</w:t>
      </w:r>
    </w:p>
  </w:footnote>
  <w:footnote w:id="278">
    <w:p w14:paraId="1BC018F9" w14:textId="0CBFD00F" w:rsidR="00017DFE" w:rsidRPr="002273BC" w:rsidRDefault="00017DFE"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شركة الأبدان: صورتها يشترك صانعان على أن يعملا، فما رزق الله تعالى من فضل كان بينهما كالنجارين والحائكين والخياطين ونحو</w:t>
      </w:r>
      <w:r w:rsidR="00A254AD" w:rsidRPr="002273BC">
        <w:rPr>
          <w:rFonts w:ascii="Arabic Transparent" w:hAnsi="Arabic Transparent" w:cs="Arabic Transparent" w:hint="cs"/>
          <w:sz w:val="24"/>
          <w:szCs w:val="24"/>
          <w:rtl/>
          <w:lang w:bidi="ar-JO"/>
        </w:rPr>
        <w:t>ه.</w:t>
      </w:r>
      <w:r w:rsidRPr="002273BC">
        <w:rPr>
          <w:rFonts w:ascii="Arabic Transparent" w:hAnsi="Arabic Transparent" w:cs="Arabic Transparent" w:hint="cs"/>
          <w:sz w:val="24"/>
          <w:szCs w:val="24"/>
          <w:rtl/>
          <w:lang w:bidi="ar-JO"/>
        </w:rPr>
        <w:t xml:space="preserve"> </w:t>
      </w:r>
      <w:r w:rsidR="00A254AD" w:rsidRPr="002273BC">
        <w:rPr>
          <w:rFonts w:ascii="Arabic Transparent" w:hAnsi="Arabic Transparent" w:cs="Arabic Transparent"/>
          <w:sz w:val="24"/>
          <w:szCs w:val="24"/>
          <w:rtl/>
          <w:lang w:bidi="ar-JO"/>
        </w:rPr>
        <w:t xml:space="preserve">الروياني، عبد الواحد بن إسماعيل، أبو المحاسن، (2009)، </w:t>
      </w:r>
      <w:r w:rsidR="00A254AD" w:rsidRPr="002273BC">
        <w:rPr>
          <w:rFonts w:ascii="Arabic Transparent" w:hAnsi="Arabic Transparent" w:cs="Arabic Transparent"/>
          <w:b/>
          <w:bCs/>
          <w:sz w:val="24"/>
          <w:szCs w:val="24"/>
          <w:rtl/>
          <w:lang w:bidi="ar-JO"/>
        </w:rPr>
        <w:t>بحر المذهب في فروع المذهب الشافعي</w:t>
      </w:r>
      <w:r w:rsidR="00A254AD" w:rsidRPr="002273BC">
        <w:rPr>
          <w:rFonts w:ascii="Arabic Transparent" w:hAnsi="Arabic Transparent" w:cs="Arabic Transparent"/>
          <w:sz w:val="24"/>
          <w:szCs w:val="24"/>
          <w:rtl/>
          <w:lang w:bidi="ar-JO"/>
        </w:rPr>
        <w:t xml:space="preserve"> (تحقيق طارق فتحي السيد)، ط1،</w:t>
      </w:r>
      <w:r w:rsidR="00A254AD" w:rsidRPr="002273BC">
        <w:rPr>
          <w:rFonts w:ascii="Arabic Transparent" w:hAnsi="Arabic Transparent" w:cs="Arabic Transparent" w:hint="cs"/>
          <w:sz w:val="24"/>
          <w:szCs w:val="24"/>
          <w:rtl/>
          <w:lang w:bidi="ar-JO"/>
        </w:rPr>
        <w:t xml:space="preserve"> </w:t>
      </w:r>
      <w:r w:rsidR="00A254AD" w:rsidRPr="002273BC">
        <w:rPr>
          <w:rFonts w:ascii="Arabic Transparent" w:hAnsi="Arabic Transparent" w:cs="Arabic Transparent"/>
          <w:sz w:val="24"/>
          <w:szCs w:val="24"/>
          <w:rtl/>
          <w:lang w:bidi="ar-JO"/>
        </w:rPr>
        <w:t>ج6، ص10</w:t>
      </w:r>
      <w:r w:rsidR="00A254AD" w:rsidRPr="002273BC">
        <w:rPr>
          <w:rFonts w:ascii="Arabic Transparent" w:hAnsi="Arabic Transparent" w:cs="Arabic Transparent" w:hint="cs"/>
          <w:sz w:val="24"/>
          <w:szCs w:val="24"/>
          <w:rtl/>
          <w:lang w:bidi="ar-JO"/>
        </w:rPr>
        <w:t>،</w:t>
      </w:r>
      <w:r w:rsidR="00A254AD" w:rsidRPr="002273BC">
        <w:rPr>
          <w:rFonts w:ascii="Arabic Transparent" w:hAnsi="Arabic Transparent" w:cs="Arabic Transparent"/>
          <w:sz w:val="24"/>
          <w:szCs w:val="24"/>
          <w:rtl/>
          <w:lang w:bidi="ar-JO"/>
        </w:rPr>
        <w:t xml:space="preserve"> دار الكتب العلمية، بيروت.</w:t>
      </w:r>
    </w:p>
  </w:footnote>
  <w:footnote w:id="279">
    <w:p w14:paraId="338ACD8B" w14:textId="77777777" w:rsidR="00017DFE" w:rsidRPr="002273BC" w:rsidRDefault="00017DFE"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شركة الأبدان: هي أن يكون رجلان وجيهان في السوق ويشتركان على أن ما يشتري كل واحد منهما ويبيعه بجاهه يكون بينهما نصفين، المصدر السابق ذاته، ج6، ص11.</w:t>
      </w:r>
    </w:p>
  </w:footnote>
  <w:footnote w:id="280">
    <w:p w14:paraId="6EFC131A" w14:textId="77777777" w:rsidR="00017DFE" w:rsidRPr="002273BC" w:rsidRDefault="00017DFE"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شركة العنان: هي ان يشترك شخصان، أو اكثر في التجارة بأموال لهم، على أن يكون الربح بينهم. الخِن، مصطفى، وآخرون (1992م</w:t>
      </w:r>
      <w:r w:rsidRPr="002273BC">
        <w:rPr>
          <w:rFonts w:ascii="Arabic Transparent" w:hAnsi="Arabic Transparent" w:cs="Arabic Transparent" w:hint="cs"/>
          <w:b/>
          <w:bCs/>
          <w:sz w:val="24"/>
          <w:szCs w:val="24"/>
          <w:rtl/>
          <w:lang w:bidi="ar-JO"/>
        </w:rPr>
        <w:t>). الفقه المنهجي على مذهب الإمام الشافعي</w:t>
      </w:r>
      <w:r w:rsidRPr="002273BC">
        <w:rPr>
          <w:rFonts w:ascii="Arabic Transparent" w:hAnsi="Arabic Transparent" w:cs="Arabic Transparent" w:hint="cs"/>
          <w:sz w:val="24"/>
          <w:szCs w:val="24"/>
          <w:rtl/>
          <w:lang w:bidi="ar-JO"/>
        </w:rPr>
        <w:t>، ط4، ج7، ص61، دار القلم للطباعة والنشر والتوزيع، دمشق.</w:t>
      </w:r>
    </w:p>
  </w:footnote>
  <w:footnote w:id="281">
    <w:p w14:paraId="5775C2D5" w14:textId="6E7EE6B2" w:rsidR="00017DFE" w:rsidRPr="002273BC" w:rsidRDefault="00017DFE"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0014162D" w:rsidRPr="002273BC">
        <w:rPr>
          <w:rFonts w:ascii="Arabic Transparent" w:hAnsi="Arabic Transparent" w:cs="Arabic Transparent"/>
          <w:sz w:val="24"/>
          <w:szCs w:val="24"/>
          <w:rtl/>
          <w:lang w:bidi="ar-JO"/>
        </w:rPr>
        <w:t xml:space="preserve">الشافعي، محمد بن إدريس (1983)، </w:t>
      </w:r>
      <w:r w:rsidR="0014162D" w:rsidRPr="00C735E1">
        <w:rPr>
          <w:rFonts w:ascii="Arabic Transparent" w:hAnsi="Arabic Transparent" w:cs="Arabic Transparent"/>
          <w:b/>
          <w:bCs/>
          <w:sz w:val="24"/>
          <w:szCs w:val="24"/>
          <w:rtl/>
          <w:lang w:bidi="ar-JO"/>
        </w:rPr>
        <w:t>الأم</w:t>
      </w:r>
      <w:r w:rsidR="0014162D" w:rsidRPr="002273BC">
        <w:rPr>
          <w:rFonts w:ascii="Arabic Transparent" w:hAnsi="Arabic Transparent" w:cs="Arabic Transparent"/>
          <w:sz w:val="24"/>
          <w:szCs w:val="24"/>
          <w:rtl/>
          <w:lang w:bidi="ar-JO"/>
        </w:rPr>
        <w:t>، ط2،</w:t>
      </w:r>
      <w:r w:rsidR="0014162D" w:rsidRPr="002273BC">
        <w:rPr>
          <w:rFonts w:ascii="Arabic Transparent" w:hAnsi="Arabic Transparent" w:cs="Arabic Transparent" w:hint="cs"/>
          <w:sz w:val="24"/>
          <w:szCs w:val="24"/>
          <w:rtl/>
          <w:lang w:bidi="ar-JO"/>
        </w:rPr>
        <w:t xml:space="preserve"> </w:t>
      </w:r>
      <w:r w:rsidR="0014162D" w:rsidRPr="002273BC">
        <w:rPr>
          <w:rFonts w:ascii="Arabic Transparent" w:hAnsi="Arabic Transparent" w:cs="Arabic Transparent"/>
          <w:sz w:val="24"/>
          <w:szCs w:val="24"/>
          <w:rtl/>
          <w:lang w:bidi="ar-JO"/>
        </w:rPr>
        <w:t>ج3، ص236</w:t>
      </w:r>
      <w:r w:rsidR="0014162D" w:rsidRPr="002273BC">
        <w:rPr>
          <w:rFonts w:ascii="Arabic Transparent" w:hAnsi="Arabic Transparent" w:cs="Arabic Transparent" w:hint="cs"/>
          <w:sz w:val="24"/>
          <w:szCs w:val="24"/>
          <w:rtl/>
          <w:lang w:bidi="ar-JO"/>
        </w:rPr>
        <w:t>،</w:t>
      </w:r>
      <w:r w:rsidR="0014162D" w:rsidRPr="002273BC">
        <w:rPr>
          <w:rFonts w:ascii="Arabic Transparent" w:hAnsi="Arabic Transparent" w:cs="Arabic Transparent"/>
          <w:sz w:val="24"/>
          <w:szCs w:val="24"/>
          <w:rtl/>
          <w:lang w:bidi="ar-JO"/>
        </w:rPr>
        <w:t xml:space="preserve"> دار الفكر، بيروت</w:t>
      </w:r>
      <w:r w:rsidR="0014162D" w:rsidRPr="002273BC">
        <w:rPr>
          <w:rFonts w:ascii="Arabic Transparent" w:hAnsi="Arabic Transparent" w:cs="Arabic Transparent" w:hint="cs"/>
          <w:sz w:val="24"/>
          <w:szCs w:val="24"/>
          <w:rtl/>
          <w:lang w:bidi="ar-JO"/>
        </w:rPr>
        <w:t>،</w:t>
      </w:r>
      <w:r w:rsidRPr="002273BC">
        <w:rPr>
          <w:rFonts w:ascii="Arabic Transparent" w:hAnsi="Arabic Transparent" w:cs="Arabic Transparent" w:hint="cs"/>
          <w:sz w:val="24"/>
          <w:szCs w:val="24"/>
          <w:rtl/>
          <w:lang w:bidi="ar-JO"/>
        </w:rPr>
        <w:t xml:space="preserve"> </w:t>
      </w:r>
      <w:r w:rsidR="0014162D" w:rsidRPr="002273BC">
        <w:rPr>
          <w:rFonts w:ascii="Arabic Transparent" w:hAnsi="Arabic Transparent" w:cs="Arabic Transparent" w:hint="cs"/>
          <w:sz w:val="24"/>
          <w:szCs w:val="24"/>
          <w:rtl/>
          <w:lang w:bidi="ar-JO"/>
        </w:rPr>
        <w:t>و</w:t>
      </w:r>
      <w:r w:rsidRPr="002273BC">
        <w:rPr>
          <w:rFonts w:ascii="Arabic Transparent" w:hAnsi="Arabic Transparent" w:cs="Arabic Transparent" w:hint="cs"/>
          <w:sz w:val="24"/>
          <w:szCs w:val="24"/>
          <w:rtl/>
          <w:lang w:bidi="ar-JO"/>
        </w:rPr>
        <w:t xml:space="preserve">الشيرازي، </w:t>
      </w:r>
      <w:r w:rsidRPr="002273BC">
        <w:rPr>
          <w:rFonts w:ascii="Arabic Transparent" w:hAnsi="Arabic Transparent" w:cs="Arabic Transparent" w:hint="cs"/>
          <w:b/>
          <w:bCs/>
          <w:sz w:val="24"/>
          <w:szCs w:val="24"/>
          <w:rtl/>
          <w:lang w:bidi="ar-JO"/>
        </w:rPr>
        <w:t>المهذب</w:t>
      </w:r>
      <w:r w:rsidRPr="002273BC">
        <w:rPr>
          <w:rFonts w:ascii="Arabic Transparent" w:hAnsi="Arabic Transparent" w:cs="Arabic Transparent" w:hint="cs"/>
          <w:sz w:val="24"/>
          <w:szCs w:val="24"/>
          <w:rtl/>
          <w:lang w:bidi="ar-JO"/>
        </w:rPr>
        <w:t>، مصدر سابق، ص255، النووي</w:t>
      </w:r>
      <w:r w:rsidRPr="002273BC">
        <w:rPr>
          <w:rFonts w:ascii="Arabic Transparent" w:hAnsi="Arabic Transparent" w:cs="Arabic Transparent" w:hint="cs"/>
          <w:b/>
          <w:bCs/>
          <w:sz w:val="24"/>
          <w:szCs w:val="24"/>
          <w:rtl/>
          <w:lang w:bidi="ar-JO"/>
        </w:rPr>
        <w:t>، المنهاج،</w:t>
      </w:r>
      <w:r w:rsidRPr="002273BC">
        <w:rPr>
          <w:rFonts w:ascii="Arabic Transparent" w:hAnsi="Arabic Transparent" w:cs="Arabic Transparent" w:hint="cs"/>
          <w:sz w:val="24"/>
          <w:szCs w:val="24"/>
          <w:rtl/>
          <w:lang w:bidi="ar-JO"/>
        </w:rPr>
        <w:t xml:space="preserve"> مصدر سابق، ج2، ص212.</w:t>
      </w:r>
    </w:p>
  </w:footnote>
  <w:footnote w:id="282">
    <w:p w14:paraId="5BC03EEB" w14:textId="4DE5C4CC" w:rsidR="00017DFE" w:rsidRPr="002273BC" w:rsidRDefault="00017DFE"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ابن قدامة، </w:t>
      </w:r>
      <w:r w:rsidRPr="002273BC">
        <w:rPr>
          <w:rFonts w:ascii="Arabic Transparent" w:hAnsi="Arabic Transparent" w:cs="Arabic Transparent" w:hint="cs"/>
          <w:b/>
          <w:bCs/>
          <w:sz w:val="24"/>
          <w:szCs w:val="24"/>
          <w:rtl/>
          <w:lang w:bidi="ar-JO"/>
        </w:rPr>
        <w:t>المغني،</w:t>
      </w:r>
      <w:r w:rsidRPr="002273BC">
        <w:rPr>
          <w:rFonts w:ascii="Arabic Transparent" w:hAnsi="Arabic Transparent" w:cs="Arabic Transparent" w:hint="cs"/>
          <w:sz w:val="24"/>
          <w:szCs w:val="24"/>
          <w:rtl/>
          <w:lang w:bidi="ar-JO"/>
        </w:rPr>
        <w:t xml:space="preserve"> مصدر سابق، ج7، ص111</w:t>
      </w:r>
      <w:r w:rsidR="0014162D" w:rsidRPr="002273BC">
        <w:rPr>
          <w:rFonts w:ascii="Arabic Transparent" w:hAnsi="Arabic Transparent" w:cs="Arabic Transparent" w:hint="cs"/>
          <w:sz w:val="24"/>
          <w:szCs w:val="24"/>
          <w:rtl/>
          <w:lang w:bidi="ar-JO"/>
        </w:rPr>
        <w:t>، و</w:t>
      </w:r>
      <w:r w:rsidR="0014162D" w:rsidRPr="002273BC">
        <w:rPr>
          <w:rFonts w:ascii="Arabic Transparent" w:hAnsi="Arabic Transparent" w:cs="Arabic Transparent"/>
          <w:sz w:val="24"/>
          <w:szCs w:val="24"/>
          <w:rtl/>
          <w:lang w:bidi="ar-JO"/>
        </w:rPr>
        <w:t xml:space="preserve">المقدسي، عبد الرحمن بن إبراهيم (2003). </w:t>
      </w:r>
      <w:r w:rsidR="0014162D" w:rsidRPr="002273BC">
        <w:rPr>
          <w:rFonts w:ascii="Arabic Transparent" w:hAnsi="Arabic Transparent" w:cs="Arabic Transparent"/>
          <w:b/>
          <w:bCs/>
          <w:sz w:val="24"/>
          <w:szCs w:val="24"/>
          <w:rtl/>
          <w:lang w:bidi="ar-JO"/>
        </w:rPr>
        <w:t>العدة شرح العمدة، في فقه إمام السنة أحمد بن حنبل</w:t>
      </w:r>
      <w:r w:rsidR="0014162D" w:rsidRPr="002273BC">
        <w:rPr>
          <w:rFonts w:ascii="Arabic Transparent" w:hAnsi="Arabic Transparent" w:cs="Arabic Transparent"/>
          <w:sz w:val="24"/>
          <w:szCs w:val="24"/>
          <w:rtl/>
          <w:lang w:bidi="ar-JO"/>
        </w:rPr>
        <w:t xml:space="preserve">. تحقيق أحمد بن علي، </w:t>
      </w:r>
      <w:r w:rsidR="0014162D" w:rsidRPr="002273BC">
        <w:rPr>
          <w:rFonts w:ascii="Arabic Transparent" w:hAnsi="Arabic Transparent" w:cs="Arabic Transparent" w:hint="cs"/>
          <w:sz w:val="24"/>
          <w:szCs w:val="24"/>
          <w:rtl/>
          <w:lang w:bidi="ar-JO"/>
        </w:rPr>
        <w:t xml:space="preserve">ط1، </w:t>
      </w:r>
      <w:r w:rsidR="0014162D" w:rsidRPr="002273BC">
        <w:rPr>
          <w:rFonts w:ascii="Arabic Transparent" w:hAnsi="Arabic Transparent" w:cs="Arabic Transparent"/>
          <w:sz w:val="24"/>
          <w:szCs w:val="24"/>
          <w:rtl/>
          <w:lang w:bidi="ar-JO"/>
        </w:rPr>
        <w:t>ص283</w:t>
      </w:r>
      <w:r w:rsidR="0014162D" w:rsidRPr="002273BC">
        <w:rPr>
          <w:rFonts w:ascii="Arabic Transparent" w:hAnsi="Arabic Transparent" w:cs="Arabic Transparent" w:hint="cs"/>
          <w:sz w:val="24"/>
          <w:szCs w:val="24"/>
          <w:rtl/>
          <w:lang w:bidi="ar-JO"/>
        </w:rPr>
        <w:t xml:space="preserve">، </w:t>
      </w:r>
      <w:r w:rsidR="0014162D" w:rsidRPr="002273BC">
        <w:rPr>
          <w:rFonts w:ascii="Arabic Transparent" w:hAnsi="Arabic Transparent" w:cs="Arabic Transparent"/>
          <w:sz w:val="24"/>
          <w:szCs w:val="24"/>
          <w:rtl/>
          <w:lang w:bidi="ar-JO"/>
        </w:rPr>
        <w:t>دار الحديث، القاهرة</w:t>
      </w:r>
      <w:r w:rsidR="0014162D" w:rsidRPr="002273BC">
        <w:rPr>
          <w:rFonts w:ascii="Arabic Transparent" w:hAnsi="Arabic Transparent" w:cs="Arabic Transparent" w:hint="cs"/>
          <w:sz w:val="24"/>
          <w:szCs w:val="24"/>
          <w:rtl/>
          <w:lang w:bidi="ar-JO"/>
        </w:rPr>
        <w:t>.</w:t>
      </w:r>
    </w:p>
  </w:footnote>
  <w:footnote w:id="283">
    <w:p w14:paraId="793A9988" w14:textId="77777777" w:rsidR="00017DFE" w:rsidRPr="002273BC" w:rsidRDefault="00017DFE"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انظر: الماوردي، </w:t>
      </w:r>
      <w:r w:rsidRPr="002273BC">
        <w:rPr>
          <w:rFonts w:ascii="Arabic Transparent" w:hAnsi="Arabic Transparent" w:cs="Arabic Transparent" w:hint="cs"/>
          <w:b/>
          <w:bCs/>
          <w:sz w:val="24"/>
          <w:szCs w:val="24"/>
          <w:rtl/>
          <w:lang w:bidi="ar-JO"/>
        </w:rPr>
        <w:t>الحاوي الكبير،</w:t>
      </w:r>
      <w:r w:rsidRPr="002273BC">
        <w:rPr>
          <w:rFonts w:ascii="Arabic Transparent" w:hAnsi="Arabic Transparent" w:cs="Arabic Transparent" w:hint="cs"/>
          <w:sz w:val="24"/>
          <w:szCs w:val="24"/>
          <w:rtl/>
          <w:lang w:bidi="ar-JO"/>
        </w:rPr>
        <w:t xml:space="preserve"> مصدر سابق، ج6، ص480.</w:t>
      </w:r>
    </w:p>
  </w:footnote>
  <w:footnote w:id="284">
    <w:p w14:paraId="5820E047" w14:textId="3B3E3D9C" w:rsidR="00017DFE" w:rsidRPr="002273BC" w:rsidRDefault="00017DFE"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انظر: </w:t>
      </w:r>
      <w:r w:rsidR="0014162D" w:rsidRPr="002273BC">
        <w:rPr>
          <w:rFonts w:ascii="Arabic Transparent" w:hAnsi="Arabic Transparent" w:cs="Arabic Transparent"/>
          <w:sz w:val="24"/>
          <w:szCs w:val="24"/>
          <w:rtl/>
          <w:lang w:bidi="ar-JO"/>
        </w:rPr>
        <w:t xml:space="preserve">ابن قدامة، عبد الله بن أحمد بن محمد المقدسي (2000). </w:t>
      </w:r>
      <w:r w:rsidR="0014162D" w:rsidRPr="002273BC">
        <w:rPr>
          <w:rFonts w:ascii="Arabic Transparent" w:hAnsi="Arabic Transparent" w:cs="Arabic Transparent"/>
          <w:b/>
          <w:bCs/>
          <w:sz w:val="24"/>
          <w:szCs w:val="24"/>
          <w:rtl/>
          <w:lang w:bidi="ar-JO"/>
        </w:rPr>
        <w:t>المقنع في فقه الإمام أحمد بن حنبل الشيباني رحمه الله تعالى</w:t>
      </w:r>
      <w:r w:rsidR="0014162D" w:rsidRPr="002273BC">
        <w:rPr>
          <w:rFonts w:ascii="Arabic Transparent" w:hAnsi="Arabic Transparent" w:cs="Arabic Transparent"/>
          <w:sz w:val="24"/>
          <w:szCs w:val="24"/>
          <w:rtl/>
          <w:lang w:bidi="ar-JO"/>
        </w:rPr>
        <w:t>. تحقيق محمود الأرناؤوط وياسين محمود الخطيب، ط1،</w:t>
      </w:r>
      <w:r w:rsidR="0014162D" w:rsidRPr="002273BC">
        <w:rPr>
          <w:rFonts w:ascii="Arabic Transparent" w:hAnsi="Arabic Transparent" w:cs="Arabic Transparent" w:hint="cs"/>
          <w:sz w:val="24"/>
          <w:szCs w:val="24"/>
          <w:rtl/>
          <w:lang w:bidi="ar-JO"/>
        </w:rPr>
        <w:t xml:space="preserve"> ص200</w:t>
      </w:r>
      <w:r w:rsidR="0014162D" w:rsidRPr="002273BC">
        <w:rPr>
          <w:rFonts w:ascii="Arabic Transparent" w:hAnsi="Arabic Transparent" w:cs="Arabic Transparent"/>
          <w:sz w:val="24"/>
          <w:szCs w:val="24"/>
          <w:rtl/>
          <w:lang w:bidi="ar-JO"/>
        </w:rPr>
        <w:t xml:space="preserve"> مكتبة السوادي للتوزيع، جدة.</w:t>
      </w:r>
    </w:p>
  </w:footnote>
  <w:footnote w:id="285">
    <w:p w14:paraId="0048F6F6" w14:textId="77777777" w:rsidR="00017DFE" w:rsidRPr="002273BC" w:rsidRDefault="00017DFE"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lang w:bidi="ar-JO"/>
        </w:rPr>
        <w:t xml:space="preserve"> انظر: المبسو</w:t>
      </w:r>
      <w:r w:rsidRPr="002273BC">
        <w:rPr>
          <w:rFonts w:ascii="Arabic Transparent" w:hAnsi="Arabic Transparent" w:cs="Arabic Transparent" w:hint="eastAsia"/>
          <w:sz w:val="24"/>
          <w:szCs w:val="24"/>
          <w:rtl/>
          <w:lang w:bidi="ar-JO"/>
        </w:rPr>
        <w:t>ط</w:t>
      </w:r>
      <w:r w:rsidRPr="002273BC">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b/>
          <w:bCs/>
          <w:sz w:val="24"/>
          <w:szCs w:val="24"/>
          <w:rtl/>
          <w:lang w:bidi="ar-JO"/>
        </w:rPr>
        <w:t>السرخسي،</w:t>
      </w:r>
      <w:r w:rsidRPr="002273BC">
        <w:rPr>
          <w:rFonts w:ascii="Arabic Transparent" w:hAnsi="Arabic Transparent" w:cs="Arabic Transparent" w:hint="cs"/>
          <w:sz w:val="24"/>
          <w:szCs w:val="24"/>
          <w:rtl/>
          <w:lang w:bidi="ar-JO"/>
        </w:rPr>
        <w:t xml:space="preserve"> مصدر سابق، ج11، ص174/ 188.</w:t>
      </w:r>
    </w:p>
  </w:footnote>
  <w:footnote w:id="286">
    <w:p w14:paraId="0A36F5D1" w14:textId="1C28CBD0" w:rsidR="00017DFE" w:rsidRPr="002273BC" w:rsidRDefault="00017DFE"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0014162D" w:rsidRPr="002273BC">
        <w:rPr>
          <w:rFonts w:ascii="Arabic Transparent" w:hAnsi="Arabic Transparent" w:cs="Arabic Transparent" w:hint="cs"/>
          <w:sz w:val="24"/>
          <w:szCs w:val="24"/>
          <w:rtl/>
        </w:rPr>
        <w:t>الآمدي</w:t>
      </w:r>
      <w:r w:rsidRPr="002273BC">
        <w:rPr>
          <w:rFonts w:ascii="Arabic Transparent" w:hAnsi="Arabic Transparent" w:cs="Arabic Transparent"/>
          <w:sz w:val="24"/>
          <w:szCs w:val="24"/>
          <w:rtl/>
        </w:rPr>
        <w:t xml:space="preserve">، </w:t>
      </w:r>
      <w:r w:rsidRPr="002273BC">
        <w:rPr>
          <w:rFonts w:ascii="Arabic Transparent" w:hAnsi="Arabic Transparent" w:cs="Arabic Transparent"/>
          <w:b/>
          <w:bCs/>
          <w:sz w:val="24"/>
          <w:szCs w:val="24"/>
          <w:rtl/>
        </w:rPr>
        <w:t>الإحكام في أصول الأحكام</w:t>
      </w:r>
      <w:r w:rsidRPr="002273BC">
        <w:rPr>
          <w:rFonts w:ascii="Arabic Transparent" w:hAnsi="Arabic Transparent" w:cs="Arabic Transparent"/>
          <w:sz w:val="24"/>
          <w:szCs w:val="24"/>
          <w:rtl/>
        </w:rPr>
        <w:t xml:space="preserve">، </w:t>
      </w:r>
      <w:r w:rsidR="0014162D" w:rsidRPr="002273BC">
        <w:rPr>
          <w:rFonts w:ascii="Arabic Transparent" w:hAnsi="Arabic Transparent" w:cs="Arabic Transparent" w:hint="cs"/>
          <w:sz w:val="24"/>
          <w:szCs w:val="24"/>
          <w:rtl/>
        </w:rPr>
        <w:t>مصدر سابق، ج1، ص223</w:t>
      </w:r>
      <w:r w:rsidR="00EC6FC1">
        <w:rPr>
          <w:rFonts w:ascii="Arabic Transparent" w:hAnsi="Arabic Transparent" w:cs="Arabic Transparent" w:hint="cs"/>
          <w:sz w:val="24"/>
          <w:szCs w:val="24"/>
          <w:rtl/>
        </w:rPr>
        <w:t>.</w:t>
      </w:r>
    </w:p>
  </w:footnote>
  <w:footnote w:id="287">
    <w:p w14:paraId="7980FA1D" w14:textId="09E08256" w:rsidR="00017DFE" w:rsidRPr="002273BC" w:rsidRDefault="00017DFE"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00DB4273" w:rsidRPr="002273BC">
        <w:rPr>
          <w:rFonts w:ascii="Arabic Transparent" w:hAnsi="Arabic Transparent" w:cs="Arabic Transparent" w:hint="cs"/>
          <w:sz w:val="24"/>
          <w:szCs w:val="24"/>
          <w:rtl/>
          <w:lang w:bidi="ar-JO"/>
        </w:rPr>
        <w:t xml:space="preserve">أخرجه في مسند الحارث، </w:t>
      </w:r>
      <w:r w:rsidR="00DB4273" w:rsidRPr="002273BC">
        <w:rPr>
          <w:rFonts w:ascii="Arabic Transparent" w:hAnsi="Arabic Transparent" w:cs="Arabic Transparent"/>
          <w:sz w:val="24"/>
          <w:szCs w:val="24"/>
          <w:rtl/>
          <w:lang w:bidi="ar-JO"/>
        </w:rPr>
        <w:t>الحارث</w:t>
      </w:r>
      <w:r w:rsidR="00DB4273" w:rsidRPr="002273BC">
        <w:rPr>
          <w:rFonts w:ascii="Arabic Transparent" w:hAnsi="Arabic Transparent" w:cs="Arabic Transparent" w:hint="cs"/>
          <w:sz w:val="24"/>
          <w:szCs w:val="24"/>
          <w:rtl/>
          <w:lang w:bidi="ar-JO"/>
        </w:rPr>
        <w:t>،</w:t>
      </w:r>
      <w:r w:rsidR="00DB4273" w:rsidRPr="002273BC">
        <w:rPr>
          <w:rFonts w:ascii="Arabic Transparent" w:hAnsi="Arabic Transparent" w:cs="Arabic Transparent"/>
          <w:sz w:val="24"/>
          <w:szCs w:val="24"/>
          <w:rtl/>
          <w:lang w:bidi="ar-JO"/>
        </w:rPr>
        <w:t xml:space="preserve"> محمد بن داهر التميمي البغدادي (1992). </w:t>
      </w:r>
      <w:r w:rsidR="00DB4273" w:rsidRPr="002273BC">
        <w:rPr>
          <w:rFonts w:ascii="Arabic Transparent" w:hAnsi="Arabic Transparent" w:cs="Arabic Transparent"/>
          <w:b/>
          <w:bCs/>
          <w:sz w:val="24"/>
          <w:szCs w:val="24"/>
          <w:rtl/>
          <w:lang w:bidi="ar-JO"/>
        </w:rPr>
        <w:t>بغية الباحث عن زوائد مسند الحارث. انتقاه نور الدين علي بن أبي بكر الهيثمي</w:t>
      </w:r>
      <w:r w:rsidR="00DB4273" w:rsidRPr="002273BC">
        <w:rPr>
          <w:rFonts w:ascii="Arabic Transparent" w:hAnsi="Arabic Transparent" w:cs="Arabic Transparent"/>
          <w:sz w:val="24"/>
          <w:szCs w:val="24"/>
          <w:rtl/>
          <w:lang w:bidi="ar-JO"/>
        </w:rPr>
        <w:t xml:space="preserve">، تحقيق حسين أحمد صالح الباكري، </w:t>
      </w:r>
      <w:r w:rsidRPr="002273BC">
        <w:rPr>
          <w:rFonts w:ascii="Arabic Transparent" w:hAnsi="Arabic Transparent" w:cs="Arabic Transparent"/>
          <w:sz w:val="24"/>
          <w:szCs w:val="24"/>
          <w:rtl/>
          <w:lang w:bidi="ar-JO"/>
        </w:rPr>
        <w:t xml:space="preserve">كتاب البيوع، باب في القرض يجر المنفعة، </w:t>
      </w:r>
      <w:r w:rsidR="0015550E" w:rsidRPr="0015550E">
        <w:rPr>
          <w:rFonts w:ascii="Arabic Transparent" w:hAnsi="Arabic Transparent" w:cs="Arabic Transparent"/>
          <w:sz w:val="24"/>
          <w:szCs w:val="24"/>
          <w:rtl/>
          <w:lang w:bidi="ar-JO"/>
        </w:rPr>
        <w:t xml:space="preserve">ط1، ر437، ج1، ص500، </w:t>
      </w:r>
      <w:r w:rsidR="00DB4273" w:rsidRPr="002273BC">
        <w:rPr>
          <w:rFonts w:ascii="Arabic Transparent" w:hAnsi="Arabic Transparent" w:cs="Arabic Transparent"/>
          <w:sz w:val="24"/>
          <w:szCs w:val="24"/>
          <w:rtl/>
          <w:lang w:bidi="ar-JO"/>
        </w:rPr>
        <w:t xml:space="preserve">مركز خدمة السنة والسيرة النبوية، المدينة المنورة. </w:t>
      </w:r>
      <w:r w:rsidRPr="002273BC">
        <w:rPr>
          <w:rFonts w:ascii="Arabic Transparent" w:hAnsi="Arabic Transparent" w:cs="Arabic Transparent" w:hint="cs"/>
          <w:sz w:val="24"/>
          <w:szCs w:val="24"/>
          <w:rtl/>
          <w:lang w:bidi="ar-JO"/>
        </w:rPr>
        <w:t xml:space="preserve"> والحديث ضعيف، الزيعلي، </w:t>
      </w:r>
      <w:r w:rsidRPr="002273BC">
        <w:rPr>
          <w:rFonts w:ascii="Arabic Transparent" w:hAnsi="Arabic Transparent" w:cs="Arabic Transparent" w:hint="cs"/>
          <w:b/>
          <w:bCs/>
          <w:sz w:val="24"/>
          <w:szCs w:val="24"/>
          <w:rtl/>
          <w:lang w:bidi="ar-JO"/>
        </w:rPr>
        <w:t>نصب الراية</w:t>
      </w:r>
      <w:r w:rsidRPr="002273BC">
        <w:rPr>
          <w:rFonts w:ascii="Arabic Transparent" w:hAnsi="Arabic Transparent" w:cs="Arabic Transparent" w:hint="cs"/>
          <w:sz w:val="24"/>
          <w:szCs w:val="24"/>
          <w:rtl/>
          <w:lang w:bidi="ar-JO"/>
        </w:rPr>
        <w:t>، مصدر سابق، ج4، ص60.</w:t>
      </w:r>
    </w:p>
  </w:footnote>
  <w:footnote w:id="288">
    <w:p w14:paraId="640812AD" w14:textId="77777777" w:rsidR="00017DFE" w:rsidRPr="002273BC" w:rsidRDefault="00017DFE"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انظر: لوكيلي، </w:t>
      </w:r>
      <w:r w:rsidRPr="002273BC">
        <w:rPr>
          <w:rFonts w:ascii="Arabic Transparent" w:hAnsi="Arabic Transparent" w:cs="Arabic Transparent" w:hint="cs"/>
          <w:b/>
          <w:bCs/>
          <w:sz w:val="24"/>
          <w:szCs w:val="24"/>
          <w:rtl/>
          <w:lang w:bidi="ar-JO"/>
        </w:rPr>
        <w:t>تحقيق المناط وأثره في اختلاف الفقهاء في فقه الأموال نموذجاً دراسة تنظرية تطبيقية</w:t>
      </w:r>
      <w:r w:rsidRPr="002273BC">
        <w:rPr>
          <w:rFonts w:ascii="Arabic Transparent" w:hAnsi="Arabic Transparent" w:cs="Arabic Transparent" w:hint="cs"/>
          <w:sz w:val="24"/>
          <w:szCs w:val="24"/>
          <w:rtl/>
          <w:lang w:bidi="ar-JO"/>
        </w:rPr>
        <w:t>، مصدر سابق، ص33-34.</w:t>
      </w:r>
    </w:p>
  </w:footnote>
  <w:footnote w:id="289">
    <w:p w14:paraId="24C153FC" w14:textId="77777777" w:rsidR="00017DFE" w:rsidRPr="002273BC" w:rsidRDefault="00017DFE"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البركتي، </w:t>
      </w:r>
      <w:r w:rsidRPr="002273BC">
        <w:rPr>
          <w:rFonts w:ascii="Arabic Transparent" w:hAnsi="Arabic Transparent" w:cs="Arabic Transparent" w:hint="cs"/>
          <w:b/>
          <w:bCs/>
          <w:sz w:val="24"/>
          <w:szCs w:val="24"/>
          <w:rtl/>
          <w:lang w:bidi="ar-JO"/>
        </w:rPr>
        <w:t>التعريفات الفقهية</w:t>
      </w:r>
      <w:r w:rsidRPr="002273BC">
        <w:rPr>
          <w:rFonts w:ascii="Arabic Transparent" w:hAnsi="Arabic Transparent" w:cs="Arabic Transparent" w:hint="cs"/>
          <w:sz w:val="24"/>
          <w:szCs w:val="24"/>
          <w:rtl/>
          <w:lang w:bidi="ar-JO"/>
        </w:rPr>
        <w:t>، مصدر سابق، ص63.</w:t>
      </w:r>
    </w:p>
  </w:footnote>
  <w:footnote w:id="290">
    <w:p w14:paraId="3903EED6" w14:textId="5CBCD8FD" w:rsidR="008A7850" w:rsidRPr="002273BC" w:rsidRDefault="008A7850"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lang w:bidi="ar-JO"/>
        </w:rPr>
        <w:t xml:space="preserve"> مراد، هيثم محمد نجم (</w:t>
      </w:r>
      <w:r w:rsidR="00EC6FC1">
        <w:rPr>
          <w:rFonts w:ascii="Arabic Transparent" w:hAnsi="Arabic Transparent" w:cs="Arabic Transparent" w:hint="cs"/>
          <w:sz w:val="24"/>
          <w:szCs w:val="24"/>
          <w:rtl/>
          <w:lang w:bidi="ar-JO"/>
        </w:rPr>
        <w:t>2022</w:t>
      </w:r>
      <w:r w:rsidRPr="002273BC">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b/>
          <w:bCs/>
          <w:sz w:val="24"/>
          <w:szCs w:val="24"/>
          <w:rtl/>
          <w:lang w:bidi="ar-JO"/>
        </w:rPr>
        <w:t>"أحكام الرسوم والعمولات التجارية والمصرفية – عمولة قرض الإسكان العراقي أنموذجاً"</w:t>
      </w:r>
      <w:r w:rsidRPr="002273BC">
        <w:rPr>
          <w:rFonts w:ascii="Arabic Transparent" w:hAnsi="Arabic Transparent" w:cs="Arabic Transparent" w:hint="cs"/>
          <w:sz w:val="24"/>
          <w:szCs w:val="24"/>
          <w:rtl/>
          <w:lang w:bidi="ar-JO"/>
        </w:rPr>
        <w:t>، ملحق مجلة الجامعة العراقية، العدد (1/17)، ص244-246، كلية الإمام الأعظم الجامعة، بغداد.</w:t>
      </w:r>
    </w:p>
  </w:footnote>
  <w:footnote w:id="291">
    <w:p w14:paraId="01990A41" w14:textId="2219B050" w:rsidR="00017DFE" w:rsidRPr="002273BC" w:rsidRDefault="00017DFE"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00EC6FC1">
        <w:rPr>
          <w:rFonts w:ascii="Arabic Transparent" w:hAnsi="Arabic Transparent" w:cs="Arabic Transparent" w:hint="cs"/>
          <w:sz w:val="24"/>
          <w:szCs w:val="24"/>
          <w:rtl/>
          <w:lang w:bidi="ar-JO"/>
        </w:rPr>
        <w:t>سبق ذكره انظر: ص26.</w:t>
      </w:r>
    </w:p>
  </w:footnote>
  <w:footnote w:id="292">
    <w:p w14:paraId="672B17F5" w14:textId="4C4AEB69" w:rsidR="00017DFE" w:rsidRPr="002273BC" w:rsidRDefault="00017DFE"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انظر: العلائي، صلاح الدين خليل بن كيكلدي (</w:t>
      </w:r>
      <w:r w:rsidR="007D082C">
        <w:rPr>
          <w:rFonts w:ascii="Arabic Transparent" w:hAnsi="Arabic Transparent" w:cs="Arabic Transparent" w:hint="cs"/>
          <w:sz w:val="24"/>
          <w:szCs w:val="24"/>
          <w:rtl/>
          <w:lang w:bidi="ar-JO"/>
        </w:rPr>
        <w:t>2004</w:t>
      </w:r>
      <w:r w:rsidRPr="002273BC">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b/>
          <w:bCs/>
          <w:sz w:val="24"/>
          <w:szCs w:val="24"/>
          <w:rtl/>
          <w:lang w:bidi="ar-JO"/>
        </w:rPr>
        <w:t>المجموع المذهب في قواعد المذهب</w:t>
      </w:r>
      <w:r w:rsidRPr="002273BC">
        <w:rPr>
          <w:rFonts w:ascii="Arabic Transparent" w:hAnsi="Arabic Transparent" w:cs="Arabic Transparent" w:hint="cs"/>
          <w:sz w:val="24"/>
          <w:szCs w:val="24"/>
          <w:rtl/>
          <w:lang w:bidi="ar-JO"/>
        </w:rPr>
        <w:t>، تحقيق: مجيد علي العبيدي وأحمد خضير عباس، ط1، ج1، ص686، وزارة الأوقاف والشؤون الإسلامية، الكويت.</w:t>
      </w:r>
    </w:p>
  </w:footnote>
  <w:footnote w:id="293">
    <w:p w14:paraId="7B43029E" w14:textId="77777777" w:rsidR="00017DFE" w:rsidRPr="002273BC" w:rsidRDefault="00017DFE"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انظر: </w:t>
      </w:r>
      <w:r w:rsidRPr="002273BC">
        <w:rPr>
          <w:rFonts w:ascii="Arabic Transparent" w:hAnsi="Arabic Transparent" w:cs="Arabic Transparent" w:hint="cs"/>
          <w:sz w:val="24"/>
          <w:szCs w:val="24"/>
          <w:rtl/>
          <w:lang w:bidi="ar-JO"/>
        </w:rPr>
        <w:t xml:space="preserve">الزبيدي، </w:t>
      </w:r>
      <w:r w:rsidRPr="002273BC">
        <w:rPr>
          <w:rFonts w:ascii="Arabic Transparent" w:hAnsi="Arabic Transparent" w:cs="Arabic Transparent" w:hint="cs"/>
          <w:b/>
          <w:bCs/>
          <w:sz w:val="24"/>
          <w:szCs w:val="24"/>
          <w:rtl/>
          <w:lang w:bidi="ar-JO"/>
        </w:rPr>
        <w:t>الاجتهاد في مناط الحكم الشرعي دراسة تأصيلية تطبيقية</w:t>
      </w:r>
      <w:r w:rsidRPr="002273BC">
        <w:rPr>
          <w:rFonts w:ascii="Arabic Transparent" w:hAnsi="Arabic Transparent" w:cs="Arabic Transparent" w:hint="cs"/>
          <w:sz w:val="24"/>
          <w:szCs w:val="24"/>
          <w:rtl/>
          <w:lang w:bidi="ar-JO"/>
        </w:rPr>
        <w:t>، مصدر سابق، ص250-256.</w:t>
      </w:r>
    </w:p>
  </w:footnote>
  <w:footnote w:id="294">
    <w:p w14:paraId="54C8734A" w14:textId="77777777" w:rsidR="00017DFE" w:rsidRPr="002273BC" w:rsidRDefault="00017DFE"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انظر: </w:t>
      </w:r>
      <w:r w:rsidRPr="002273BC">
        <w:rPr>
          <w:rFonts w:ascii="Arabic Transparent" w:hAnsi="Arabic Transparent" w:cs="Arabic Transparent" w:hint="cs"/>
          <w:sz w:val="24"/>
          <w:szCs w:val="24"/>
          <w:rtl/>
          <w:lang w:bidi="ar-JO"/>
        </w:rPr>
        <w:t xml:space="preserve">العسكري، أبو هلال (1991مـ). </w:t>
      </w:r>
      <w:r w:rsidRPr="007D082C">
        <w:rPr>
          <w:rFonts w:ascii="Arabic Transparent" w:hAnsi="Arabic Transparent" w:cs="Arabic Transparent" w:hint="cs"/>
          <w:b/>
          <w:bCs/>
          <w:sz w:val="24"/>
          <w:szCs w:val="24"/>
          <w:rtl/>
          <w:lang w:bidi="ar-JO"/>
        </w:rPr>
        <w:t>معجم الفروق اللغوية:</w:t>
      </w:r>
      <w:r w:rsidRPr="002273BC">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b/>
          <w:bCs/>
          <w:sz w:val="24"/>
          <w:szCs w:val="24"/>
          <w:rtl/>
          <w:lang w:bidi="ar-JO"/>
        </w:rPr>
        <w:t>الحاوي لكتاب أبي هلال العسكري وجزءًا من «فروق اللغات» لنور الدين بن نعمة الله الجزائري</w:t>
      </w:r>
      <w:r w:rsidRPr="002273BC">
        <w:rPr>
          <w:rFonts w:ascii="Arabic Transparent" w:hAnsi="Arabic Transparent" w:cs="Arabic Transparent" w:hint="cs"/>
          <w:sz w:val="24"/>
          <w:szCs w:val="24"/>
          <w:rtl/>
          <w:lang w:bidi="ar-JO"/>
        </w:rPr>
        <w:t xml:space="preserve"> (ترتيب وتبويب: الشيخ بيت الله بيات). ط1، ص168، مؤسسة النشر الإسلامي التابعة لجماعة المدرسين، إيران.</w:t>
      </w:r>
    </w:p>
  </w:footnote>
  <w:footnote w:id="295">
    <w:p w14:paraId="28FBBC85" w14:textId="77777777" w:rsidR="00017DFE" w:rsidRPr="002273BC" w:rsidRDefault="00017DFE" w:rsidP="00EA3738">
      <w:pPr>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وفي تعريف الأصوليين لاتحاد الجنس قالوا: "هو ‌الكلي ‌المقول على أفراد متفقة الحقيقة دون الصورة" وعند شرح ألفاظ التعريف: يمكن بيان أنها متفقة حقيقة، كالحيوان جنس، وإن أفراد الحيوان متعددة كالإنسان والفرس، والحمار، والطير، وغيرها، وكلها متفقة في الحقيقة الحيوانية؛ لأنك تقول: الإنسان حيوان، والفرس حيوان، والحمار حيوان، والطير حيوان، حتى تأتي على جميع أفراد الحيوان، وأما صورها فهي مختلفة؛ إذ صورة الإنسان مخالفة لصورة الفرس، والحمار، والطير، وغيرها، الشوشاوي، أبو عبد الله الحسين بن علي بن طلحة الرجراجي (2004). </w:t>
      </w:r>
      <w:r w:rsidRPr="002273BC">
        <w:rPr>
          <w:rFonts w:ascii="Arabic Transparent" w:hAnsi="Arabic Transparent" w:cs="Arabic Transparent" w:hint="cs"/>
          <w:b/>
          <w:bCs/>
          <w:sz w:val="24"/>
          <w:szCs w:val="24"/>
          <w:rtl/>
          <w:lang w:bidi="ar-JO"/>
        </w:rPr>
        <w:t>رفع النقاب عن تنقيح الشهاب</w:t>
      </w:r>
      <w:r w:rsidRPr="002273BC">
        <w:rPr>
          <w:rFonts w:ascii="Arabic Transparent" w:hAnsi="Arabic Transparent" w:cs="Arabic Transparent" w:hint="cs"/>
          <w:sz w:val="24"/>
          <w:szCs w:val="24"/>
          <w:rtl/>
          <w:lang w:bidi="ar-JO"/>
        </w:rPr>
        <w:t xml:space="preserve"> (تحقيق: أحمد بن محمد السراح، وعبد الرحمن بن عبد الله الجبرين)، ط1، ج1، ص145، مكتبة الرشد للنشر والتوزيع، الرياض - السعودية</w:t>
      </w:r>
    </w:p>
  </w:footnote>
  <w:footnote w:id="296">
    <w:p w14:paraId="5C7BFD9A" w14:textId="5F054E06" w:rsidR="00017DFE" w:rsidRPr="002273BC" w:rsidRDefault="00017DFE"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انظر: </w:t>
      </w:r>
      <w:r w:rsidRPr="002273BC">
        <w:rPr>
          <w:rFonts w:ascii="Arabic Transparent" w:hAnsi="Arabic Transparent" w:cs="Arabic Transparent" w:hint="cs"/>
          <w:sz w:val="24"/>
          <w:szCs w:val="24"/>
          <w:rtl/>
          <w:lang w:bidi="ar-JO"/>
        </w:rPr>
        <w:t xml:space="preserve">الزركشي، </w:t>
      </w:r>
      <w:r w:rsidRPr="002273BC">
        <w:rPr>
          <w:rFonts w:ascii="Arabic Transparent" w:hAnsi="Arabic Transparent" w:cs="Arabic Transparent" w:hint="cs"/>
          <w:b/>
          <w:bCs/>
          <w:sz w:val="24"/>
          <w:szCs w:val="24"/>
          <w:rtl/>
          <w:lang w:bidi="ar-JO"/>
        </w:rPr>
        <w:t>تشنيف المسامع بجمع الجوامع</w:t>
      </w:r>
      <w:r w:rsidRPr="002273BC">
        <w:rPr>
          <w:rFonts w:ascii="Arabic Transparent" w:hAnsi="Arabic Transparent" w:cs="Arabic Transparent" w:hint="cs"/>
          <w:sz w:val="24"/>
          <w:szCs w:val="24"/>
          <w:rtl/>
          <w:lang w:bidi="ar-JO"/>
        </w:rPr>
        <w:t>، مصدر سابق</w:t>
      </w:r>
      <w:r w:rsidR="005D7B91" w:rsidRPr="002273BC">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sz w:val="24"/>
          <w:szCs w:val="24"/>
          <w:rtl/>
          <w:lang w:bidi="ar-JO"/>
        </w:rPr>
        <w:t xml:space="preserve">ج2، ص668، </w:t>
      </w:r>
    </w:p>
  </w:footnote>
  <w:footnote w:id="297">
    <w:p w14:paraId="1BBCDB22" w14:textId="77777777" w:rsidR="00017DFE" w:rsidRPr="002273BC" w:rsidRDefault="00017DFE"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انظر: العتيبي، عوض عبد العزيز محمد (2017م). </w:t>
      </w:r>
      <w:r w:rsidRPr="002273BC">
        <w:rPr>
          <w:rFonts w:ascii="Arabic Transparent" w:hAnsi="Arabic Transparent" w:cs="Arabic Transparent" w:hint="cs"/>
          <w:b/>
          <w:bCs/>
          <w:sz w:val="24"/>
          <w:szCs w:val="24"/>
          <w:rtl/>
          <w:lang w:bidi="ar-JO"/>
        </w:rPr>
        <w:t>التفاوت وأثره في المعاملات المالية</w:t>
      </w:r>
      <w:r w:rsidRPr="002273BC">
        <w:rPr>
          <w:rFonts w:ascii="Arabic Transparent" w:hAnsi="Arabic Transparent" w:cs="Arabic Transparent" w:hint="cs"/>
          <w:sz w:val="24"/>
          <w:szCs w:val="24"/>
          <w:rtl/>
          <w:lang w:bidi="ar-JO"/>
        </w:rPr>
        <w:t>، كلية الدراسات العليا، الجامعة الأردنية، عمّان، الأردن، ص18.</w:t>
      </w:r>
    </w:p>
  </w:footnote>
  <w:footnote w:id="298">
    <w:p w14:paraId="372F6731" w14:textId="77777777" w:rsidR="00017DFE" w:rsidRPr="002273BC" w:rsidRDefault="00017DFE"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أنظر: الزيادات، عماد عبد الحفيظ؛ والسكر، محمد عواد عايد (2018). </w:t>
      </w:r>
      <w:r w:rsidRPr="002273BC">
        <w:rPr>
          <w:rFonts w:ascii="Arabic Transparent" w:hAnsi="Arabic Transparent" w:cs="Arabic Transparent" w:hint="cs"/>
          <w:b/>
          <w:bCs/>
          <w:sz w:val="24"/>
          <w:szCs w:val="24"/>
          <w:rtl/>
          <w:lang w:bidi="ar-JO"/>
        </w:rPr>
        <w:t>جهالة المبيع في الفقه الإسلامي والقانون المدني الأردني والتطبيقات المعاصرة والقانونية لرفعها</w:t>
      </w:r>
      <w:r w:rsidRPr="002273BC">
        <w:rPr>
          <w:rFonts w:ascii="Arabic Transparent" w:hAnsi="Arabic Transparent" w:cs="Arabic Transparent" w:hint="cs"/>
          <w:sz w:val="24"/>
          <w:szCs w:val="24"/>
          <w:rtl/>
          <w:lang w:bidi="ar-JO"/>
        </w:rPr>
        <w:t>، منشور في مجلة دائرة الإفتاء الأردنية، (الأردن)،</w:t>
      </w:r>
      <w:hyperlink r:id="rId2" w:history="1">
        <w:r w:rsidRPr="002273BC">
          <w:rPr>
            <w:rStyle w:val="Hyperlink"/>
            <w:rFonts w:ascii="Arabic Transparent" w:hAnsi="Arabic Transparent" w:cs="Arabic Transparent" w:hint="cs"/>
            <w:sz w:val="24"/>
            <w:szCs w:val="24"/>
            <w:lang w:bidi="ar-JO"/>
          </w:rPr>
          <w:t>https://www.aliftaa.jo/Research/211</w:t>
        </w:r>
      </w:hyperlink>
      <w:r w:rsidRPr="002273BC">
        <w:rPr>
          <w:rFonts w:ascii="Arabic Transparent" w:hAnsi="Arabic Transparent" w:cs="Arabic Transparent" w:hint="cs"/>
          <w:sz w:val="24"/>
          <w:szCs w:val="24"/>
          <w:rtl/>
          <w:lang w:bidi="ar-JO"/>
        </w:rPr>
        <w:t xml:space="preserve"> تم الاطلاع عليه بتاريخ 5/1/2026م.</w:t>
      </w:r>
    </w:p>
  </w:footnote>
  <w:footnote w:id="299">
    <w:p w14:paraId="3096935A" w14:textId="77777777" w:rsidR="00017DFE" w:rsidRPr="002273BC" w:rsidRDefault="00017DFE"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انظر: الزحيلي، </w:t>
      </w:r>
      <w:r w:rsidRPr="002273BC">
        <w:rPr>
          <w:rFonts w:ascii="Arabic Transparent" w:hAnsi="Arabic Transparent" w:cs="Arabic Transparent" w:hint="cs"/>
          <w:b/>
          <w:bCs/>
          <w:sz w:val="24"/>
          <w:szCs w:val="24"/>
          <w:rtl/>
          <w:lang w:bidi="ar-JO"/>
        </w:rPr>
        <w:t>الفقه الإسلامي وأدلته،</w:t>
      </w:r>
      <w:r w:rsidRPr="002273BC">
        <w:rPr>
          <w:rFonts w:ascii="Arabic Transparent" w:hAnsi="Arabic Transparent" w:cs="Arabic Transparent" w:hint="cs"/>
          <w:sz w:val="24"/>
          <w:szCs w:val="24"/>
          <w:rtl/>
          <w:lang w:bidi="ar-JO"/>
        </w:rPr>
        <w:t xml:space="preserve"> مصدر سابق، ج5، ص3700.</w:t>
      </w:r>
    </w:p>
  </w:footnote>
  <w:footnote w:id="300">
    <w:p w14:paraId="1B9FA14A" w14:textId="77777777" w:rsidR="00017DFE" w:rsidRPr="002273BC" w:rsidRDefault="00017DFE" w:rsidP="00EA3738">
      <w:pPr>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البكري، أبو بكر عثمان بن محمد شطا (1997). </w:t>
      </w:r>
      <w:r w:rsidRPr="002273BC">
        <w:rPr>
          <w:rFonts w:ascii="Arabic Transparent" w:hAnsi="Arabic Transparent" w:cs="Arabic Transparent" w:hint="cs"/>
          <w:b/>
          <w:bCs/>
          <w:sz w:val="24"/>
          <w:szCs w:val="24"/>
          <w:rtl/>
        </w:rPr>
        <w:t>إعانة الطالبين على حل ألفاظ فتح المعين</w:t>
      </w:r>
      <w:r w:rsidRPr="002273BC">
        <w:rPr>
          <w:rFonts w:ascii="Arabic Transparent" w:hAnsi="Arabic Transparent" w:cs="Arabic Transparent" w:hint="cs"/>
          <w:sz w:val="24"/>
          <w:szCs w:val="24"/>
          <w:rtl/>
        </w:rPr>
        <w:t>، ط1، ج3، ص20، دار الفكر للطباعة والنشر والتوزيع، بيروت.</w:t>
      </w:r>
    </w:p>
  </w:footnote>
  <w:footnote w:id="301">
    <w:p w14:paraId="55FB5332" w14:textId="60A98D72" w:rsidR="00017DFE" w:rsidRPr="002273BC" w:rsidRDefault="00017DFE"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009420B1">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sz w:val="24"/>
          <w:szCs w:val="24"/>
          <w:rtl/>
          <w:lang w:bidi="ar-JO"/>
        </w:rPr>
        <w:t xml:space="preserve">الزحيلي، </w:t>
      </w:r>
      <w:r w:rsidRPr="002273BC">
        <w:rPr>
          <w:rFonts w:ascii="Arabic Transparent" w:hAnsi="Arabic Transparent" w:cs="Arabic Transparent" w:hint="cs"/>
          <w:b/>
          <w:bCs/>
          <w:sz w:val="24"/>
          <w:szCs w:val="24"/>
          <w:rtl/>
          <w:lang w:bidi="ar-JO"/>
        </w:rPr>
        <w:t>الفقه الإسلامي وأدلته</w:t>
      </w:r>
      <w:r w:rsidRPr="002273BC">
        <w:rPr>
          <w:rFonts w:ascii="Arabic Transparent" w:hAnsi="Arabic Transparent" w:cs="Arabic Transparent" w:hint="cs"/>
          <w:sz w:val="24"/>
          <w:szCs w:val="24"/>
          <w:rtl/>
          <w:lang w:bidi="ar-JO"/>
        </w:rPr>
        <w:t>، مصدر سابق، ج5، ص3727.</w:t>
      </w:r>
    </w:p>
  </w:footnote>
  <w:footnote w:id="302">
    <w:p w14:paraId="25B391AA" w14:textId="7EBB76BD" w:rsidR="00017DFE" w:rsidRPr="002273BC" w:rsidRDefault="00017DFE"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00DB4273" w:rsidRPr="002273BC">
        <w:rPr>
          <w:rFonts w:ascii="Arabic Transparent" w:hAnsi="Arabic Transparent" w:cs="Arabic Transparent"/>
          <w:sz w:val="24"/>
          <w:szCs w:val="24"/>
          <w:rtl/>
          <w:lang w:bidi="ar-JO"/>
        </w:rPr>
        <w:t xml:space="preserve">الكاساني، علاء الدين أبو بكر بن مسعود (1910)، </w:t>
      </w:r>
      <w:r w:rsidR="00DB4273" w:rsidRPr="0015550E">
        <w:rPr>
          <w:rFonts w:ascii="Arabic Transparent" w:hAnsi="Arabic Transparent" w:cs="Arabic Transparent"/>
          <w:b/>
          <w:bCs/>
          <w:sz w:val="24"/>
          <w:szCs w:val="24"/>
          <w:rtl/>
          <w:lang w:bidi="ar-JO"/>
        </w:rPr>
        <w:t>بدائع الصنائع في ترتيب الشرائع</w:t>
      </w:r>
      <w:r w:rsidR="00DB4273" w:rsidRPr="002273BC">
        <w:rPr>
          <w:rFonts w:ascii="Arabic Transparent" w:hAnsi="Arabic Transparent" w:cs="Arabic Transparent"/>
          <w:sz w:val="24"/>
          <w:szCs w:val="24"/>
          <w:rtl/>
          <w:lang w:bidi="ar-JO"/>
        </w:rPr>
        <w:t>، ط1،</w:t>
      </w:r>
      <w:r w:rsidR="00DB4273" w:rsidRPr="002273BC">
        <w:rPr>
          <w:rFonts w:ascii="Arabic Transparent" w:hAnsi="Arabic Transparent" w:cs="Arabic Transparent" w:hint="cs"/>
          <w:sz w:val="24"/>
          <w:szCs w:val="24"/>
          <w:rtl/>
          <w:lang w:bidi="ar-JO"/>
        </w:rPr>
        <w:t xml:space="preserve"> </w:t>
      </w:r>
      <w:r w:rsidR="00DB4273" w:rsidRPr="002273BC">
        <w:rPr>
          <w:rFonts w:ascii="Arabic Transparent" w:hAnsi="Arabic Transparent" w:cs="Arabic Transparent"/>
          <w:sz w:val="24"/>
          <w:szCs w:val="24"/>
          <w:rtl/>
          <w:lang w:bidi="ar-JO"/>
        </w:rPr>
        <w:t>ج5، ص184</w:t>
      </w:r>
      <w:r w:rsidR="00DB4273" w:rsidRPr="002273BC">
        <w:rPr>
          <w:rFonts w:ascii="Arabic Transparent" w:hAnsi="Arabic Transparent" w:cs="Arabic Transparent" w:hint="cs"/>
          <w:sz w:val="24"/>
          <w:szCs w:val="24"/>
          <w:rtl/>
          <w:lang w:bidi="ar-JO"/>
        </w:rPr>
        <w:t xml:space="preserve">، </w:t>
      </w:r>
      <w:r w:rsidR="00DB4273" w:rsidRPr="002273BC">
        <w:rPr>
          <w:rFonts w:ascii="Arabic Transparent" w:hAnsi="Arabic Transparent" w:cs="Arabic Transparent"/>
          <w:sz w:val="24"/>
          <w:szCs w:val="24"/>
          <w:rtl/>
          <w:lang w:bidi="ar-JO"/>
        </w:rPr>
        <w:t>القاهرة؛ وصورتها دار الكتب العلمية، بيروت.</w:t>
      </w:r>
    </w:p>
  </w:footnote>
  <w:footnote w:id="303">
    <w:p w14:paraId="74E7DAD4" w14:textId="309F9E20" w:rsidR="00017DFE" w:rsidRPr="002273BC" w:rsidRDefault="00017DFE"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009420B1">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sz w:val="24"/>
          <w:szCs w:val="24"/>
          <w:rtl/>
          <w:lang w:bidi="ar-JO"/>
        </w:rPr>
        <w:t xml:space="preserve">الماوردي، </w:t>
      </w:r>
      <w:r w:rsidRPr="002273BC">
        <w:rPr>
          <w:rFonts w:ascii="Arabic Transparent" w:hAnsi="Arabic Transparent" w:cs="Arabic Transparent" w:hint="cs"/>
          <w:b/>
          <w:bCs/>
          <w:sz w:val="24"/>
          <w:szCs w:val="24"/>
          <w:rtl/>
          <w:lang w:bidi="ar-JO"/>
        </w:rPr>
        <w:t>الحاوي الكبير</w:t>
      </w:r>
      <w:r w:rsidRPr="002273BC">
        <w:rPr>
          <w:rFonts w:ascii="Arabic Transparent" w:hAnsi="Arabic Transparent" w:cs="Arabic Transparent" w:hint="cs"/>
          <w:sz w:val="24"/>
          <w:szCs w:val="24"/>
          <w:rtl/>
          <w:lang w:bidi="ar-JO"/>
        </w:rPr>
        <w:t>، مصدر سابق، ج5، ص396.</w:t>
      </w:r>
    </w:p>
  </w:footnote>
  <w:footnote w:id="304">
    <w:p w14:paraId="7DC3006E" w14:textId="210BD71A" w:rsidR="00017DFE" w:rsidRPr="002273BC" w:rsidRDefault="00017DFE"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009420B1">
        <w:rPr>
          <w:rFonts w:ascii="Arabic Transparent" w:hAnsi="Arabic Transparent" w:cs="Arabic Transparent" w:hint="cs"/>
          <w:sz w:val="24"/>
          <w:szCs w:val="24"/>
          <w:rtl/>
          <w:lang w:bidi="ar-JO"/>
        </w:rPr>
        <w:t xml:space="preserve">  السرخسي، </w:t>
      </w:r>
      <w:r w:rsidRPr="002273BC">
        <w:rPr>
          <w:rFonts w:ascii="Arabic Transparent" w:hAnsi="Arabic Transparent" w:cs="Arabic Transparent" w:hint="cs"/>
          <w:b/>
          <w:bCs/>
          <w:sz w:val="24"/>
          <w:szCs w:val="24"/>
          <w:rtl/>
          <w:lang w:bidi="ar-JO"/>
        </w:rPr>
        <w:t>المبسوط،</w:t>
      </w:r>
      <w:r w:rsidRPr="002273BC">
        <w:rPr>
          <w:rFonts w:ascii="Arabic Transparent" w:hAnsi="Arabic Transparent" w:cs="Arabic Transparent" w:hint="cs"/>
          <w:sz w:val="24"/>
          <w:szCs w:val="24"/>
          <w:rtl/>
          <w:lang w:bidi="ar-JO"/>
        </w:rPr>
        <w:t xml:space="preserve"> المصدر السابق، ج12، ص80.</w:t>
      </w:r>
    </w:p>
  </w:footnote>
  <w:footnote w:id="305">
    <w:p w14:paraId="3CF48142" w14:textId="7F205358" w:rsidR="00017DFE" w:rsidRPr="002273BC" w:rsidRDefault="00017DFE"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009420B1">
        <w:rPr>
          <w:rFonts w:ascii="Arabic Transparent" w:hAnsi="Arabic Transparent" w:cs="Arabic Transparent" w:hint="cs"/>
          <w:sz w:val="24"/>
          <w:szCs w:val="24"/>
          <w:rtl/>
          <w:lang w:bidi="ar-JO"/>
        </w:rPr>
        <w:t xml:space="preserve"> </w:t>
      </w:r>
      <w:r w:rsidRPr="002273BC">
        <w:rPr>
          <w:rFonts w:ascii="Arabic Transparent" w:hAnsi="Arabic Transparent" w:cs="Arabic Transparent"/>
          <w:sz w:val="24"/>
          <w:szCs w:val="24"/>
          <w:rtl/>
          <w:lang w:bidi="ar-JO"/>
        </w:rPr>
        <w:t xml:space="preserve">الزحيلي، </w:t>
      </w:r>
      <w:r w:rsidRPr="002273BC">
        <w:rPr>
          <w:rFonts w:ascii="Arabic Transparent" w:hAnsi="Arabic Transparent" w:cs="Arabic Transparent"/>
          <w:b/>
          <w:bCs/>
          <w:sz w:val="24"/>
          <w:szCs w:val="24"/>
          <w:rtl/>
          <w:lang w:bidi="ar-JO"/>
        </w:rPr>
        <w:t>الفقه الإسلامي وأدلته</w:t>
      </w:r>
      <w:r w:rsidRPr="002273BC">
        <w:rPr>
          <w:rFonts w:ascii="Arabic Transparent" w:hAnsi="Arabic Transparent" w:cs="Arabic Transparent"/>
          <w:sz w:val="24"/>
          <w:szCs w:val="24"/>
          <w:rtl/>
          <w:lang w:bidi="ar-JO"/>
        </w:rPr>
        <w:t xml:space="preserve">، مصدر سابق، </w:t>
      </w:r>
      <w:r w:rsidRPr="002273BC">
        <w:rPr>
          <w:rFonts w:ascii="Arabic Transparent" w:hAnsi="Arabic Transparent" w:cs="Arabic Transparent" w:hint="cs"/>
          <w:sz w:val="24"/>
          <w:szCs w:val="24"/>
          <w:rtl/>
          <w:lang w:bidi="ar-JO"/>
        </w:rPr>
        <w:t>ج4، ص361–362.</w:t>
      </w:r>
    </w:p>
  </w:footnote>
  <w:footnote w:id="306">
    <w:p w14:paraId="0B0FA037" w14:textId="77777777" w:rsidR="00017DFE" w:rsidRPr="002273BC" w:rsidRDefault="00017DFE"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الزبيدي، </w:t>
      </w:r>
      <w:r w:rsidRPr="002273BC">
        <w:rPr>
          <w:rFonts w:ascii="Arabic Transparent" w:hAnsi="Arabic Transparent" w:cs="Arabic Transparent" w:hint="cs"/>
          <w:b/>
          <w:bCs/>
          <w:sz w:val="24"/>
          <w:szCs w:val="24"/>
          <w:rtl/>
          <w:lang w:bidi="ar-JO"/>
        </w:rPr>
        <w:t>الاجتهاد في مناط الحكم الشرعي دراسة تأصيلية تطبيقية</w:t>
      </w:r>
      <w:r w:rsidRPr="002273BC">
        <w:rPr>
          <w:rFonts w:ascii="Arabic Transparent" w:hAnsi="Arabic Transparent" w:cs="Arabic Transparent" w:hint="cs"/>
          <w:sz w:val="24"/>
          <w:szCs w:val="24"/>
          <w:rtl/>
          <w:lang w:bidi="ar-JO"/>
        </w:rPr>
        <w:t>، مصدر سابق، ص256.</w:t>
      </w:r>
    </w:p>
  </w:footnote>
  <w:footnote w:id="307">
    <w:p w14:paraId="71820C49" w14:textId="3AF167A3" w:rsidR="00017DFE" w:rsidRPr="002273BC" w:rsidRDefault="00017DFE"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lang w:bidi="ar-JO"/>
        </w:rPr>
        <w:t xml:space="preserve"> ابن بيه، </w:t>
      </w:r>
      <w:r w:rsidRPr="002273BC">
        <w:rPr>
          <w:rFonts w:ascii="Arabic Transparent" w:hAnsi="Arabic Transparent" w:cs="Arabic Transparent" w:hint="cs"/>
          <w:b/>
          <w:bCs/>
          <w:sz w:val="24"/>
          <w:szCs w:val="24"/>
          <w:rtl/>
          <w:lang w:bidi="ar-JO"/>
        </w:rPr>
        <w:t>الاجتهاد بتحقيق المناط: فقه الواقع والتوقع</w:t>
      </w:r>
      <w:r w:rsidRPr="002273BC">
        <w:rPr>
          <w:rFonts w:ascii="Arabic Transparent" w:hAnsi="Arabic Transparent" w:cs="Arabic Transparent" w:hint="cs"/>
          <w:sz w:val="24"/>
          <w:szCs w:val="24"/>
          <w:rtl/>
          <w:lang w:bidi="ar-JO"/>
        </w:rPr>
        <w:t>، مصدر سابق، ص 12.</w:t>
      </w:r>
    </w:p>
  </w:footnote>
  <w:footnote w:id="308">
    <w:p w14:paraId="0D674E94" w14:textId="6C374B7F"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00546C47">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sz w:val="24"/>
          <w:szCs w:val="24"/>
          <w:rtl/>
          <w:lang w:bidi="ar-JO"/>
        </w:rPr>
        <w:t xml:space="preserve">النووي، </w:t>
      </w:r>
      <w:r w:rsidRPr="002273BC">
        <w:rPr>
          <w:rFonts w:ascii="Arabic Transparent" w:hAnsi="Arabic Transparent" w:cs="Arabic Transparent" w:hint="cs"/>
          <w:b/>
          <w:bCs/>
          <w:sz w:val="24"/>
          <w:szCs w:val="24"/>
          <w:rtl/>
          <w:lang w:bidi="ar-JO"/>
        </w:rPr>
        <w:t>آداب الفتوى والمفتي والمستفتي</w:t>
      </w:r>
      <w:r w:rsidRPr="002273BC">
        <w:rPr>
          <w:rFonts w:ascii="Arabic Transparent" w:hAnsi="Arabic Transparent" w:cs="Arabic Transparent" w:hint="cs"/>
          <w:sz w:val="24"/>
          <w:szCs w:val="24"/>
          <w:rtl/>
          <w:lang w:bidi="ar-JO"/>
        </w:rPr>
        <w:t>، مصدر سابق، ص23.</w:t>
      </w:r>
    </w:p>
  </w:footnote>
  <w:footnote w:id="309">
    <w:p w14:paraId="4F3E39A3"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الشاطبي، </w:t>
      </w:r>
      <w:r w:rsidRPr="002273BC">
        <w:rPr>
          <w:rFonts w:ascii="Arabic Transparent" w:hAnsi="Arabic Transparent" w:cs="Arabic Transparent" w:hint="cs"/>
          <w:b/>
          <w:bCs/>
          <w:sz w:val="24"/>
          <w:szCs w:val="24"/>
          <w:rtl/>
          <w:lang w:bidi="ar-JO"/>
        </w:rPr>
        <w:t>الموافقات</w:t>
      </w:r>
      <w:r w:rsidRPr="002273BC">
        <w:rPr>
          <w:rFonts w:ascii="Arabic Transparent" w:hAnsi="Arabic Transparent" w:cs="Arabic Transparent" w:hint="cs"/>
          <w:sz w:val="24"/>
          <w:szCs w:val="24"/>
          <w:rtl/>
          <w:lang w:bidi="ar-JO"/>
        </w:rPr>
        <w:t>، مصدر سابق، ج3، ص301.</w:t>
      </w:r>
    </w:p>
  </w:footnote>
  <w:footnote w:id="310">
    <w:p w14:paraId="2136130F"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الزبيدي، </w:t>
      </w:r>
      <w:r w:rsidRPr="002273BC">
        <w:rPr>
          <w:rFonts w:ascii="Arabic Transparent" w:hAnsi="Arabic Transparent" w:cs="Arabic Transparent" w:hint="cs"/>
          <w:b/>
          <w:bCs/>
          <w:sz w:val="24"/>
          <w:szCs w:val="24"/>
          <w:rtl/>
          <w:lang w:bidi="ar-JO"/>
        </w:rPr>
        <w:t>الاجتهاد في مناط الحكم الشرعي دراسة تأصيلية تطبيقية،</w:t>
      </w:r>
      <w:r w:rsidRPr="002273BC">
        <w:rPr>
          <w:rFonts w:ascii="Arabic Transparent" w:hAnsi="Arabic Transparent" w:cs="Arabic Transparent" w:hint="cs"/>
          <w:sz w:val="24"/>
          <w:szCs w:val="24"/>
          <w:rtl/>
          <w:lang w:bidi="ar-JO"/>
        </w:rPr>
        <w:t xml:space="preserve"> مصدر سابق، ص253.</w:t>
      </w:r>
    </w:p>
  </w:footnote>
  <w:footnote w:id="311">
    <w:p w14:paraId="3285EF0E" w14:textId="1D4C38E9"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00546C47">
        <w:rPr>
          <w:rFonts w:ascii="Arabic Transparent" w:hAnsi="Arabic Transparent" w:cs="Arabic Transparent" w:hint="cs"/>
          <w:sz w:val="24"/>
          <w:szCs w:val="24"/>
          <w:rtl/>
        </w:rPr>
        <w:t>"</w:t>
      </w:r>
      <w:r w:rsidRPr="002273BC">
        <w:rPr>
          <w:rFonts w:ascii="Arabic Transparent" w:hAnsi="Arabic Transparent" w:cs="Arabic Transparent" w:hint="cs"/>
          <w:sz w:val="24"/>
          <w:szCs w:val="24"/>
          <w:rtl/>
          <w:lang w:bidi="ar-JO"/>
        </w:rPr>
        <w:t>النباش: هو من يكشف القبور عن الموت ليسرق أكفانهم</w:t>
      </w:r>
      <w:r w:rsidR="00546C47">
        <w:rPr>
          <w:rFonts w:ascii="Arabic Transparent" w:hAnsi="Arabic Transparent" w:cs="Arabic Transparent" w:hint="cs"/>
          <w:sz w:val="24"/>
          <w:szCs w:val="24"/>
          <w:rtl/>
          <w:lang w:bidi="ar-JO"/>
        </w:rPr>
        <w:t>".</w:t>
      </w:r>
      <w:r w:rsidRPr="002273BC">
        <w:rPr>
          <w:rFonts w:ascii="Arabic Transparent" w:hAnsi="Arabic Transparent" w:cs="Arabic Transparent" w:hint="cs"/>
          <w:sz w:val="24"/>
          <w:szCs w:val="24"/>
          <w:rtl/>
          <w:lang w:bidi="ar-JO"/>
        </w:rPr>
        <w:t xml:space="preserve">ابن منظور، </w:t>
      </w:r>
      <w:r w:rsidRPr="002273BC">
        <w:rPr>
          <w:rFonts w:ascii="Arabic Transparent" w:hAnsi="Arabic Transparent" w:cs="Arabic Transparent" w:hint="cs"/>
          <w:b/>
          <w:bCs/>
          <w:sz w:val="24"/>
          <w:szCs w:val="24"/>
          <w:rtl/>
          <w:lang w:bidi="ar-JO"/>
        </w:rPr>
        <w:t>لسان العرب</w:t>
      </w:r>
      <w:r w:rsidRPr="002273BC">
        <w:rPr>
          <w:rFonts w:ascii="Arabic Transparent" w:hAnsi="Arabic Transparent" w:cs="Arabic Transparent" w:hint="cs"/>
          <w:sz w:val="24"/>
          <w:szCs w:val="24"/>
          <w:rtl/>
          <w:lang w:bidi="ar-JO"/>
        </w:rPr>
        <w:t>، مصدر سابق، ص253.</w:t>
      </w:r>
    </w:p>
  </w:footnote>
  <w:footnote w:id="312">
    <w:p w14:paraId="5730C64C"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انظر: الكاساني، </w:t>
      </w:r>
      <w:r w:rsidRPr="002273BC">
        <w:rPr>
          <w:rFonts w:ascii="Arabic Transparent" w:hAnsi="Arabic Transparent" w:cs="Arabic Transparent" w:hint="cs"/>
          <w:b/>
          <w:bCs/>
          <w:sz w:val="24"/>
          <w:szCs w:val="24"/>
          <w:rtl/>
          <w:lang w:bidi="ar-JO"/>
        </w:rPr>
        <w:t>بدائع الصنائع</w:t>
      </w:r>
      <w:r w:rsidRPr="002273BC">
        <w:rPr>
          <w:rFonts w:ascii="Arabic Transparent" w:hAnsi="Arabic Transparent" w:cs="Arabic Transparent" w:hint="cs"/>
          <w:sz w:val="24"/>
          <w:szCs w:val="24"/>
          <w:rtl/>
          <w:lang w:bidi="ar-JO"/>
        </w:rPr>
        <w:t xml:space="preserve">، ج7، ص65، وانظر: الشربيني، </w:t>
      </w:r>
      <w:r w:rsidRPr="002273BC">
        <w:rPr>
          <w:rFonts w:ascii="Arabic Transparent" w:hAnsi="Arabic Transparent" w:cs="Arabic Transparent" w:hint="cs"/>
          <w:b/>
          <w:bCs/>
          <w:sz w:val="24"/>
          <w:szCs w:val="24"/>
          <w:rtl/>
          <w:lang w:bidi="ar-JO"/>
        </w:rPr>
        <w:t>مغني المحتاج</w:t>
      </w:r>
      <w:r w:rsidRPr="002273BC">
        <w:rPr>
          <w:rFonts w:ascii="Arabic Transparent" w:hAnsi="Arabic Transparent" w:cs="Arabic Transparent" w:hint="cs"/>
          <w:sz w:val="24"/>
          <w:szCs w:val="24"/>
          <w:rtl/>
          <w:lang w:bidi="ar-JO"/>
        </w:rPr>
        <w:t>، ج4، ص158.</w:t>
      </w:r>
    </w:p>
  </w:footnote>
  <w:footnote w:id="313">
    <w:p w14:paraId="05344620" w14:textId="58A0478F"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السرطاوي، محمود علي. (2015). </w:t>
      </w:r>
      <w:r w:rsidRPr="002273BC">
        <w:rPr>
          <w:rFonts w:ascii="Arabic Transparent" w:hAnsi="Arabic Transparent" w:cs="Arabic Transparent" w:hint="cs"/>
          <w:b/>
          <w:bCs/>
          <w:sz w:val="24"/>
          <w:szCs w:val="24"/>
          <w:rtl/>
          <w:lang w:bidi="ar-JO"/>
        </w:rPr>
        <w:t>الضوابط المعيارية لصيغ الاستثمار في المؤسسات المالية الإسلامية</w:t>
      </w:r>
      <w:r w:rsidRPr="002273BC">
        <w:rPr>
          <w:rFonts w:ascii="Arabic Transparent" w:hAnsi="Arabic Transparent" w:cs="Arabic Transparent" w:hint="cs"/>
          <w:sz w:val="24"/>
          <w:szCs w:val="24"/>
          <w:rtl/>
          <w:lang w:bidi="ar-JO"/>
        </w:rPr>
        <w:t>،</w:t>
      </w:r>
      <w:r w:rsidR="001A1D36">
        <w:rPr>
          <w:rFonts w:ascii="Arabic Transparent" w:hAnsi="Arabic Transparent" w:cs="Arabic Transparent" w:hint="cs"/>
          <w:sz w:val="24"/>
          <w:szCs w:val="24"/>
          <w:rtl/>
          <w:lang w:bidi="ar-JO"/>
        </w:rPr>
        <w:t xml:space="preserve"> ط1، ص115، </w:t>
      </w:r>
      <w:r w:rsidRPr="002273BC">
        <w:rPr>
          <w:rFonts w:ascii="Arabic Transparent" w:hAnsi="Arabic Transparent" w:cs="Arabic Transparent" w:hint="cs"/>
          <w:sz w:val="24"/>
          <w:szCs w:val="24"/>
          <w:rtl/>
          <w:lang w:bidi="ar-JO"/>
        </w:rPr>
        <w:t>دار الفكر، عمان.</w:t>
      </w:r>
    </w:p>
  </w:footnote>
  <w:footnote w:id="314">
    <w:p w14:paraId="4172FE69" w14:textId="3DE695CD"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انظر: </w:t>
      </w:r>
      <w:r w:rsidR="00F645A6" w:rsidRPr="002273BC">
        <w:rPr>
          <w:rFonts w:ascii="Arabic Transparent" w:hAnsi="Arabic Transparent" w:cs="Arabic Transparent"/>
          <w:sz w:val="24"/>
          <w:szCs w:val="24"/>
          <w:rtl/>
          <w:lang w:bidi="ar-JO"/>
        </w:rPr>
        <w:t xml:space="preserve">الكيلاني، عبد الرحمن (2013). </w:t>
      </w:r>
      <w:r w:rsidR="00F645A6" w:rsidRPr="002273BC">
        <w:rPr>
          <w:rFonts w:ascii="Arabic Transparent" w:hAnsi="Arabic Transparent" w:cs="Arabic Transparent"/>
          <w:b/>
          <w:bCs/>
          <w:sz w:val="24"/>
          <w:szCs w:val="24"/>
          <w:rtl/>
          <w:lang w:bidi="ar-JO"/>
        </w:rPr>
        <w:t>أثر الاختلاف في تحقيق المناط في اختلاف المجتهدين: نماذج دالة قديمة ومعاصرة</w:t>
      </w:r>
      <w:r w:rsidR="00F645A6" w:rsidRPr="002273BC">
        <w:rPr>
          <w:rFonts w:ascii="Arabic Transparent" w:hAnsi="Arabic Transparent" w:cs="Arabic Transparent"/>
          <w:sz w:val="24"/>
          <w:szCs w:val="24"/>
          <w:rtl/>
          <w:lang w:bidi="ar-JO"/>
        </w:rPr>
        <w:t>.</w:t>
      </w:r>
      <w:r w:rsidR="00F645A6" w:rsidRPr="002273BC">
        <w:rPr>
          <w:rFonts w:ascii="Arabic Transparent" w:hAnsi="Arabic Transparent" w:cs="Arabic Transparent" w:hint="cs"/>
          <w:sz w:val="24"/>
          <w:szCs w:val="24"/>
          <w:rtl/>
          <w:lang w:bidi="ar-JO"/>
        </w:rPr>
        <w:t xml:space="preserve"> ص10،</w:t>
      </w:r>
      <w:r w:rsidR="00F645A6" w:rsidRPr="002273BC">
        <w:rPr>
          <w:rFonts w:ascii="Arabic Transparent" w:hAnsi="Arabic Transparent" w:cs="Arabic Transparent"/>
          <w:sz w:val="24"/>
          <w:szCs w:val="24"/>
          <w:rtl/>
          <w:lang w:bidi="ar-JO"/>
        </w:rPr>
        <w:t xml:space="preserve"> ورقة مقدمة لندوة مستجدات الفكر الإسلامي الحادية عشرة، الكويت</w:t>
      </w:r>
      <w:r w:rsidR="00F645A6" w:rsidRPr="002273BC">
        <w:rPr>
          <w:rFonts w:ascii="Arabic Transparent" w:hAnsi="Arabic Transparent" w:cs="Arabic Transparent" w:hint="cs"/>
          <w:sz w:val="24"/>
          <w:szCs w:val="24"/>
          <w:rtl/>
          <w:lang w:bidi="ar-JO"/>
        </w:rPr>
        <w:t>.</w:t>
      </w:r>
    </w:p>
  </w:footnote>
  <w:footnote w:id="315">
    <w:p w14:paraId="7396D23D" w14:textId="33BE8060" w:rsidR="004E383D" w:rsidRPr="002273BC" w:rsidRDefault="004E383D" w:rsidP="00ED53A5">
      <w:pPr>
        <w:pStyle w:val="FootnoteText"/>
        <w:spacing w:line="360" w:lineRule="auto"/>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00546C47">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b/>
          <w:bCs/>
          <w:sz w:val="24"/>
          <w:szCs w:val="24"/>
          <w:rtl/>
          <w:lang w:bidi="ar-JO"/>
        </w:rPr>
        <w:t>قرار مجلس الإفتاء الأردني</w:t>
      </w:r>
      <w:r w:rsidRPr="002273BC">
        <w:rPr>
          <w:rFonts w:ascii="Arabic Transparent" w:hAnsi="Arabic Transparent" w:cs="Arabic Transparent" w:hint="cs"/>
          <w:sz w:val="24"/>
          <w:szCs w:val="24"/>
          <w:rtl/>
          <w:lang w:bidi="ar-JO"/>
        </w:rPr>
        <w:t xml:space="preserve">، </w:t>
      </w:r>
      <w:r w:rsidR="00F645A6" w:rsidRPr="002273BC">
        <w:rPr>
          <w:rFonts w:ascii="Arabic Transparent" w:hAnsi="Arabic Transparent" w:cs="Arabic Transparent" w:hint="cs"/>
          <w:sz w:val="24"/>
          <w:szCs w:val="24"/>
          <w:rtl/>
          <w:lang w:bidi="ar-JO"/>
        </w:rPr>
        <w:t xml:space="preserve">بشأن : </w:t>
      </w:r>
      <w:r w:rsidR="00F645A6" w:rsidRPr="002273BC">
        <w:rPr>
          <w:rFonts w:ascii="Arabic Transparent" w:hAnsi="Arabic Transparent" w:cs="Arabic Transparent"/>
          <w:b/>
          <w:bCs/>
          <w:sz w:val="24"/>
          <w:szCs w:val="24"/>
          <w:rtl/>
          <w:lang w:bidi="ar-JO"/>
        </w:rPr>
        <w:t>عقد بيع المرابحة على الخدمات</w:t>
      </w:r>
      <w:r w:rsidR="00F645A6" w:rsidRPr="002273BC">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sz w:val="24"/>
          <w:szCs w:val="24"/>
          <w:rtl/>
          <w:lang w:bidi="ar-JO"/>
        </w:rPr>
        <w:t>رقم 108، على الرابط:</w:t>
      </w:r>
      <w:r w:rsidR="005D7B91" w:rsidRPr="002273BC">
        <w:rPr>
          <w:rFonts w:ascii="Arabic Transparent" w:hAnsi="Arabic Transparent" w:cs="Arabic Transparent" w:hint="cs"/>
          <w:sz w:val="24"/>
          <w:szCs w:val="24"/>
          <w:rtl/>
          <w:lang w:bidi="ar-JO"/>
        </w:rPr>
        <w:t xml:space="preserve"> </w:t>
      </w:r>
      <w:hyperlink r:id="rId3" w:anchor=".XzpgQegzYdU" w:history="1">
        <w:r w:rsidRPr="002273BC">
          <w:rPr>
            <w:rStyle w:val="Hyperlink"/>
            <w:rFonts w:ascii="Arabic Transparent" w:hAnsi="Arabic Transparent" w:cs="Arabic Transparent" w:hint="cs"/>
            <w:sz w:val="24"/>
            <w:szCs w:val="24"/>
            <w:lang w:bidi="ar-JO"/>
          </w:rPr>
          <w:t>https://www.aliftaa.jo/Decision.aspx?DecisionId=110#.XzpgQegzYdU</w:t>
        </w:r>
      </w:hyperlink>
      <w:r w:rsidRPr="002273BC">
        <w:rPr>
          <w:rFonts w:ascii="Arabic Transparent" w:hAnsi="Arabic Transparent" w:cs="Arabic Transparent" w:hint="cs"/>
          <w:sz w:val="24"/>
          <w:szCs w:val="24"/>
          <w:rtl/>
          <w:lang w:bidi="ar-JO"/>
        </w:rPr>
        <w:t>.</w:t>
      </w:r>
      <w:r w:rsidR="00ED53A5">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sz w:val="24"/>
          <w:szCs w:val="24"/>
          <w:rtl/>
          <w:lang w:bidi="ar-JO"/>
        </w:rPr>
        <w:t>تاريخ الاطلاع: 7/ 10/ 2025.</w:t>
      </w:r>
    </w:p>
  </w:footnote>
  <w:footnote w:id="316">
    <w:p w14:paraId="7C0C7507" w14:textId="195A0244"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00546C47">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sz w:val="24"/>
          <w:szCs w:val="24"/>
          <w:rtl/>
          <w:lang w:bidi="ar-JO"/>
        </w:rPr>
        <w:t>مشوقة، حمزة، بحث بعنوان</w:t>
      </w:r>
      <w:r w:rsidRPr="002273BC">
        <w:rPr>
          <w:rFonts w:ascii="Arabic Transparent" w:hAnsi="Arabic Transparent" w:cs="Arabic Transparent" w:hint="cs"/>
          <w:b/>
          <w:bCs/>
          <w:sz w:val="24"/>
          <w:szCs w:val="24"/>
          <w:rtl/>
          <w:lang w:bidi="ar-JO"/>
        </w:rPr>
        <w:t>: تمويل الخدمات التعليمية والطبية من منظور فقهي،</w:t>
      </w:r>
      <w:r w:rsidRPr="002273BC">
        <w:rPr>
          <w:rFonts w:ascii="Arabic Transparent" w:hAnsi="Arabic Transparent" w:cs="Arabic Transparent" w:hint="cs"/>
          <w:sz w:val="24"/>
          <w:szCs w:val="24"/>
          <w:rtl/>
          <w:lang w:bidi="ar-JO"/>
        </w:rPr>
        <w:t xml:space="preserve"> منشور على موقع دائرة الإفتاء على الرابط:</w:t>
      </w:r>
      <w:r w:rsidRPr="002273BC">
        <w:rPr>
          <w:rFonts w:ascii="Arabic Transparent" w:hAnsi="Arabic Transparent" w:cs="Arabic Transparent" w:hint="cs"/>
          <w:sz w:val="24"/>
          <w:szCs w:val="24"/>
        </w:rPr>
        <w:t xml:space="preserve"> </w:t>
      </w:r>
      <w:hyperlink r:id="rId4" w:history="1">
        <w:r w:rsidRPr="002273BC">
          <w:rPr>
            <w:rStyle w:val="Hyperlink"/>
            <w:rFonts w:ascii="Arabic Transparent" w:hAnsi="Arabic Transparent" w:cs="Arabic Transparent" w:hint="cs"/>
            <w:sz w:val="24"/>
            <w:szCs w:val="24"/>
            <w:lang w:bidi="ar-JO"/>
          </w:rPr>
          <w:t>https://www.aliftaa.jo/Research/250</w:t>
        </w:r>
      </w:hyperlink>
      <w:r w:rsidRPr="002273BC">
        <w:rPr>
          <w:rFonts w:ascii="Arabic Transparent" w:hAnsi="Arabic Transparent" w:cs="Arabic Transparent" w:hint="cs"/>
          <w:sz w:val="24"/>
          <w:szCs w:val="24"/>
          <w:rtl/>
          <w:lang w:bidi="ar-JO"/>
        </w:rPr>
        <w:t>، تاريخ الاطلاع 7/10/2025.</w:t>
      </w:r>
    </w:p>
  </w:footnote>
  <w:footnote w:id="317">
    <w:p w14:paraId="04F28BF3"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السرطاوي، </w:t>
      </w:r>
      <w:r w:rsidRPr="002273BC">
        <w:rPr>
          <w:rFonts w:ascii="Arabic Transparent" w:hAnsi="Arabic Transparent" w:cs="Arabic Transparent" w:hint="cs"/>
          <w:b/>
          <w:bCs/>
          <w:sz w:val="24"/>
          <w:szCs w:val="24"/>
          <w:rtl/>
          <w:lang w:bidi="ar-JO"/>
        </w:rPr>
        <w:t>الضوابط المعيارية لصيغ الاستثمار في المؤسسات المالية الإسلامية،</w:t>
      </w:r>
      <w:r w:rsidRPr="002273BC">
        <w:rPr>
          <w:rFonts w:ascii="Arabic Transparent" w:hAnsi="Arabic Transparent" w:cs="Arabic Transparent" w:hint="cs"/>
          <w:sz w:val="24"/>
          <w:szCs w:val="24"/>
          <w:rtl/>
          <w:lang w:bidi="ar-JO"/>
        </w:rPr>
        <w:t xml:space="preserve"> مصدر سابق، ص281.</w:t>
      </w:r>
    </w:p>
  </w:footnote>
  <w:footnote w:id="318">
    <w:p w14:paraId="67EFAD3C"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انظر: الكيلاني: </w:t>
      </w:r>
      <w:r w:rsidRPr="002273BC">
        <w:rPr>
          <w:rFonts w:ascii="Arabic Transparent" w:hAnsi="Arabic Transparent" w:cs="Arabic Transparent" w:hint="cs"/>
          <w:b/>
          <w:bCs/>
          <w:sz w:val="24"/>
          <w:szCs w:val="24"/>
          <w:rtl/>
          <w:lang w:bidi="ar-JO"/>
        </w:rPr>
        <w:t>أثر الاختلاف في تحقيق المناط في اختلاف المجتهدين نماذج دالة قديمة ومعاصرة، مصدر سابق</w:t>
      </w:r>
      <w:r w:rsidRPr="002273BC">
        <w:rPr>
          <w:rFonts w:ascii="Arabic Transparent" w:hAnsi="Arabic Transparent" w:cs="Arabic Transparent" w:hint="cs"/>
          <w:sz w:val="24"/>
          <w:szCs w:val="24"/>
          <w:rtl/>
          <w:lang w:bidi="ar-JO"/>
        </w:rPr>
        <w:t>، مصدر سابق، ص10-11.</w:t>
      </w:r>
    </w:p>
  </w:footnote>
  <w:footnote w:id="319">
    <w:p w14:paraId="70D5CD55" w14:textId="57ADC876"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C15FFB">
        <w:rPr>
          <w:rFonts w:ascii="Arabic Transparent" w:hAnsi="Arabic Transparent" w:cs="Arabic Transparent" w:hint="cs"/>
          <w:sz w:val="24"/>
          <w:szCs w:val="24"/>
          <w:rtl/>
          <w:lang w:bidi="ar-JO"/>
        </w:rPr>
        <w:t>مجمع الفقه الإسلامي الدولي</w:t>
      </w:r>
      <w:r w:rsidRPr="002273BC">
        <w:rPr>
          <w:rFonts w:ascii="Arabic Transparent" w:hAnsi="Arabic Transparent" w:cs="Arabic Transparent" w:hint="cs"/>
          <w:sz w:val="24"/>
          <w:szCs w:val="24"/>
          <w:rtl/>
          <w:lang w:bidi="ar-JO"/>
        </w:rPr>
        <w:t xml:space="preserve">، </w:t>
      </w:r>
      <w:r w:rsidRPr="00C15FFB">
        <w:rPr>
          <w:rFonts w:ascii="Arabic Transparent" w:hAnsi="Arabic Transparent" w:cs="Arabic Transparent" w:hint="cs"/>
          <w:b/>
          <w:bCs/>
          <w:sz w:val="24"/>
          <w:szCs w:val="24"/>
          <w:rtl/>
          <w:lang w:bidi="ar-JO"/>
        </w:rPr>
        <w:t>قرار رقم 51 (6/2) بشأن البيع بالتقسيط</w:t>
      </w:r>
      <w:r w:rsidRPr="002273BC">
        <w:rPr>
          <w:rFonts w:ascii="Arabic Transparent" w:hAnsi="Arabic Transparent" w:cs="Arabic Transparent" w:hint="cs"/>
          <w:sz w:val="24"/>
          <w:szCs w:val="24"/>
          <w:rtl/>
          <w:lang w:bidi="ar-JO"/>
        </w:rPr>
        <w:t xml:space="preserve">، الدورة السادسة، جدة – المملكة العربية السعودية، 1990م. </w:t>
      </w:r>
      <w:hyperlink r:id="rId5" w:history="1">
        <w:r w:rsidRPr="002273BC">
          <w:rPr>
            <w:rStyle w:val="Hyperlink"/>
            <w:rFonts w:ascii="Arabic Transparent" w:hAnsi="Arabic Transparent" w:cs="Arabic Transparent" w:hint="cs"/>
            <w:sz w:val="24"/>
            <w:szCs w:val="24"/>
            <w:lang w:bidi="ar-JO"/>
          </w:rPr>
          <w:t>https://iifa-aifi.org/ar/44189</w:t>
        </w:r>
      </w:hyperlink>
      <w:r w:rsidR="005D7B91" w:rsidRPr="002273BC">
        <w:rPr>
          <w:rFonts w:ascii="Arabic Transparent" w:hAnsi="Arabic Transparent" w:cs="Arabic Transparent" w:hint="cs"/>
          <w:sz w:val="24"/>
          <w:szCs w:val="24"/>
          <w:rtl/>
          <w:lang w:bidi="ar-JO"/>
        </w:rPr>
        <w:t xml:space="preserve">، </w:t>
      </w:r>
      <w:r w:rsidR="00876CDF" w:rsidRPr="002273BC">
        <w:rPr>
          <w:rFonts w:ascii="Arabic Transparent" w:hAnsi="Arabic Transparent" w:cs="Arabic Transparent" w:hint="cs"/>
          <w:sz w:val="24"/>
          <w:szCs w:val="24"/>
          <w:rtl/>
          <w:lang w:bidi="ar-JO"/>
        </w:rPr>
        <w:t>تم الاطلاع</w:t>
      </w:r>
      <w:r w:rsidRPr="002273BC">
        <w:rPr>
          <w:rFonts w:ascii="Arabic Transparent" w:hAnsi="Arabic Transparent" w:cs="Arabic Transparent" w:hint="cs"/>
          <w:sz w:val="24"/>
          <w:szCs w:val="24"/>
          <w:rtl/>
          <w:lang w:bidi="ar-JO"/>
        </w:rPr>
        <w:t xml:space="preserve"> عليه في: 6 </w:t>
      </w:r>
      <w:r w:rsidR="00876CDF" w:rsidRPr="002273BC">
        <w:rPr>
          <w:rFonts w:ascii="Arabic Transparent" w:hAnsi="Arabic Transparent" w:cs="Arabic Transparent" w:hint="cs"/>
          <w:sz w:val="24"/>
          <w:szCs w:val="24"/>
          <w:rtl/>
          <w:lang w:bidi="ar-JO"/>
        </w:rPr>
        <w:t xml:space="preserve">/10/ </w:t>
      </w:r>
      <w:r w:rsidRPr="002273BC">
        <w:rPr>
          <w:rFonts w:ascii="Arabic Transparent" w:hAnsi="Arabic Transparent" w:cs="Arabic Transparent" w:hint="cs"/>
          <w:sz w:val="24"/>
          <w:szCs w:val="24"/>
          <w:rtl/>
          <w:lang w:bidi="ar-JO"/>
        </w:rPr>
        <w:t>2025.</w:t>
      </w:r>
    </w:p>
  </w:footnote>
  <w:footnote w:id="320">
    <w:p w14:paraId="55331D5B" w14:textId="6BD7FA64"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00C15FFB">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sz w:val="24"/>
          <w:szCs w:val="24"/>
          <w:rtl/>
          <w:lang w:bidi="ar-JO"/>
        </w:rPr>
        <w:t xml:space="preserve">ابن تيمية، </w:t>
      </w:r>
      <w:r w:rsidRPr="002273BC">
        <w:rPr>
          <w:rFonts w:ascii="Arabic Transparent" w:hAnsi="Arabic Transparent" w:cs="Arabic Transparent" w:hint="cs"/>
          <w:b/>
          <w:bCs/>
          <w:sz w:val="24"/>
          <w:szCs w:val="24"/>
          <w:rtl/>
          <w:lang w:bidi="ar-JO"/>
        </w:rPr>
        <w:t>مجموع الفتاوى</w:t>
      </w:r>
      <w:r w:rsidRPr="002273BC">
        <w:rPr>
          <w:rFonts w:ascii="Arabic Transparent" w:hAnsi="Arabic Transparent" w:cs="Arabic Transparent" w:hint="cs"/>
          <w:sz w:val="24"/>
          <w:szCs w:val="24"/>
          <w:rtl/>
          <w:lang w:bidi="ar-JO"/>
        </w:rPr>
        <w:t>، مصدر سابق، ج31، ص230.</w:t>
      </w:r>
    </w:p>
  </w:footnote>
  <w:footnote w:id="321">
    <w:p w14:paraId="24FA000E" w14:textId="70CFC04E"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ابن مفلح، شمس الدين محمد المقدسي، (2003)، </w:t>
      </w:r>
      <w:r w:rsidRPr="002273BC">
        <w:rPr>
          <w:rFonts w:ascii="Arabic Transparent" w:hAnsi="Arabic Transparent" w:cs="Arabic Transparent" w:hint="cs"/>
          <w:b/>
          <w:bCs/>
          <w:sz w:val="24"/>
          <w:szCs w:val="24"/>
          <w:rtl/>
          <w:lang w:bidi="ar-JO"/>
        </w:rPr>
        <w:t>الفروع</w:t>
      </w:r>
      <w:r w:rsidRPr="002273BC">
        <w:rPr>
          <w:rFonts w:ascii="Arabic Transparent" w:hAnsi="Arabic Transparent" w:cs="Arabic Transparent" w:hint="cs"/>
          <w:sz w:val="24"/>
          <w:szCs w:val="24"/>
          <w:rtl/>
          <w:lang w:bidi="ar-JO"/>
        </w:rPr>
        <w:t xml:space="preserve">، تحقيق: عبد الله بن عبد المحسن التركي، ط1، </w:t>
      </w:r>
      <w:r w:rsidR="001A1D36">
        <w:rPr>
          <w:rFonts w:ascii="Arabic Transparent" w:hAnsi="Arabic Transparent" w:cs="Arabic Transparent" w:hint="cs"/>
          <w:sz w:val="24"/>
          <w:szCs w:val="24"/>
          <w:rtl/>
          <w:lang w:bidi="ar-JO"/>
        </w:rPr>
        <w:t xml:space="preserve">ج7، ص384، </w:t>
      </w:r>
      <w:r w:rsidRPr="002273BC">
        <w:rPr>
          <w:rFonts w:ascii="Arabic Transparent" w:hAnsi="Arabic Transparent" w:cs="Arabic Transparent" w:hint="cs"/>
          <w:sz w:val="24"/>
          <w:szCs w:val="24"/>
          <w:rtl/>
          <w:lang w:bidi="ar-JO"/>
        </w:rPr>
        <w:t>مؤسسة الرسالة، بيروت؛ دار المؤيد، الرياض.</w:t>
      </w:r>
    </w:p>
  </w:footnote>
  <w:footnote w:id="322">
    <w:p w14:paraId="25E0E451"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ابن القيم، </w:t>
      </w:r>
      <w:r w:rsidRPr="002273BC">
        <w:rPr>
          <w:rFonts w:ascii="Arabic Transparent" w:hAnsi="Arabic Transparent" w:cs="Arabic Transparent" w:hint="cs"/>
          <w:b/>
          <w:bCs/>
          <w:sz w:val="24"/>
          <w:szCs w:val="24"/>
          <w:rtl/>
          <w:lang w:bidi="ar-JO"/>
        </w:rPr>
        <w:t>إعلام الموقعين عن رب العالمين،</w:t>
      </w:r>
      <w:r w:rsidRPr="002273BC">
        <w:rPr>
          <w:rFonts w:ascii="Arabic Transparent" w:hAnsi="Arabic Transparent" w:cs="Arabic Transparent" w:hint="cs"/>
          <w:sz w:val="24"/>
          <w:szCs w:val="24"/>
          <w:rtl/>
          <w:lang w:bidi="ar-JO"/>
        </w:rPr>
        <w:t xml:space="preserve"> المصدر السابق، ج5، ص288,</w:t>
      </w:r>
    </w:p>
  </w:footnote>
  <w:footnote w:id="323">
    <w:p w14:paraId="3FA3B8FD"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انظر: الشافعي، </w:t>
      </w:r>
      <w:r w:rsidRPr="002273BC">
        <w:rPr>
          <w:rFonts w:ascii="Arabic Transparent" w:hAnsi="Arabic Transparent" w:cs="Arabic Transparent" w:hint="cs"/>
          <w:b/>
          <w:bCs/>
          <w:sz w:val="24"/>
          <w:szCs w:val="24"/>
          <w:rtl/>
          <w:lang w:bidi="ar-JO"/>
        </w:rPr>
        <w:t xml:space="preserve">الأم، </w:t>
      </w:r>
      <w:r w:rsidRPr="002273BC">
        <w:rPr>
          <w:rFonts w:ascii="Arabic Transparent" w:hAnsi="Arabic Transparent" w:cs="Arabic Transparent" w:hint="cs"/>
          <w:sz w:val="24"/>
          <w:szCs w:val="24"/>
          <w:rtl/>
          <w:lang w:bidi="ar-JO"/>
        </w:rPr>
        <w:t>مصدر سابق، ج3، ص79.</w:t>
      </w:r>
    </w:p>
  </w:footnote>
  <w:footnote w:id="324">
    <w:p w14:paraId="06FC9948" w14:textId="64FC8082"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lang w:bidi="ar-JO"/>
        </w:rPr>
        <w:t xml:space="preserve"> ابن القيم، </w:t>
      </w:r>
      <w:r w:rsidRPr="002273BC">
        <w:rPr>
          <w:rFonts w:ascii="Arabic Transparent" w:hAnsi="Arabic Transparent" w:cs="Arabic Transparent" w:hint="cs"/>
          <w:b/>
          <w:bCs/>
          <w:sz w:val="24"/>
          <w:szCs w:val="24"/>
          <w:rtl/>
          <w:lang w:bidi="ar-JO"/>
        </w:rPr>
        <w:t>إعلام الموقعين عن رب العالمين،</w:t>
      </w:r>
      <w:r w:rsidRPr="002273BC">
        <w:rPr>
          <w:rFonts w:ascii="Arabic Transparent" w:hAnsi="Arabic Transparent" w:cs="Arabic Transparent" w:hint="cs"/>
          <w:sz w:val="24"/>
          <w:szCs w:val="24"/>
          <w:rtl/>
          <w:lang w:bidi="ar-JO"/>
        </w:rPr>
        <w:t xml:space="preserve"> مصدر سابق، ج3، ص350، 352.</w:t>
      </w:r>
    </w:p>
  </w:footnote>
  <w:footnote w:id="325">
    <w:p w14:paraId="23910AB1"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ابن حجر، </w:t>
      </w:r>
      <w:r w:rsidRPr="002273BC">
        <w:rPr>
          <w:rFonts w:ascii="Arabic Transparent" w:hAnsi="Arabic Transparent" w:cs="Arabic Transparent" w:hint="cs"/>
          <w:b/>
          <w:bCs/>
          <w:sz w:val="24"/>
          <w:szCs w:val="24"/>
          <w:rtl/>
          <w:lang w:bidi="ar-JO"/>
        </w:rPr>
        <w:t>فتح الباري</w:t>
      </w:r>
      <w:r w:rsidRPr="002273BC">
        <w:rPr>
          <w:rFonts w:ascii="Arabic Transparent" w:hAnsi="Arabic Transparent" w:cs="Arabic Transparent" w:hint="cs"/>
          <w:sz w:val="24"/>
          <w:szCs w:val="24"/>
          <w:rtl/>
          <w:lang w:bidi="ar-JO"/>
        </w:rPr>
        <w:t>، مصدر سابق، ج12، ص336.</w:t>
      </w:r>
    </w:p>
  </w:footnote>
  <w:footnote w:id="326">
    <w:p w14:paraId="0E53F03C" w14:textId="08124586"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انظر: العطاوي، فتحي (2021م). </w:t>
      </w:r>
      <w:r w:rsidRPr="002273BC">
        <w:rPr>
          <w:rFonts w:ascii="Arabic Transparent" w:hAnsi="Arabic Transparent" w:cs="Arabic Transparent" w:hint="cs"/>
          <w:b/>
          <w:bCs/>
          <w:sz w:val="24"/>
          <w:szCs w:val="24"/>
          <w:rtl/>
          <w:lang w:bidi="ar-JO"/>
        </w:rPr>
        <w:t>التكييف الفقهي لقضايا المعاملات المالية المعاصرة: ماهيته، وأهميته، ومقوماته، ومتطلباته،</w:t>
      </w:r>
      <w:r w:rsidRPr="002273BC">
        <w:rPr>
          <w:rFonts w:ascii="Arabic Transparent" w:hAnsi="Arabic Transparent" w:cs="Arabic Transparent" w:hint="cs"/>
          <w:sz w:val="24"/>
          <w:szCs w:val="24"/>
          <w:rtl/>
          <w:lang w:bidi="ar-JO"/>
        </w:rPr>
        <w:t xml:space="preserve"> م1، ع10، ص521، مجلة الاجتهاد للدراسات القانونية والاقتصادية.</w:t>
      </w:r>
    </w:p>
  </w:footnote>
  <w:footnote w:id="327">
    <w:p w14:paraId="4533EFA9"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مجموعة من المؤلفين، بإشراف: محمد حجي (1981م</w:t>
      </w:r>
      <w:r w:rsidRPr="002273BC">
        <w:rPr>
          <w:rFonts w:ascii="Arabic Transparent" w:hAnsi="Arabic Transparent" w:cs="Arabic Transparent" w:hint="cs"/>
          <w:b/>
          <w:bCs/>
          <w:sz w:val="24"/>
          <w:szCs w:val="24"/>
          <w:rtl/>
        </w:rPr>
        <w:t>). المعيار المعرب</w:t>
      </w:r>
      <w:r w:rsidRPr="002273BC">
        <w:rPr>
          <w:rFonts w:ascii="Arabic Transparent" w:hAnsi="Arabic Transparent" w:cs="Arabic Transparent" w:hint="cs"/>
          <w:sz w:val="24"/>
          <w:szCs w:val="24"/>
          <w:rtl/>
        </w:rPr>
        <w:t>، ج16، ص6، وزارة الأوقاف والشؤون الإسلامية، المملكة المغربية؛ دار الغرب الإسلامي، بيروت.</w:t>
      </w:r>
    </w:p>
  </w:footnote>
  <w:footnote w:id="328">
    <w:p w14:paraId="747DF345"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ابن القيم، </w:t>
      </w:r>
      <w:r w:rsidRPr="002273BC">
        <w:rPr>
          <w:rFonts w:ascii="Arabic Transparent" w:hAnsi="Arabic Transparent" w:cs="Arabic Transparent" w:hint="cs"/>
          <w:b/>
          <w:bCs/>
          <w:sz w:val="24"/>
          <w:szCs w:val="24"/>
          <w:rtl/>
          <w:lang w:bidi="ar-JO"/>
        </w:rPr>
        <w:t>إعلام الموقعين عن رب العالمين</w:t>
      </w:r>
      <w:r w:rsidRPr="002273BC">
        <w:rPr>
          <w:rFonts w:ascii="Arabic Transparent" w:hAnsi="Arabic Transparent" w:cs="Arabic Transparent" w:hint="cs"/>
          <w:sz w:val="24"/>
          <w:szCs w:val="24"/>
          <w:rtl/>
          <w:lang w:bidi="ar-JO"/>
        </w:rPr>
        <w:t>، مصدر سابق، ج1، ص101.</w:t>
      </w:r>
    </w:p>
  </w:footnote>
  <w:footnote w:id="329">
    <w:p w14:paraId="75D97366" w14:textId="77777777" w:rsidR="00874043" w:rsidRPr="002273BC" w:rsidRDefault="00874043"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شبير، </w:t>
      </w:r>
      <w:r w:rsidRPr="002273BC">
        <w:rPr>
          <w:rFonts w:ascii="Arabic Transparent" w:hAnsi="Arabic Transparent" w:cs="Arabic Transparent" w:hint="cs"/>
          <w:b/>
          <w:bCs/>
          <w:sz w:val="24"/>
          <w:szCs w:val="24"/>
          <w:rtl/>
          <w:lang w:bidi="ar-JO"/>
        </w:rPr>
        <w:t>التكييف الفقهي للوقائع المستجدة وتطبيقاته الفقهية</w:t>
      </w:r>
      <w:r w:rsidRPr="002273BC">
        <w:rPr>
          <w:rFonts w:ascii="Arabic Transparent" w:hAnsi="Arabic Transparent" w:cs="Arabic Transparent" w:hint="cs"/>
          <w:sz w:val="24"/>
          <w:szCs w:val="24"/>
          <w:rtl/>
          <w:lang w:bidi="ar-JO"/>
        </w:rPr>
        <w:t>، مصدر سابق، ص92.</w:t>
      </w:r>
    </w:p>
  </w:footnote>
  <w:footnote w:id="330">
    <w:p w14:paraId="261D78FA" w14:textId="306D67D1"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003C5177" w:rsidRPr="002273BC">
        <w:rPr>
          <w:rFonts w:ascii="Arabic Transparent" w:hAnsi="Arabic Transparent" w:cs="Arabic Transparent" w:hint="cs"/>
          <w:sz w:val="24"/>
          <w:szCs w:val="24"/>
          <w:rtl/>
        </w:rPr>
        <w:t xml:space="preserve"> أخرجه البيهقي في السنن، </w:t>
      </w:r>
      <w:r w:rsidRPr="002273BC">
        <w:rPr>
          <w:rFonts w:ascii="Arabic Transparent" w:hAnsi="Arabic Transparent" w:cs="Arabic Transparent" w:hint="cs"/>
          <w:sz w:val="24"/>
          <w:szCs w:val="24"/>
          <w:rtl/>
          <w:lang w:bidi="ar-JO"/>
        </w:rPr>
        <w:t xml:space="preserve">أحمد بن الحسين (2003م). </w:t>
      </w:r>
      <w:r w:rsidRPr="002273BC">
        <w:rPr>
          <w:rFonts w:ascii="Arabic Transparent" w:hAnsi="Arabic Transparent" w:cs="Arabic Transparent" w:hint="cs"/>
          <w:b/>
          <w:bCs/>
          <w:sz w:val="24"/>
          <w:szCs w:val="24"/>
          <w:rtl/>
          <w:lang w:bidi="ar-JO"/>
        </w:rPr>
        <w:t>السنن الكبرى</w:t>
      </w:r>
      <w:r w:rsidRPr="002273BC">
        <w:rPr>
          <w:rFonts w:ascii="Arabic Transparent" w:hAnsi="Arabic Transparent" w:cs="Arabic Transparent" w:hint="cs"/>
          <w:sz w:val="24"/>
          <w:szCs w:val="24"/>
          <w:rtl/>
          <w:lang w:bidi="ar-JO"/>
        </w:rPr>
        <w:t xml:space="preserve">، كتاب الشهادات، باب </w:t>
      </w:r>
      <w:r w:rsidR="003C5177" w:rsidRPr="002273BC">
        <w:rPr>
          <w:rFonts w:ascii="Arabic Transparent" w:hAnsi="Arabic Transparent" w:cs="Arabic Transparent" w:hint="cs"/>
          <w:sz w:val="24"/>
          <w:szCs w:val="24"/>
          <w:rtl/>
          <w:lang w:bidi="ar-JO"/>
        </w:rPr>
        <w:t>"</w:t>
      </w:r>
      <w:r w:rsidRPr="002273BC">
        <w:rPr>
          <w:rFonts w:ascii="Arabic Transparent" w:hAnsi="Arabic Transparent" w:cs="Arabic Transparent" w:hint="cs"/>
          <w:sz w:val="24"/>
          <w:szCs w:val="24"/>
          <w:rtl/>
          <w:lang w:bidi="ar-JO"/>
        </w:rPr>
        <w:t>لا يحيل حكم القاضي على المقضي له…</w:t>
      </w:r>
      <w:r w:rsidR="003C5177" w:rsidRPr="002273BC">
        <w:rPr>
          <w:rFonts w:ascii="Arabic Transparent" w:hAnsi="Arabic Transparent" w:cs="Arabic Transparent" w:hint="cs"/>
          <w:sz w:val="24"/>
          <w:szCs w:val="24"/>
          <w:rtl/>
          <w:lang w:bidi="ar-JO"/>
        </w:rPr>
        <w:t>"</w:t>
      </w:r>
      <w:r w:rsidRPr="002273BC">
        <w:rPr>
          <w:rFonts w:ascii="Arabic Transparent" w:hAnsi="Arabic Transparent" w:cs="Arabic Transparent" w:hint="cs"/>
          <w:sz w:val="24"/>
          <w:szCs w:val="24"/>
          <w:rtl/>
          <w:lang w:bidi="ar-JO"/>
        </w:rPr>
        <w:t xml:space="preserve">، تحقيق: محمد عبد القادر عطا، ط3، ج10، ص253، دار الكتب العلمية، بيروت، </w:t>
      </w:r>
      <w:r w:rsidR="003C5177" w:rsidRPr="002273BC">
        <w:rPr>
          <w:rFonts w:ascii="Arabic Transparent" w:hAnsi="Arabic Transparent" w:cs="Arabic Transparent" w:hint="cs"/>
          <w:sz w:val="24"/>
          <w:szCs w:val="24"/>
          <w:rtl/>
          <w:lang w:bidi="ar-JO"/>
        </w:rPr>
        <w:t>ولم بجد الباحث تخريجاً لهذا الأثر، في كتب التخريج.</w:t>
      </w:r>
    </w:p>
  </w:footnote>
  <w:footnote w:id="331">
    <w:p w14:paraId="53B6C990"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انظر الزركشي</w:t>
      </w:r>
      <w:r w:rsidRPr="002273BC">
        <w:rPr>
          <w:rFonts w:ascii="Arabic Transparent" w:hAnsi="Arabic Transparent" w:cs="Arabic Transparent" w:hint="cs"/>
          <w:b/>
          <w:bCs/>
          <w:sz w:val="24"/>
          <w:szCs w:val="24"/>
          <w:rtl/>
          <w:lang w:bidi="ar-JO"/>
        </w:rPr>
        <w:t>، البحر المحيط في أصول الفقه</w:t>
      </w:r>
      <w:r w:rsidRPr="002273BC">
        <w:rPr>
          <w:rFonts w:ascii="Arabic Transparent" w:hAnsi="Arabic Transparent" w:cs="Arabic Transparent" w:hint="cs"/>
          <w:sz w:val="24"/>
          <w:szCs w:val="24"/>
          <w:rtl/>
          <w:lang w:bidi="ar-JO"/>
        </w:rPr>
        <w:t xml:space="preserve">، مصدر سابق، ج7/ ص167، وانظر الشوكاني، </w:t>
      </w:r>
      <w:r w:rsidRPr="002273BC">
        <w:rPr>
          <w:rFonts w:ascii="Arabic Transparent" w:hAnsi="Arabic Transparent" w:cs="Arabic Transparent" w:hint="cs"/>
          <w:b/>
          <w:bCs/>
          <w:sz w:val="24"/>
          <w:szCs w:val="24"/>
          <w:rtl/>
          <w:lang w:bidi="ar-JO"/>
        </w:rPr>
        <w:t>ارشاد الفحول</w:t>
      </w:r>
      <w:r w:rsidRPr="002273BC">
        <w:rPr>
          <w:rFonts w:ascii="Arabic Transparent" w:hAnsi="Arabic Transparent" w:cs="Arabic Transparent" w:hint="cs"/>
          <w:sz w:val="24"/>
          <w:szCs w:val="24"/>
          <w:rtl/>
          <w:lang w:bidi="ar-JO"/>
        </w:rPr>
        <w:t>، مصدر سابق، ج2، ص112.</w:t>
      </w:r>
    </w:p>
  </w:footnote>
  <w:footnote w:id="332">
    <w:p w14:paraId="265F82BD" w14:textId="6DB7F90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انظر: </w:t>
      </w:r>
      <w:r w:rsidR="00850AE2">
        <w:rPr>
          <w:rFonts w:ascii="Arabic Transparent" w:hAnsi="Arabic Transparent" w:cs="Arabic Transparent" w:hint="cs"/>
          <w:sz w:val="24"/>
          <w:szCs w:val="24"/>
          <w:rtl/>
          <w:lang w:bidi="ar-JO"/>
        </w:rPr>
        <w:t xml:space="preserve">المصدر السابق نفسه </w:t>
      </w:r>
      <w:r w:rsidRPr="002273BC">
        <w:rPr>
          <w:rFonts w:ascii="Arabic Transparent" w:hAnsi="Arabic Transparent" w:cs="Arabic Transparent" w:hint="cs"/>
          <w:sz w:val="24"/>
          <w:szCs w:val="24"/>
          <w:rtl/>
          <w:lang w:bidi="ar-JO"/>
        </w:rPr>
        <w:t xml:space="preserve">، ج7/ ص167، الشوكاني، </w:t>
      </w:r>
      <w:r w:rsidRPr="002273BC">
        <w:rPr>
          <w:rFonts w:ascii="Arabic Transparent" w:hAnsi="Arabic Transparent" w:cs="Arabic Transparent" w:hint="cs"/>
          <w:b/>
          <w:bCs/>
          <w:sz w:val="24"/>
          <w:szCs w:val="24"/>
          <w:rtl/>
          <w:lang w:bidi="ar-JO"/>
        </w:rPr>
        <w:t>إرشاد الفحول</w:t>
      </w:r>
      <w:r w:rsidRPr="002273BC">
        <w:rPr>
          <w:rFonts w:ascii="Arabic Transparent" w:hAnsi="Arabic Transparent" w:cs="Arabic Transparent" w:hint="cs"/>
          <w:sz w:val="24"/>
          <w:szCs w:val="24"/>
          <w:rtl/>
          <w:lang w:bidi="ar-JO"/>
        </w:rPr>
        <w:t>، مصدر سابق،</w:t>
      </w:r>
      <w:r w:rsidR="00850AE2">
        <w:rPr>
          <w:rFonts w:ascii="Arabic Transparent" w:hAnsi="Arabic Transparent" w:cs="Arabic Transparent" w:hint="cs"/>
          <w:sz w:val="24"/>
          <w:szCs w:val="24"/>
          <w:rtl/>
          <w:lang w:bidi="ar-JO"/>
        </w:rPr>
        <w:t>ج2،</w:t>
      </w:r>
      <w:r w:rsidRPr="002273BC">
        <w:rPr>
          <w:rFonts w:ascii="Arabic Transparent" w:hAnsi="Arabic Transparent" w:cs="Arabic Transparent" w:hint="cs"/>
          <w:sz w:val="24"/>
          <w:szCs w:val="24"/>
          <w:rtl/>
          <w:lang w:bidi="ar-JO"/>
        </w:rPr>
        <w:t xml:space="preserve"> ص207، الشيرازي، </w:t>
      </w:r>
      <w:r w:rsidRPr="002273BC">
        <w:rPr>
          <w:rFonts w:ascii="Arabic Transparent" w:hAnsi="Arabic Transparent" w:cs="Arabic Transparent" w:hint="cs"/>
          <w:b/>
          <w:bCs/>
          <w:sz w:val="24"/>
          <w:szCs w:val="24"/>
          <w:rtl/>
          <w:lang w:bidi="ar-JO"/>
        </w:rPr>
        <w:t>المهذب</w:t>
      </w:r>
      <w:r w:rsidRPr="002273BC">
        <w:rPr>
          <w:rFonts w:ascii="Arabic Transparent" w:hAnsi="Arabic Transparent" w:cs="Arabic Transparent" w:hint="cs"/>
          <w:sz w:val="24"/>
          <w:szCs w:val="24"/>
          <w:rtl/>
          <w:lang w:bidi="ar-JO"/>
        </w:rPr>
        <w:t xml:space="preserve">، مصدر سابق، ج5/ ص210، الغزالي، </w:t>
      </w:r>
      <w:r w:rsidRPr="002273BC">
        <w:rPr>
          <w:rFonts w:ascii="Arabic Transparent" w:hAnsi="Arabic Transparent" w:cs="Arabic Transparent" w:hint="cs"/>
          <w:b/>
          <w:bCs/>
          <w:sz w:val="24"/>
          <w:szCs w:val="24"/>
          <w:rtl/>
          <w:lang w:bidi="ar-JO"/>
        </w:rPr>
        <w:t>المستصفى</w:t>
      </w:r>
      <w:r w:rsidRPr="002273BC">
        <w:rPr>
          <w:rFonts w:ascii="Arabic Transparent" w:hAnsi="Arabic Transparent" w:cs="Arabic Transparent" w:hint="cs"/>
          <w:sz w:val="24"/>
          <w:szCs w:val="24"/>
          <w:rtl/>
          <w:lang w:bidi="ar-JO"/>
        </w:rPr>
        <w:t xml:space="preserve">، مصدر سابق، ص316، والآمدي، </w:t>
      </w:r>
      <w:r w:rsidRPr="002273BC">
        <w:rPr>
          <w:rFonts w:ascii="Arabic Transparent" w:hAnsi="Arabic Transparent" w:cs="Arabic Transparent" w:hint="cs"/>
          <w:b/>
          <w:bCs/>
          <w:sz w:val="24"/>
          <w:szCs w:val="24"/>
          <w:rtl/>
          <w:lang w:bidi="ar-JO"/>
        </w:rPr>
        <w:t>الإحكام في أصول الأحكام،</w:t>
      </w:r>
      <w:r w:rsidRPr="002273BC">
        <w:rPr>
          <w:rFonts w:ascii="Arabic Transparent" w:hAnsi="Arabic Transparent" w:cs="Arabic Transparent" w:hint="cs"/>
          <w:sz w:val="24"/>
          <w:szCs w:val="24"/>
          <w:rtl/>
          <w:lang w:bidi="ar-JO"/>
        </w:rPr>
        <w:t xml:space="preserve"> مصدر سابق، ج3، ص201، والطوفي، </w:t>
      </w:r>
      <w:r w:rsidRPr="002273BC">
        <w:rPr>
          <w:rFonts w:ascii="Arabic Transparent" w:hAnsi="Arabic Transparent" w:cs="Arabic Transparent" w:hint="cs"/>
          <w:b/>
          <w:bCs/>
          <w:sz w:val="24"/>
          <w:szCs w:val="24"/>
          <w:rtl/>
          <w:lang w:bidi="ar-JO"/>
        </w:rPr>
        <w:t>شرح مختصر الروضة</w:t>
      </w:r>
      <w:r w:rsidRPr="002273BC">
        <w:rPr>
          <w:rFonts w:ascii="Arabic Transparent" w:hAnsi="Arabic Transparent" w:cs="Arabic Transparent" w:hint="cs"/>
          <w:sz w:val="24"/>
          <w:szCs w:val="24"/>
          <w:rtl/>
          <w:lang w:bidi="ar-JO"/>
        </w:rPr>
        <w:t>، مصدر سابق، ج3، ص317.</w:t>
      </w:r>
    </w:p>
  </w:footnote>
  <w:footnote w:id="333">
    <w:p w14:paraId="392755F1" w14:textId="0F1E38A6"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انظر: </w:t>
      </w:r>
      <w:r w:rsidRPr="002273BC">
        <w:rPr>
          <w:rFonts w:ascii="Arabic Transparent" w:hAnsi="Arabic Transparent" w:cs="Arabic Transparent" w:hint="cs"/>
          <w:sz w:val="24"/>
          <w:szCs w:val="24"/>
          <w:rtl/>
          <w:lang w:bidi="ar-JO"/>
        </w:rPr>
        <w:t xml:space="preserve">الآمدي، </w:t>
      </w:r>
      <w:r w:rsidRPr="002273BC">
        <w:rPr>
          <w:rFonts w:ascii="Arabic Transparent" w:hAnsi="Arabic Transparent" w:cs="Arabic Transparent" w:hint="cs"/>
          <w:b/>
          <w:bCs/>
          <w:sz w:val="24"/>
          <w:szCs w:val="24"/>
          <w:rtl/>
          <w:lang w:bidi="ar-JO"/>
        </w:rPr>
        <w:t>الإحكام في أصول الأحكام</w:t>
      </w:r>
      <w:r w:rsidRPr="002273BC">
        <w:rPr>
          <w:rFonts w:ascii="Arabic Transparent" w:hAnsi="Arabic Transparent" w:cs="Arabic Transparent" w:hint="cs"/>
          <w:sz w:val="24"/>
          <w:szCs w:val="24"/>
          <w:rtl/>
          <w:lang w:bidi="ar-JO"/>
        </w:rPr>
        <w:t>، مصدر سابق، ج4، ص273، والهندي، صفي الدين محمد بن عبد الرحيم الأرموي (1996</w:t>
      </w:r>
      <w:r w:rsidRPr="002273BC">
        <w:rPr>
          <w:rFonts w:ascii="Arabic Transparent" w:hAnsi="Arabic Transparent" w:cs="Arabic Transparent" w:hint="cs"/>
          <w:b/>
          <w:bCs/>
          <w:sz w:val="24"/>
          <w:szCs w:val="24"/>
          <w:rtl/>
          <w:lang w:bidi="ar-JO"/>
        </w:rPr>
        <w:t>)، نهاية الوصول في دراية الأصول</w:t>
      </w:r>
      <w:r w:rsidRPr="002273BC">
        <w:rPr>
          <w:rFonts w:ascii="Arabic Transparent" w:hAnsi="Arabic Transparent" w:cs="Arabic Transparent" w:hint="cs"/>
          <w:sz w:val="24"/>
          <w:szCs w:val="24"/>
          <w:rtl/>
          <w:lang w:bidi="ar-JO"/>
        </w:rPr>
        <w:t xml:space="preserve">، تحقيق: صالح بن سليمان اليوسف وسعد بن سالم السويح، ط1، ج8، ص3273، المكتبة التجارية، مكة المكرمة، والإيجي، </w:t>
      </w:r>
      <w:r w:rsidRPr="002273BC">
        <w:rPr>
          <w:rFonts w:ascii="Arabic Transparent" w:hAnsi="Arabic Transparent" w:cs="Arabic Transparent" w:hint="cs"/>
          <w:b/>
          <w:bCs/>
          <w:sz w:val="24"/>
          <w:szCs w:val="24"/>
          <w:rtl/>
          <w:lang w:bidi="ar-JO"/>
        </w:rPr>
        <w:t>شرح مختصر المنتهى الأصولي</w:t>
      </w:r>
      <w:r w:rsidRPr="002273BC">
        <w:rPr>
          <w:rFonts w:ascii="Arabic Transparent" w:hAnsi="Arabic Transparent" w:cs="Arabic Transparent" w:hint="cs"/>
          <w:sz w:val="24"/>
          <w:szCs w:val="24"/>
          <w:rtl/>
          <w:lang w:bidi="ar-JO"/>
        </w:rPr>
        <w:t xml:space="preserve">، مصدر سابق، ج3، ص320، والرهوني، يحيى بن موسى، أبو زكريا (2002)، </w:t>
      </w:r>
      <w:r w:rsidRPr="002273BC">
        <w:rPr>
          <w:rFonts w:ascii="Arabic Transparent" w:hAnsi="Arabic Transparent" w:cs="Arabic Transparent" w:hint="cs"/>
          <w:b/>
          <w:bCs/>
          <w:sz w:val="24"/>
          <w:szCs w:val="24"/>
          <w:rtl/>
          <w:lang w:bidi="ar-JO"/>
        </w:rPr>
        <w:t>تحفة المسؤول في شرح مختصر منتهى السول</w:t>
      </w:r>
      <w:r w:rsidRPr="002273BC">
        <w:rPr>
          <w:rFonts w:ascii="Arabic Transparent" w:hAnsi="Arabic Transparent" w:cs="Arabic Transparent" w:hint="cs"/>
          <w:sz w:val="24"/>
          <w:szCs w:val="24"/>
          <w:rtl/>
          <w:lang w:bidi="ar-JO"/>
        </w:rPr>
        <w:t>، ط1،ج4، ص27، دار البحوث للدراسات الإسلامية وإحياء التراث، دبي – الإمارات، و</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حاج، ابن أمير محمد بن الحنفي (1898)، </w:t>
      </w:r>
      <w:r w:rsidRPr="002273BC">
        <w:rPr>
          <w:rFonts w:ascii="Arabic Transparent" w:hAnsi="Arabic Transparent" w:cs="Arabic Transparent" w:hint="cs"/>
          <w:b/>
          <w:bCs/>
          <w:sz w:val="24"/>
          <w:szCs w:val="24"/>
          <w:rtl/>
          <w:lang w:bidi="ar-JO"/>
        </w:rPr>
        <w:t>التقرير والتحبير على كتاب التحرير</w:t>
      </w:r>
      <w:r w:rsidRPr="002273BC">
        <w:rPr>
          <w:rFonts w:ascii="Arabic Transparent" w:hAnsi="Arabic Transparent" w:cs="Arabic Transparent" w:hint="cs"/>
          <w:sz w:val="24"/>
          <w:szCs w:val="24"/>
          <w:rtl/>
          <w:lang w:bidi="ar-JO"/>
        </w:rPr>
        <w:t>، ط1، ج3، ص167، المطبعة الكبرى الأميرية، بولاق – مصر.</w:t>
      </w:r>
    </w:p>
  </w:footnote>
  <w:footnote w:id="334">
    <w:p w14:paraId="3518CAC1"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الآمدي، </w:t>
      </w:r>
      <w:r w:rsidRPr="002273BC">
        <w:rPr>
          <w:rFonts w:ascii="Arabic Transparent" w:hAnsi="Arabic Transparent" w:cs="Arabic Transparent" w:hint="cs"/>
          <w:b/>
          <w:bCs/>
          <w:sz w:val="24"/>
          <w:szCs w:val="24"/>
          <w:rtl/>
          <w:lang w:bidi="ar-JO"/>
        </w:rPr>
        <w:t>الإحكام في أصول الأحكام،</w:t>
      </w:r>
      <w:r w:rsidRPr="002273BC">
        <w:rPr>
          <w:rFonts w:ascii="Arabic Transparent" w:hAnsi="Arabic Transparent" w:cs="Arabic Transparent" w:hint="cs"/>
          <w:sz w:val="24"/>
          <w:szCs w:val="24"/>
          <w:rtl/>
          <w:lang w:bidi="ar-JO"/>
        </w:rPr>
        <w:t xml:space="preserve"> مصدر سابق، ج4، ص279</w:t>
      </w:r>
    </w:p>
  </w:footnote>
  <w:footnote w:id="335">
    <w:p w14:paraId="13271D8A"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الزركشي، </w:t>
      </w:r>
      <w:r w:rsidRPr="002273BC">
        <w:rPr>
          <w:rFonts w:ascii="Arabic Transparent" w:hAnsi="Arabic Transparent" w:cs="Arabic Transparent" w:hint="cs"/>
          <w:b/>
          <w:bCs/>
          <w:sz w:val="24"/>
          <w:szCs w:val="24"/>
          <w:rtl/>
          <w:lang w:bidi="ar-JO"/>
        </w:rPr>
        <w:t>البحر المحيط في أصول الفقه،</w:t>
      </w:r>
      <w:r w:rsidRPr="002273BC">
        <w:rPr>
          <w:rFonts w:ascii="Arabic Transparent" w:hAnsi="Arabic Transparent" w:cs="Arabic Transparent" w:hint="cs"/>
          <w:sz w:val="24"/>
          <w:szCs w:val="24"/>
          <w:rtl/>
          <w:lang w:bidi="ar-JO"/>
        </w:rPr>
        <w:t xml:space="preserve"> مصدر سابق، ج7، ص170.</w:t>
      </w:r>
    </w:p>
  </w:footnote>
  <w:footnote w:id="336">
    <w:p w14:paraId="5EA4FF4A"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الزحيلي، </w:t>
      </w:r>
      <w:r w:rsidRPr="002273BC">
        <w:rPr>
          <w:rFonts w:ascii="Arabic Transparent" w:hAnsi="Arabic Transparent" w:cs="Arabic Transparent" w:hint="cs"/>
          <w:b/>
          <w:bCs/>
          <w:sz w:val="24"/>
          <w:szCs w:val="24"/>
          <w:rtl/>
          <w:lang w:bidi="ar-JO"/>
        </w:rPr>
        <w:t>الفقه الإسلامي وأدلته</w:t>
      </w:r>
      <w:r w:rsidRPr="002273BC">
        <w:rPr>
          <w:rFonts w:ascii="Arabic Transparent" w:hAnsi="Arabic Transparent" w:cs="Arabic Transparent" w:hint="cs"/>
          <w:sz w:val="24"/>
          <w:szCs w:val="24"/>
          <w:rtl/>
          <w:lang w:bidi="ar-JO"/>
        </w:rPr>
        <w:t>، مصدر سابق، ج1، ص70.</w:t>
      </w:r>
    </w:p>
  </w:footnote>
  <w:footnote w:id="337">
    <w:p w14:paraId="7AE290A6" w14:textId="77777777" w:rsidR="004E383D" w:rsidRPr="002273BC" w:rsidRDefault="004E383D" w:rsidP="00EA3738">
      <w:pPr>
        <w:pStyle w:val="FootnoteText"/>
        <w:spacing w:line="360" w:lineRule="auto"/>
        <w:jc w:val="both"/>
        <w:rPr>
          <w:rFonts w:ascii="Arabic Transparent" w:hAnsi="Arabic Transparent" w:cs="Arabic Transparent"/>
          <w:sz w:val="24"/>
          <w:szCs w:val="24"/>
          <w:rtl/>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الإيجي، </w:t>
      </w:r>
      <w:r w:rsidRPr="002273BC">
        <w:rPr>
          <w:rFonts w:ascii="Arabic Transparent" w:hAnsi="Arabic Transparent" w:cs="Arabic Transparent" w:hint="cs"/>
          <w:b/>
          <w:bCs/>
          <w:sz w:val="24"/>
          <w:szCs w:val="24"/>
          <w:rtl/>
        </w:rPr>
        <w:t>شرح مختصر المنتهى الأصولي</w:t>
      </w:r>
      <w:r w:rsidRPr="002273BC">
        <w:rPr>
          <w:rFonts w:ascii="Arabic Transparent" w:hAnsi="Arabic Transparent" w:cs="Arabic Transparent" w:hint="cs"/>
          <w:sz w:val="24"/>
          <w:szCs w:val="24"/>
          <w:rtl/>
        </w:rPr>
        <w:t>، مصدر سابق، ج3، ص320.</w:t>
      </w:r>
    </w:p>
  </w:footnote>
  <w:footnote w:id="338">
    <w:p w14:paraId="60D4172E" w14:textId="04B168AC"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00850AE2">
        <w:rPr>
          <w:rFonts w:ascii="Arabic Transparent" w:hAnsi="Arabic Transparent" w:cs="Arabic Transparent" w:hint="cs"/>
          <w:sz w:val="24"/>
          <w:szCs w:val="24"/>
          <w:rtl/>
          <w:lang w:bidi="ar-JO"/>
        </w:rPr>
        <w:t xml:space="preserve">انظر: المصدر السابق نفسه، </w:t>
      </w:r>
      <w:r w:rsidRPr="002273BC">
        <w:rPr>
          <w:rFonts w:ascii="Arabic Transparent" w:hAnsi="Arabic Transparent" w:cs="Arabic Transparent" w:hint="cs"/>
          <w:sz w:val="24"/>
          <w:szCs w:val="24"/>
          <w:rtl/>
          <w:lang w:bidi="ar-JO"/>
        </w:rPr>
        <w:t xml:space="preserve">، ج3، ص335، والهندي، </w:t>
      </w:r>
      <w:r w:rsidRPr="002273BC">
        <w:rPr>
          <w:rFonts w:ascii="Arabic Transparent" w:hAnsi="Arabic Transparent" w:cs="Arabic Transparent" w:hint="cs"/>
          <w:b/>
          <w:bCs/>
          <w:sz w:val="24"/>
          <w:szCs w:val="24"/>
          <w:rtl/>
          <w:lang w:bidi="ar-JO"/>
        </w:rPr>
        <w:t>نهاية الوصول في دراية الأصول</w:t>
      </w:r>
      <w:r w:rsidRPr="002273BC">
        <w:rPr>
          <w:rFonts w:ascii="Arabic Transparent" w:hAnsi="Arabic Transparent" w:cs="Arabic Transparent" w:hint="cs"/>
          <w:sz w:val="24"/>
          <w:szCs w:val="24"/>
          <w:rtl/>
          <w:lang w:bidi="ar-JO"/>
        </w:rPr>
        <w:t xml:space="preserve">، مصدر سابق، ج2، ص391، والطوفي، </w:t>
      </w:r>
      <w:r w:rsidRPr="002273BC">
        <w:rPr>
          <w:rFonts w:ascii="Arabic Transparent" w:hAnsi="Arabic Transparent" w:cs="Arabic Transparent" w:hint="cs"/>
          <w:b/>
          <w:bCs/>
          <w:sz w:val="24"/>
          <w:szCs w:val="24"/>
          <w:rtl/>
          <w:lang w:bidi="ar-JO"/>
        </w:rPr>
        <w:t>شرح مختصر الروضة</w:t>
      </w:r>
      <w:r w:rsidRPr="002273BC">
        <w:rPr>
          <w:rFonts w:ascii="Arabic Transparent" w:hAnsi="Arabic Transparent" w:cs="Arabic Transparent" w:hint="cs"/>
          <w:sz w:val="24"/>
          <w:szCs w:val="24"/>
          <w:rtl/>
          <w:lang w:bidi="ar-JO"/>
        </w:rPr>
        <w:t xml:space="preserve">، مصدر سابق، ج3، ص306، والرهوني، </w:t>
      </w:r>
      <w:r w:rsidRPr="002273BC">
        <w:rPr>
          <w:rFonts w:ascii="Arabic Transparent" w:hAnsi="Arabic Transparent" w:cs="Arabic Transparent" w:hint="cs"/>
          <w:b/>
          <w:bCs/>
          <w:sz w:val="24"/>
          <w:szCs w:val="24"/>
          <w:rtl/>
          <w:lang w:bidi="ar-JO"/>
        </w:rPr>
        <w:t>تحفة المسؤول في شرح مختصر منتهى السول</w:t>
      </w:r>
      <w:r w:rsidRPr="002273BC">
        <w:rPr>
          <w:rFonts w:ascii="Arabic Transparent" w:hAnsi="Arabic Transparent" w:cs="Arabic Transparent" w:hint="cs"/>
          <w:sz w:val="24"/>
          <w:szCs w:val="24"/>
          <w:rtl/>
          <w:lang w:bidi="ar-JO"/>
        </w:rPr>
        <w:t>، مصدر سابق، ج4، ص38، والزركشي</w:t>
      </w:r>
      <w:r w:rsidRPr="002273BC">
        <w:rPr>
          <w:rFonts w:ascii="Arabic Transparent" w:hAnsi="Arabic Transparent" w:cs="Arabic Transparent" w:hint="cs"/>
          <w:b/>
          <w:bCs/>
          <w:sz w:val="24"/>
          <w:szCs w:val="24"/>
          <w:rtl/>
          <w:lang w:bidi="ar-JO"/>
        </w:rPr>
        <w:t>، البحر المحيط في أصول الفقه</w:t>
      </w:r>
      <w:r w:rsidRPr="002273BC">
        <w:rPr>
          <w:rFonts w:ascii="Arabic Transparent" w:hAnsi="Arabic Transparent" w:cs="Arabic Transparent" w:hint="cs"/>
          <w:sz w:val="24"/>
          <w:szCs w:val="24"/>
          <w:rtl/>
          <w:lang w:bidi="ar-JO"/>
        </w:rPr>
        <w:t>، مصدر سابق، ج3، ص119، والمرداوي</w:t>
      </w:r>
      <w:r w:rsidRPr="002273BC">
        <w:rPr>
          <w:rFonts w:ascii="Arabic Transparent" w:hAnsi="Arabic Transparent" w:cs="Arabic Transparent" w:hint="cs"/>
          <w:b/>
          <w:bCs/>
          <w:sz w:val="24"/>
          <w:szCs w:val="24"/>
          <w:rtl/>
          <w:lang w:bidi="ar-JO"/>
        </w:rPr>
        <w:t>، التحبير شرح التحرير</w:t>
      </w:r>
      <w:r w:rsidRPr="002273BC">
        <w:rPr>
          <w:rFonts w:ascii="Arabic Transparent" w:hAnsi="Arabic Transparent" w:cs="Arabic Transparent" w:hint="cs"/>
          <w:sz w:val="24"/>
          <w:szCs w:val="24"/>
          <w:rtl/>
          <w:lang w:bidi="ar-JO"/>
        </w:rPr>
        <w:t xml:space="preserve">، مصدر سابق، ج7، ص3214، والشوكاني، </w:t>
      </w:r>
      <w:r w:rsidRPr="002273BC">
        <w:rPr>
          <w:rFonts w:ascii="Arabic Transparent" w:hAnsi="Arabic Transparent" w:cs="Arabic Transparent" w:hint="cs"/>
          <w:b/>
          <w:bCs/>
          <w:sz w:val="24"/>
          <w:szCs w:val="24"/>
          <w:rtl/>
          <w:lang w:bidi="ar-JO"/>
        </w:rPr>
        <w:t>إرشاد الفحول،</w:t>
      </w:r>
      <w:r w:rsidRPr="002273BC">
        <w:rPr>
          <w:rFonts w:ascii="Arabic Transparent" w:hAnsi="Arabic Transparent" w:cs="Arabic Transparent" w:hint="cs"/>
          <w:sz w:val="24"/>
          <w:szCs w:val="24"/>
          <w:rtl/>
          <w:lang w:bidi="ar-JO"/>
        </w:rPr>
        <w:t xml:space="preserve"> مصدر سابق، ج2، ص112.</w:t>
      </w:r>
    </w:p>
  </w:footnote>
  <w:footnote w:id="339">
    <w:p w14:paraId="438A28B0" w14:textId="5A554EE6"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انظر</w:t>
      </w:r>
      <w:r w:rsidR="00704FBD">
        <w:rPr>
          <w:rFonts w:ascii="Arabic Transparent" w:hAnsi="Arabic Transparent" w:cs="Arabic Transparent" w:hint="cs"/>
          <w:sz w:val="24"/>
          <w:szCs w:val="24"/>
          <w:rtl/>
          <w:lang w:bidi="ar-JO"/>
        </w:rPr>
        <w:t>:</w:t>
      </w:r>
      <w:r w:rsidRPr="002273BC">
        <w:rPr>
          <w:rFonts w:ascii="Arabic Transparent" w:hAnsi="Arabic Transparent" w:cs="Arabic Transparent" w:hint="cs"/>
          <w:sz w:val="24"/>
          <w:szCs w:val="24"/>
          <w:rtl/>
          <w:lang w:bidi="ar-JO"/>
        </w:rPr>
        <w:t xml:space="preserve"> الإيجي، عبد الرحمن بن أحمد، عضد الدين، (2004)، </w:t>
      </w:r>
      <w:r w:rsidRPr="002273BC">
        <w:rPr>
          <w:rFonts w:ascii="Arabic Transparent" w:hAnsi="Arabic Transparent" w:cs="Arabic Transparent" w:hint="cs"/>
          <w:b/>
          <w:bCs/>
          <w:sz w:val="24"/>
          <w:szCs w:val="24"/>
          <w:rtl/>
          <w:lang w:bidi="ar-JO"/>
        </w:rPr>
        <w:t>شرح مختصر المنتهى الأصولي</w:t>
      </w:r>
      <w:r w:rsidRPr="002273BC">
        <w:rPr>
          <w:rFonts w:ascii="Arabic Transparent" w:hAnsi="Arabic Transparent" w:cs="Arabic Transparent" w:hint="cs"/>
          <w:sz w:val="24"/>
          <w:szCs w:val="24"/>
          <w:rtl/>
          <w:lang w:bidi="ar-JO"/>
        </w:rPr>
        <w:t>،(تحقيق محمد حسن محمد حسن إسماعيل)، ط1، ج3، ص335، دار الكتب العلمية، بيروت.</w:t>
      </w:r>
      <w:r w:rsidR="005D7B91" w:rsidRPr="002273BC">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sz w:val="24"/>
          <w:szCs w:val="24"/>
          <w:rtl/>
          <w:lang w:bidi="ar-JO"/>
        </w:rPr>
        <w:t xml:space="preserve">وانظر المرداوي، </w:t>
      </w:r>
      <w:r w:rsidRPr="002273BC">
        <w:rPr>
          <w:rFonts w:ascii="Arabic Transparent" w:hAnsi="Arabic Transparent" w:cs="Arabic Transparent" w:hint="cs"/>
          <w:b/>
          <w:bCs/>
          <w:sz w:val="24"/>
          <w:szCs w:val="24"/>
          <w:rtl/>
          <w:lang w:bidi="ar-JO"/>
        </w:rPr>
        <w:t>التحبير شرح</w:t>
      </w:r>
      <w:r w:rsidRPr="002273BC">
        <w:rPr>
          <w:rFonts w:ascii="Arabic Transparent" w:hAnsi="Arabic Transparent" w:cs="Arabic Transparent" w:hint="cs"/>
          <w:sz w:val="24"/>
          <w:szCs w:val="24"/>
          <w:rtl/>
          <w:lang w:bidi="ar-JO"/>
        </w:rPr>
        <w:t xml:space="preserve"> التحرير، مصدر سابق، ج7، ص3214، انظر الشوكاني، </w:t>
      </w:r>
      <w:r w:rsidRPr="002273BC">
        <w:rPr>
          <w:rFonts w:ascii="Arabic Transparent" w:hAnsi="Arabic Transparent" w:cs="Arabic Transparent" w:hint="cs"/>
          <w:b/>
          <w:bCs/>
          <w:sz w:val="24"/>
          <w:szCs w:val="24"/>
          <w:rtl/>
          <w:lang w:bidi="ar-JO"/>
        </w:rPr>
        <w:t>إرشاد الفحول إلى تحقيق الحق من علم الأصول</w:t>
      </w:r>
      <w:r w:rsidRPr="002273BC">
        <w:rPr>
          <w:rFonts w:ascii="Arabic Transparent" w:hAnsi="Arabic Transparent" w:cs="Arabic Transparent" w:hint="cs"/>
          <w:sz w:val="24"/>
          <w:szCs w:val="24"/>
          <w:rtl/>
          <w:lang w:bidi="ar-JO"/>
        </w:rPr>
        <w:t>، مصدر سابق، ج2، ص112.</w:t>
      </w:r>
    </w:p>
  </w:footnote>
  <w:footnote w:id="340">
    <w:p w14:paraId="2647ADC6"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الطوفي، </w:t>
      </w:r>
      <w:r w:rsidRPr="002273BC">
        <w:rPr>
          <w:rFonts w:ascii="Arabic Transparent" w:hAnsi="Arabic Transparent" w:cs="Arabic Transparent" w:hint="cs"/>
          <w:b/>
          <w:bCs/>
          <w:sz w:val="24"/>
          <w:szCs w:val="24"/>
          <w:rtl/>
          <w:lang w:bidi="ar-JO"/>
        </w:rPr>
        <w:t>شرح مختصر الروضة،</w:t>
      </w:r>
      <w:r w:rsidRPr="002273BC">
        <w:rPr>
          <w:rFonts w:ascii="Arabic Transparent" w:hAnsi="Arabic Transparent" w:cs="Arabic Transparent" w:hint="cs"/>
          <w:sz w:val="24"/>
          <w:szCs w:val="24"/>
          <w:rtl/>
          <w:lang w:bidi="ar-JO"/>
        </w:rPr>
        <w:t xml:space="preserve"> مصدر سابق، ج3، ص415.</w:t>
      </w:r>
    </w:p>
  </w:footnote>
  <w:footnote w:id="341">
    <w:p w14:paraId="26E2437F"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الجويني، عبد الملك بن عبد الله بن يوسف بن محمد، (1996)، </w:t>
      </w:r>
      <w:r w:rsidRPr="002273BC">
        <w:rPr>
          <w:rFonts w:ascii="Arabic Transparent" w:hAnsi="Arabic Transparent" w:cs="Arabic Transparent" w:hint="cs"/>
          <w:b/>
          <w:bCs/>
          <w:sz w:val="24"/>
          <w:szCs w:val="24"/>
          <w:rtl/>
          <w:lang w:bidi="ar-JO"/>
        </w:rPr>
        <w:t>التلخيص في أصول الفقه</w:t>
      </w:r>
      <w:r w:rsidRPr="002273BC">
        <w:rPr>
          <w:rFonts w:ascii="Arabic Transparent" w:hAnsi="Arabic Transparent" w:cs="Arabic Transparent" w:hint="cs"/>
          <w:sz w:val="24"/>
          <w:szCs w:val="24"/>
          <w:rtl/>
          <w:lang w:bidi="ar-JO"/>
        </w:rPr>
        <w:t xml:space="preserve"> (تحقيق عبد الله جولم النبالي وبشير أحمد العمري) ط1، ج3، ص257، دار البشائر الإسلامية - بيروت.</w:t>
      </w:r>
    </w:p>
  </w:footnote>
  <w:footnote w:id="342">
    <w:p w14:paraId="51442C50" w14:textId="4A73D3EF"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انظر: الشيرازي، إبراهيم بن علي بن يوسف، أبو إسحاق (2003)، </w:t>
      </w:r>
      <w:r w:rsidRPr="002273BC">
        <w:rPr>
          <w:rFonts w:ascii="Arabic Transparent" w:hAnsi="Arabic Transparent" w:cs="Arabic Transparent" w:hint="cs"/>
          <w:b/>
          <w:bCs/>
          <w:sz w:val="24"/>
          <w:szCs w:val="24"/>
          <w:rtl/>
          <w:lang w:bidi="ar-JO"/>
        </w:rPr>
        <w:t>اللمع في أصول الفقه</w:t>
      </w:r>
      <w:r w:rsidRPr="002273BC">
        <w:rPr>
          <w:rFonts w:ascii="Arabic Transparent" w:hAnsi="Arabic Transparent" w:cs="Arabic Transparent" w:hint="cs"/>
          <w:sz w:val="24"/>
          <w:szCs w:val="24"/>
          <w:rtl/>
          <w:lang w:bidi="ar-JO"/>
        </w:rPr>
        <w:t>، ط2، ص114 دار الكتب العلمية، بيروت، و</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السمعاني، منصور بن محمد بن عبد الجبار، أبو المظفر (1999)، </w:t>
      </w:r>
      <w:r w:rsidRPr="002273BC">
        <w:rPr>
          <w:rFonts w:ascii="Arabic Transparent" w:hAnsi="Arabic Transparent" w:cs="Arabic Transparent" w:hint="cs"/>
          <w:b/>
          <w:bCs/>
          <w:sz w:val="24"/>
          <w:szCs w:val="24"/>
          <w:rtl/>
          <w:lang w:bidi="ar-JO"/>
        </w:rPr>
        <w:t xml:space="preserve">قواطع الأدلة في الأصول، </w:t>
      </w:r>
      <w:r w:rsidRPr="002273BC">
        <w:rPr>
          <w:rFonts w:ascii="Arabic Transparent" w:hAnsi="Arabic Transparent" w:cs="Arabic Transparent" w:hint="cs"/>
          <w:sz w:val="24"/>
          <w:szCs w:val="24"/>
          <w:rtl/>
          <w:lang w:bidi="ar-JO"/>
        </w:rPr>
        <w:t xml:space="preserve">تحقيق: محمد حسن محمد حسن إسماعيل الشافعي، ط1، ج2، ص185، دار الكتب العلمية، بيروت، </w:t>
      </w:r>
      <w:r w:rsidR="003C5177" w:rsidRPr="002273BC">
        <w:rPr>
          <w:rFonts w:ascii="Arabic Transparent" w:hAnsi="Arabic Transparent" w:cs="Arabic Transparent" w:hint="cs"/>
          <w:sz w:val="24"/>
          <w:szCs w:val="24"/>
          <w:rtl/>
          <w:lang w:bidi="ar-JO"/>
        </w:rPr>
        <w:t>و</w:t>
      </w:r>
      <w:r w:rsidR="003C5177" w:rsidRPr="002273BC">
        <w:rPr>
          <w:rFonts w:ascii="Arabic Transparent" w:hAnsi="Arabic Transparent" w:cs="Arabic Transparent"/>
          <w:sz w:val="24"/>
          <w:szCs w:val="24"/>
          <w:rtl/>
          <w:lang w:bidi="ar-JO"/>
        </w:rPr>
        <w:t xml:space="preserve">ابن عاشور، محمد الطاهر (2004)، </w:t>
      </w:r>
      <w:r w:rsidR="003C5177" w:rsidRPr="001A1D36">
        <w:rPr>
          <w:rFonts w:ascii="Arabic Transparent" w:hAnsi="Arabic Transparent" w:cs="Arabic Transparent"/>
          <w:b/>
          <w:bCs/>
          <w:sz w:val="24"/>
          <w:szCs w:val="24"/>
          <w:rtl/>
          <w:lang w:bidi="ar-JO"/>
        </w:rPr>
        <w:t>مقاصد الشريعة الإسلامية</w:t>
      </w:r>
      <w:r w:rsidR="003C5177" w:rsidRPr="002273BC">
        <w:rPr>
          <w:rFonts w:ascii="Arabic Transparent" w:hAnsi="Arabic Transparent" w:cs="Arabic Transparent"/>
          <w:sz w:val="24"/>
          <w:szCs w:val="24"/>
          <w:rtl/>
          <w:lang w:bidi="ar-JO"/>
        </w:rPr>
        <w:t>، ط1، ج2، ص35</w:t>
      </w:r>
      <w:r w:rsidR="003C5177" w:rsidRPr="002273BC">
        <w:rPr>
          <w:rFonts w:ascii="Arabic Transparent" w:hAnsi="Arabic Transparent" w:cs="Arabic Transparent" w:hint="cs"/>
          <w:sz w:val="24"/>
          <w:szCs w:val="24"/>
          <w:rtl/>
          <w:lang w:bidi="ar-JO"/>
        </w:rPr>
        <w:t xml:space="preserve">، </w:t>
      </w:r>
      <w:r w:rsidR="003C5177" w:rsidRPr="002273BC">
        <w:rPr>
          <w:rFonts w:ascii="Arabic Transparent" w:hAnsi="Arabic Transparent" w:cs="Arabic Transparent"/>
          <w:sz w:val="24"/>
          <w:szCs w:val="24"/>
          <w:rtl/>
          <w:lang w:bidi="ar-JO"/>
        </w:rPr>
        <w:t>وزارة الأوقاف والشؤون الإسلامية، قطر</w:t>
      </w:r>
      <w:r w:rsidR="003C5177" w:rsidRPr="002273BC">
        <w:rPr>
          <w:rFonts w:ascii="Arabic Transparent" w:hAnsi="Arabic Transparent" w:cs="Arabic Transparent" w:hint="cs"/>
          <w:sz w:val="24"/>
          <w:szCs w:val="24"/>
          <w:rtl/>
          <w:lang w:bidi="ar-JO"/>
        </w:rPr>
        <w:t>.</w:t>
      </w:r>
      <w:r w:rsidRPr="002273BC">
        <w:rPr>
          <w:rFonts w:ascii="Arabic Transparent" w:hAnsi="Arabic Transparent" w:cs="Arabic Transparent" w:hint="cs"/>
          <w:sz w:val="24"/>
          <w:szCs w:val="24"/>
          <w:rtl/>
          <w:lang w:bidi="ar-JO"/>
        </w:rPr>
        <w:t xml:space="preserve"> </w:t>
      </w:r>
    </w:p>
  </w:footnote>
  <w:footnote w:id="343">
    <w:p w14:paraId="3F64D659" w14:textId="49D2AA54"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انظر الماوردي، علي بن محمد بن حبيب، أبو الحسن، (1999)، </w:t>
      </w:r>
      <w:r w:rsidRPr="002273BC">
        <w:rPr>
          <w:rFonts w:ascii="Arabic Transparent" w:hAnsi="Arabic Transparent" w:cs="Arabic Transparent" w:hint="cs"/>
          <w:b/>
          <w:bCs/>
          <w:sz w:val="24"/>
          <w:szCs w:val="24"/>
          <w:rtl/>
          <w:lang w:bidi="ar-JO"/>
        </w:rPr>
        <w:t xml:space="preserve">الحاوي </w:t>
      </w:r>
      <w:r w:rsidR="003C5177" w:rsidRPr="002273BC">
        <w:rPr>
          <w:rFonts w:ascii="Arabic Transparent" w:hAnsi="Arabic Transparent" w:cs="Arabic Transparent" w:hint="cs"/>
          <w:b/>
          <w:bCs/>
          <w:sz w:val="24"/>
          <w:szCs w:val="24"/>
          <w:rtl/>
          <w:lang w:bidi="ar-JO"/>
        </w:rPr>
        <w:t>الكبير</w:t>
      </w:r>
      <w:r w:rsidR="003C5177" w:rsidRPr="002273BC">
        <w:rPr>
          <w:rFonts w:ascii="Arabic Transparent" w:hAnsi="Arabic Transparent" w:cs="Arabic Transparent" w:hint="cs"/>
          <w:sz w:val="24"/>
          <w:szCs w:val="24"/>
          <w:rtl/>
          <w:lang w:bidi="ar-JO"/>
        </w:rPr>
        <w:t xml:space="preserve">، مصدر سابق، </w:t>
      </w:r>
      <w:r w:rsidR="003C5177" w:rsidRPr="002273BC">
        <w:rPr>
          <w:rFonts w:ascii="Arabic Transparent" w:hAnsi="Arabic Transparent" w:cs="Arabic Transparent"/>
          <w:sz w:val="24"/>
          <w:szCs w:val="24"/>
          <w:rtl/>
          <w:lang w:bidi="ar-JO"/>
        </w:rPr>
        <w:t>ج1، ص132</w:t>
      </w:r>
      <w:r w:rsidR="003C5177" w:rsidRPr="002273BC">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sz w:val="24"/>
          <w:szCs w:val="24"/>
          <w:rtl/>
          <w:lang w:bidi="ar-JO"/>
        </w:rPr>
        <w:t xml:space="preserve">وانظر الروياني، </w:t>
      </w:r>
      <w:r w:rsidRPr="002273BC">
        <w:rPr>
          <w:rFonts w:ascii="Arabic Transparent" w:hAnsi="Arabic Transparent" w:cs="Arabic Transparent" w:hint="cs"/>
          <w:b/>
          <w:bCs/>
          <w:sz w:val="24"/>
          <w:szCs w:val="24"/>
          <w:rtl/>
          <w:lang w:bidi="ar-JO"/>
        </w:rPr>
        <w:t xml:space="preserve">بحر المذهب في فروع المذهب </w:t>
      </w:r>
      <w:r w:rsidR="004B4B7A" w:rsidRPr="002273BC">
        <w:rPr>
          <w:rFonts w:ascii="Arabic Transparent" w:hAnsi="Arabic Transparent" w:cs="Arabic Transparent" w:hint="cs"/>
          <w:sz w:val="24"/>
          <w:szCs w:val="24"/>
          <w:rtl/>
          <w:lang w:bidi="ar-JO"/>
        </w:rPr>
        <w:t xml:space="preserve">مصدر سابق، </w:t>
      </w:r>
      <w:r w:rsidRPr="002273BC">
        <w:rPr>
          <w:rFonts w:ascii="Arabic Transparent" w:hAnsi="Arabic Transparent" w:cs="Arabic Transparent" w:hint="cs"/>
          <w:sz w:val="24"/>
          <w:szCs w:val="24"/>
          <w:rtl/>
          <w:lang w:bidi="ar-JO"/>
        </w:rPr>
        <w:t>ج11، ص144.</w:t>
      </w:r>
    </w:p>
  </w:footnote>
  <w:footnote w:id="344">
    <w:p w14:paraId="1A7FF3A5" w14:textId="421BEA0B"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الباقلاني، </w:t>
      </w:r>
      <w:r w:rsidRPr="002273BC">
        <w:rPr>
          <w:rFonts w:ascii="Arabic Transparent" w:hAnsi="Arabic Transparent" w:cs="Arabic Transparent" w:hint="cs"/>
          <w:b/>
          <w:bCs/>
          <w:sz w:val="24"/>
          <w:szCs w:val="24"/>
          <w:rtl/>
          <w:lang w:bidi="ar-JO"/>
        </w:rPr>
        <w:t>التقريب والإرشاد</w:t>
      </w:r>
      <w:r w:rsidRPr="002273BC">
        <w:rPr>
          <w:rFonts w:ascii="Arabic Transparent" w:hAnsi="Arabic Transparent" w:cs="Arabic Transparent" w:hint="cs"/>
          <w:sz w:val="24"/>
          <w:szCs w:val="24"/>
          <w:rtl/>
          <w:lang w:bidi="ar-JO"/>
        </w:rPr>
        <w:t>، مصدر سابق، ج2، ص133.</w:t>
      </w:r>
    </w:p>
  </w:footnote>
  <w:footnote w:id="345">
    <w:p w14:paraId="39B2B637" w14:textId="1F8A036B"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w:t>
      </w:r>
      <w:r w:rsidR="00704FBD">
        <w:rPr>
          <w:rFonts w:ascii="Arabic Transparent" w:hAnsi="Arabic Transparent" w:cs="Arabic Transparent" w:hint="cs"/>
          <w:sz w:val="24"/>
          <w:szCs w:val="24"/>
          <w:rtl/>
          <w:lang w:bidi="ar-JO"/>
        </w:rPr>
        <w:t xml:space="preserve">انظر: </w:t>
      </w:r>
      <w:r w:rsidRPr="002273BC">
        <w:rPr>
          <w:rFonts w:ascii="Arabic Transparent" w:hAnsi="Arabic Transparent" w:cs="Arabic Transparent" w:hint="cs"/>
          <w:sz w:val="24"/>
          <w:szCs w:val="24"/>
          <w:rtl/>
          <w:lang w:bidi="ar-JO"/>
        </w:rPr>
        <w:t>الزركشي،</w:t>
      </w:r>
      <w:r w:rsidRPr="002273BC">
        <w:rPr>
          <w:rFonts w:ascii="Arabic Transparent" w:hAnsi="Arabic Transparent" w:cs="Arabic Transparent" w:hint="cs"/>
          <w:b/>
          <w:bCs/>
          <w:sz w:val="24"/>
          <w:szCs w:val="24"/>
          <w:rtl/>
          <w:lang w:bidi="ar-JO"/>
        </w:rPr>
        <w:t xml:space="preserve"> البحر المحيط في أصول الفقه</w:t>
      </w:r>
      <w:r w:rsidRPr="002273BC">
        <w:rPr>
          <w:rFonts w:ascii="Arabic Transparent" w:hAnsi="Arabic Transparent" w:cs="Arabic Transparent" w:hint="cs"/>
          <w:sz w:val="24"/>
          <w:szCs w:val="24"/>
          <w:rtl/>
          <w:lang w:bidi="ar-JO"/>
        </w:rPr>
        <w:t>، مصدر سابق، ج7، ص168.</w:t>
      </w:r>
    </w:p>
  </w:footnote>
  <w:footnote w:id="346">
    <w:p w14:paraId="18053B71"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مصيلحي، عبد الفتاح بن محمد، (2022)، </w:t>
      </w:r>
      <w:r w:rsidRPr="002273BC">
        <w:rPr>
          <w:rFonts w:ascii="Arabic Transparent" w:hAnsi="Arabic Transparent" w:cs="Arabic Transparent" w:hint="cs"/>
          <w:b/>
          <w:bCs/>
          <w:sz w:val="24"/>
          <w:szCs w:val="24"/>
          <w:rtl/>
          <w:lang w:bidi="ar-JO"/>
        </w:rPr>
        <w:t>جامع المسائل والقواعد في علم الأصول والمقاصد</w:t>
      </w:r>
      <w:r w:rsidRPr="002273BC">
        <w:rPr>
          <w:rFonts w:ascii="Arabic Transparent" w:hAnsi="Arabic Transparent" w:cs="Arabic Transparent" w:hint="cs"/>
          <w:sz w:val="24"/>
          <w:szCs w:val="24"/>
          <w:rtl/>
          <w:lang w:bidi="ar-JO"/>
        </w:rPr>
        <w:t>، ط1، ج2، ص219، دار اللؤلؤة للنشر والتوزيع، المنصورة – مصر.</w:t>
      </w:r>
    </w:p>
  </w:footnote>
  <w:footnote w:id="347">
    <w:p w14:paraId="1BC62144" w14:textId="4D6C7F1C"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أخرجه مسلم في صحيحه، مسلم</w:t>
      </w:r>
      <w:r w:rsidR="005D7B91" w:rsidRPr="002273BC">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b/>
          <w:bCs/>
          <w:sz w:val="24"/>
          <w:szCs w:val="24"/>
          <w:rtl/>
          <w:lang w:bidi="ar-JO"/>
        </w:rPr>
        <w:t>صحيح مسلم</w:t>
      </w:r>
      <w:r w:rsidRPr="002273BC">
        <w:rPr>
          <w:rFonts w:ascii="Arabic Transparent" w:hAnsi="Arabic Transparent" w:cs="Arabic Transparent" w:hint="cs"/>
          <w:sz w:val="24"/>
          <w:szCs w:val="24"/>
          <w:rtl/>
          <w:lang w:bidi="ar-JO"/>
        </w:rPr>
        <w:t>، مصدر سابق، كتاب البيوع، باب الصرف وبيع الذهب بالورق نقداً، ج5، ص44، ر1588.</w:t>
      </w:r>
    </w:p>
  </w:footnote>
  <w:footnote w:id="348">
    <w:p w14:paraId="1AF6DE8F" w14:textId="522B0689"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001C0ADB">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الجويني، </w:t>
      </w:r>
      <w:r w:rsidRPr="002273BC">
        <w:rPr>
          <w:rFonts w:ascii="Arabic Transparent" w:hAnsi="Arabic Transparent" w:cs="Arabic Transparent" w:hint="cs"/>
          <w:b/>
          <w:bCs/>
          <w:sz w:val="24"/>
          <w:szCs w:val="24"/>
          <w:rtl/>
          <w:lang w:bidi="ar-JO"/>
        </w:rPr>
        <w:t xml:space="preserve">التلخيص في أصول الفقه، </w:t>
      </w:r>
      <w:r w:rsidRPr="002273BC">
        <w:rPr>
          <w:rFonts w:ascii="Arabic Transparent" w:hAnsi="Arabic Transparent" w:cs="Arabic Transparent" w:hint="cs"/>
          <w:sz w:val="24"/>
          <w:szCs w:val="24"/>
          <w:rtl/>
          <w:lang w:bidi="ar-JO"/>
        </w:rPr>
        <w:t xml:space="preserve">مصدر سابق، ج3، ص286، </w:t>
      </w:r>
      <w:r w:rsidR="004B4B7A" w:rsidRPr="002273BC">
        <w:rPr>
          <w:rFonts w:ascii="Arabic Transparent" w:hAnsi="Arabic Transparent" w:cs="Arabic Transparent" w:hint="cs"/>
          <w:sz w:val="24"/>
          <w:szCs w:val="24"/>
          <w:rtl/>
          <w:lang w:bidi="ar-JO"/>
        </w:rPr>
        <w:t>و</w:t>
      </w:r>
      <w:r w:rsidR="004B4B7A" w:rsidRPr="002273BC">
        <w:rPr>
          <w:rFonts w:ascii="Arabic Transparent" w:hAnsi="Arabic Transparent" w:cs="Arabic Transparent"/>
          <w:sz w:val="24"/>
          <w:szCs w:val="24"/>
          <w:rtl/>
          <w:lang w:bidi="ar-JO"/>
        </w:rPr>
        <w:t xml:space="preserve">السرخسي، محمد بن أحمد بن أبي سهل، شمس الأئمة (1973)، </w:t>
      </w:r>
      <w:r w:rsidR="004B4B7A" w:rsidRPr="002273BC">
        <w:rPr>
          <w:rFonts w:ascii="Arabic Transparent" w:hAnsi="Arabic Transparent" w:cs="Arabic Transparent"/>
          <w:b/>
          <w:bCs/>
          <w:sz w:val="24"/>
          <w:szCs w:val="24"/>
          <w:rtl/>
          <w:lang w:bidi="ar-JO"/>
        </w:rPr>
        <w:t>أصول السرخسي</w:t>
      </w:r>
      <w:r w:rsidR="004B4B7A" w:rsidRPr="002273BC">
        <w:rPr>
          <w:rFonts w:ascii="Arabic Transparent" w:hAnsi="Arabic Transparent" w:cs="Arabic Transparent"/>
          <w:sz w:val="24"/>
          <w:szCs w:val="24"/>
          <w:rtl/>
          <w:lang w:bidi="ar-JO"/>
        </w:rPr>
        <w:t xml:space="preserve"> (تمهيد الفصول في الأصول)، تحقيق: أبو الوفا الأفغاني، لجنة إحياء المعارف النعمانية، (غ.ط)</w:t>
      </w:r>
      <w:r w:rsidR="004B4B7A" w:rsidRPr="002273BC">
        <w:rPr>
          <w:rFonts w:ascii="Arabic Transparent" w:hAnsi="Arabic Transparent" w:cs="Arabic Transparent" w:hint="cs"/>
          <w:sz w:val="24"/>
          <w:szCs w:val="24"/>
          <w:rtl/>
          <w:lang w:bidi="ar-JO"/>
        </w:rPr>
        <w:t xml:space="preserve">، </w:t>
      </w:r>
      <w:r w:rsidR="004B4B7A" w:rsidRPr="002273BC">
        <w:rPr>
          <w:rFonts w:ascii="Arabic Transparent" w:hAnsi="Arabic Transparent" w:cs="Arabic Transparent"/>
          <w:sz w:val="24"/>
          <w:szCs w:val="24"/>
          <w:rtl/>
          <w:lang w:bidi="ar-JO"/>
        </w:rPr>
        <w:t>ج2، ص174</w:t>
      </w:r>
      <w:r w:rsidR="004B4B7A" w:rsidRPr="002273BC">
        <w:rPr>
          <w:rFonts w:ascii="Arabic Transparent" w:hAnsi="Arabic Transparent" w:cs="Arabic Transparent" w:hint="cs"/>
          <w:sz w:val="24"/>
          <w:szCs w:val="24"/>
          <w:rtl/>
          <w:lang w:bidi="ar-JO"/>
        </w:rPr>
        <w:t>،</w:t>
      </w:r>
      <w:r w:rsidR="004B4B7A" w:rsidRPr="002273BC">
        <w:rPr>
          <w:rFonts w:ascii="Arabic Transparent" w:hAnsi="Arabic Transparent" w:cs="Arabic Transparent"/>
          <w:sz w:val="24"/>
          <w:szCs w:val="24"/>
          <w:rtl/>
          <w:lang w:bidi="ar-JO"/>
        </w:rPr>
        <w:t xml:space="preserve"> حيدر آباد – الهند</w:t>
      </w:r>
      <w:r w:rsidRPr="002273BC">
        <w:rPr>
          <w:rFonts w:ascii="Arabic Transparent" w:hAnsi="Arabic Transparent" w:cs="Arabic Transparent" w:hint="cs"/>
          <w:sz w:val="24"/>
          <w:szCs w:val="24"/>
          <w:rtl/>
          <w:lang w:bidi="ar-JO"/>
        </w:rPr>
        <w:t xml:space="preserve">، وابن قدامة، </w:t>
      </w:r>
      <w:r w:rsidRPr="002273BC">
        <w:rPr>
          <w:rFonts w:ascii="Arabic Transparent" w:hAnsi="Arabic Transparent" w:cs="Arabic Transparent" w:hint="cs"/>
          <w:b/>
          <w:bCs/>
          <w:sz w:val="24"/>
          <w:szCs w:val="24"/>
          <w:rtl/>
          <w:lang w:bidi="ar-JO"/>
        </w:rPr>
        <w:t>روضة الناظر وجنة المناظر</w:t>
      </w:r>
      <w:r w:rsidRPr="002273BC">
        <w:rPr>
          <w:rFonts w:ascii="Arabic Transparent" w:hAnsi="Arabic Transparent" w:cs="Arabic Transparent" w:hint="cs"/>
          <w:sz w:val="24"/>
          <w:szCs w:val="24"/>
          <w:rtl/>
          <w:lang w:bidi="ar-JO"/>
        </w:rPr>
        <w:t xml:space="preserve">، ج2، ص262، والطوفي، </w:t>
      </w:r>
      <w:r w:rsidRPr="002273BC">
        <w:rPr>
          <w:rFonts w:ascii="Arabic Transparent" w:hAnsi="Arabic Transparent" w:cs="Arabic Transparent" w:hint="cs"/>
          <w:b/>
          <w:bCs/>
          <w:sz w:val="24"/>
          <w:szCs w:val="24"/>
          <w:rtl/>
          <w:lang w:bidi="ar-JO"/>
        </w:rPr>
        <w:t>شرح مختصر الروضة</w:t>
      </w:r>
      <w:r w:rsidRPr="002273BC">
        <w:rPr>
          <w:rFonts w:ascii="Arabic Transparent" w:hAnsi="Arabic Transparent" w:cs="Arabic Transparent" w:hint="cs"/>
          <w:sz w:val="24"/>
          <w:szCs w:val="24"/>
          <w:rtl/>
          <w:lang w:bidi="ar-JO"/>
        </w:rPr>
        <w:t xml:space="preserve">، مصدر سابق، ج3، </w:t>
      </w:r>
      <w:r w:rsidR="001A1D36">
        <w:rPr>
          <w:rFonts w:ascii="Arabic Transparent" w:hAnsi="Arabic Transparent" w:cs="Arabic Transparent" w:hint="cs"/>
          <w:sz w:val="24"/>
          <w:szCs w:val="24"/>
          <w:rtl/>
          <w:lang w:bidi="ar-JO"/>
        </w:rPr>
        <w:t>ص</w:t>
      </w:r>
      <w:r w:rsidRPr="002273BC">
        <w:rPr>
          <w:rFonts w:ascii="Arabic Transparent" w:hAnsi="Arabic Transparent" w:cs="Arabic Transparent" w:hint="cs"/>
          <w:sz w:val="24"/>
          <w:szCs w:val="24"/>
          <w:rtl/>
          <w:lang w:bidi="ar-JO"/>
        </w:rPr>
        <w:t xml:space="preserve">318، والشاطبي، </w:t>
      </w:r>
      <w:r w:rsidRPr="002273BC">
        <w:rPr>
          <w:rFonts w:ascii="Arabic Transparent" w:hAnsi="Arabic Transparent" w:cs="Arabic Transparent" w:hint="cs"/>
          <w:b/>
          <w:bCs/>
          <w:sz w:val="24"/>
          <w:szCs w:val="24"/>
          <w:rtl/>
          <w:lang w:bidi="ar-JO"/>
        </w:rPr>
        <w:t>الموافقات</w:t>
      </w:r>
      <w:r w:rsidRPr="002273BC">
        <w:rPr>
          <w:rFonts w:ascii="Arabic Transparent" w:hAnsi="Arabic Transparent" w:cs="Arabic Transparent" w:hint="cs"/>
          <w:sz w:val="24"/>
          <w:szCs w:val="24"/>
          <w:rtl/>
          <w:lang w:bidi="ar-JO"/>
        </w:rPr>
        <w:t>، مصدر سابق، ج4، ص16.</w:t>
      </w:r>
    </w:p>
  </w:footnote>
  <w:footnote w:id="349">
    <w:p w14:paraId="0BC4D7EA"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انظر: الغزالي، </w:t>
      </w:r>
      <w:r w:rsidRPr="002273BC">
        <w:rPr>
          <w:rFonts w:ascii="Arabic Transparent" w:hAnsi="Arabic Transparent" w:cs="Arabic Transparent" w:hint="cs"/>
          <w:b/>
          <w:bCs/>
          <w:sz w:val="24"/>
          <w:szCs w:val="24"/>
          <w:rtl/>
          <w:lang w:bidi="ar-JO"/>
        </w:rPr>
        <w:t>شفاء الغليل</w:t>
      </w:r>
      <w:r w:rsidRPr="002273BC">
        <w:rPr>
          <w:rFonts w:ascii="Arabic Transparent" w:hAnsi="Arabic Transparent" w:cs="Arabic Transparent" w:hint="cs"/>
          <w:sz w:val="24"/>
          <w:szCs w:val="24"/>
          <w:rtl/>
          <w:lang w:bidi="ar-JO"/>
        </w:rPr>
        <w:t xml:space="preserve">، مصدر سابق، ص457، و الجمل، سليمان بن عمر بن منصور العجيلي الأزهري (د.ت)، </w:t>
      </w:r>
      <w:r w:rsidRPr="002273BC">
        <w:rPr>
          <w:rFonts w:ascii="Arabic Transparent" w:hAnsi="Arabic Transparent" w:cs="Arabic Transparent" w:hint="cs"/>
          <w:b/>
          <w:bCs/>
          <w:sz w:val="24"/>
          <w:szCs w:val="24"/>
          <w:rtl/>
          <w:lang w:bidi="ar-JO"/>
        </w:rPr>
        <w:t>فتوحات الوهاب بتوضيح شرح منهج الطلاب المعروف بحاشية الجمل</w:t>
      </w:r>
      <w:r w:rsidRPr="002273BC">
        <w:rPr>
          <w:rFonts w:ascii="Arabic Transparent" w:hAnsi="Arabic Transparent" w:cs="Arabic Transparent" w:hint="cs"/>
          <w:sz w:val="24"/>
          <w:szCs w:val="24"/>
          <w:rtl/>
          <w:lang w:bidi="ar-JO"/>
        </w:rPr>
        <w:t xml:space="preserve">، دار الفكر، بيروت، وخلاف، </w:t>
      </w:r>
      <w:r w:rsidRPr="001C0ADB">
        <w:rPr>
          <w:rFonts w:ascii="Arabic Transparent" w:hAnsi="Arabic Transparent" w:cs="Arabic Transparent" w:hint="cs"/>
          <w:b/>
          <w:bCs/>
          <w:sz w:val="24"/>
          <w:szCs w:val="24"/>
          <w:rtl/>
          <w:lang w:bidi="ar-JO"/>
        </w:rPr>
        <w:t>علم أصول الفقه</w:t>
      </w:r>
      <w:r w:rsidRPr="002273BC">
        <w:rPr>
          <w:rFonts w:ascii="Arabic Transparent" w:hAnsi="Arabic Transparent" w:cs="Arabic Transparent" w:hint="cs"/>
          <w:sz w:val="24"/>
          <w:szCs w:val="24"/>
          <w:rtl/>
          <w:lang w:bidi="ar-JO"/>
        </w:rPr>
        <w:t>، مصدر سابق، ص69.</w:t>
      </w:r>
    </w:p>
  </w:footnote>
  <w:footnote w:id="350">
    <w:p w14:paraId="1D3E3557" w14:textId="6E941E69"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انظر المصدر السابق ذاته، ص457</w:t>
      </w:r>
      <w:r w:rsidR="004B4B7A" w:rsidRPr="002273BC">
        <w:rPr>
          <w:rFonts w:ascii="Arabic Transparent" w:hAnsi="Arabic Transparent" w:cs="Arabic Transparent" w:hint="cs"/>
          <w:sz w:val="24"/>
          <w:szCs w:val="24"/>
          <w:rtl/>
          <w:lang w:bidi="ar-JO"/>
        </w:rPr>
        <w:t>.</w:t>
      </w:r>
    </w:p>
  </w:footnote>
  <w:footnote w:id="351">
    <w:p w14:paraId="76910EDD" w14:textId="58D9EAB9"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انظر: الزركشي، </w:t>
      </w:r>
      <w:r w:rsidRPr="002273BC">
        <w:rPr>
          <w:rFonts w:ascii="Arabic Transparent" w:hAnsi="Arabic Transparent" w:cs="Arabic Transparent" w:hint="cs"/>
          <w:b/>
          <w:bCs/>
          <w:sz w:val="24"/>
          <w:szCs w:val="24"/>
          <w:rtl/>
          <w:lang w:bidi="ar-JO"/>
        </w:rPr>
        <w:t>البحر المحيط في أصول الفقه</w:t>
      </w:r>
      <w:r w:rsidRPr="002273BC">
        <w:rPr>
          <w:rFonts w:ascii="Arabic Transparent" w:hAnsi="Arabic Transparent" w:cs="Arabic Transparent" w:hint="cs"/>
          <w:sz w:val="24"/>
          <w:szCs w:val="24"/>
          <w:rtl/>
          <w:lang w:bidi="ar-JO"/>
        </w:rPr>
        <w:t>، مصدر سابق، ج7</w:t>
      </w:r>
      <w:r w:rsidR="00A756BE">
        <w:rPr>
          <w:rFonts w:ascii="Arabic Transparent" w:hAnsi="Arabic Transparent" w:cs="Arabic Transparent" w:hint="cs"/>
          <w:sz w:val="24"/>
          <w:szCs w:val="24"/>
          <w:rtl/>
          <w:lang w:bidi="ar-JO"/>
        </w:rPr>
        <w:t>،</w:t>
      </w:r>
      <w:r w:rsidRPr="002273BC">
        <w:rPr>
          <w:rFonts w:ascii="Arabic Transparent" w:hAnsi="Arabic Transparent" w:cs="Arabic Transparent" w:hint="cs"/>
          <w:sz w:val="24"/>
          <w:szCs w:val="24"/>
          <w:rtl/>
          <w:lang w:bidi="ar-JO"/>
        </w:rPr>
        <w:t xml:space="preserve"> ص167</w:t>
      </w:r>
      <w:r w:rsidR="00A756BE">
        <w:rPr>
          <w:rFonts w:ascii="Arabic Transparent" w:hAnsi="Arabic Transparent" w:cs="Arabic Transparent" w:hint="cs"/>
          <w:sz w:val="24"/>
          <w:szCs w:val="24"/>
          <w:rtl/>
          <w:lang w:bidi="ar-JO"/>
        </w:rPr>
        <w:t>.</w:t>
      </w:r>
    </w:p>
  </w:footnote>
  <w:footnote w:id="352">
    <w:p w14:paraId="35F42055"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انظر: الشوكاني</w:t>
      </w:r>
      <w:r w:rsidRPr="002273BC">
        <w:rPr>
          <w:rFonts w:ascii="Arabic Transparent" w:hAnsi="Arabic Transparent" w:cs="Arabic Transparent" w:hint="cs"/>
          <w:b/>
          <w:bCs/>
          <w:sz w:val="24"/>
          <w:szCs w:val="24"/>
          <w:rtl/>
          <w:lang w:bidi="ar-JO"/>
        </w:rPr>
        <w:t>، إرشاد الفحول</w:t>
      </w:r>
      <w:r w:rsidRPr="002273BC">
        <w:rPr>
          <w:rFonts w:ascii="Arabic Transparent" w:hAnsi="Arabic Transparent" w:cs="Arabic Transparent" w:hint="cs"/>
          <w:sz w:val="24"/>
          <w:szCs w:val="24"/>
          <w:rtl/>
          <w:lang w:bidi="ar-JO"/>
        </w:rPr>
        <w:t>، مصدر سابق، ج2، ص112.</w:t>
      </w:r>
    </w:p>
  </w:footnote>
  <w:footnote w:id="353">
    <w:p w14:paraId="71893405" w14:textId="70DEF365"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انظر: السلمي،</w:t>
      </w:r>
      <w:r w:rsidR="004B4B7A" w:rsidRPr="002273BC">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b/>
          <w:bCs/>
          <w:sz w:val="24"/>
          <w:szCs w:val="24"/>
          <w:rtl/>
          <w:lang w:bidi="ar-JO"/>
        </w:rPr>
        <w:t>أصول الفقه الذي لا يسع الفقيه جهله</w:t>
      </w:r>
      <w:r w:rsidRPr="002273BC">
        <w:rPr>
          <w:rFonts w:ascii="Arabic Transparent" w:hAnsi="Arabic Transparent" w:cs="Arabic Transparent" w:hint="cs"/>
          <w:sz w:val="24"/>
          <w:szCs w:val="24"/>
          <w:rtl/>
          <w:lang w:bidi="ar-JO"/>
        </w:rPr>
        <w:t xml:space="preserve">، </w:t>
      </w:r>
      <w:r w:rsidR="004B4B7A" w:rsidRPr="002273BC">
        <w:rPr>
          <w:rFonts w:ascii="Arabic Transparent" w:hAnsi="Arabic Transparent" w:cs="Arabic Transparent" w:hint="cs"/>
          <w:sz w:val="24"/>
          <w:szCs w:val="24"/>
          <w:rtl/>
          <w:lang w:bidi="ar-JO"/>
        </w:rPr>
        <w:t>ص34</w:t>
      </w:r>
      <w:r w:rsidRPr="002273BC">
        <w:rPr>
          <w:rFonts w:ascii="Arabic Transparent" w:hAnsi="Arabic Transparent" w:cs="Arabic Transparent" w:hint="cs"/>
          <w:sz w:val="24"/>
          <w:szCs w:val="24"/>
          <w:rtl/>
          <w:lang w:bidi="ar-JO"/>
        </w:rPr>
        <w:t>.</w:t>
      </w:r>
    </w:p>
  </w:footnote>
  <w:footnote w:id="354">
    <w:p w14:paraId="379D872C"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انظر: ابن القيم، </w:t>
      </w:r>
      <w:r w:rsidRPr="002273BC">
        <w:rPr>
          <w:rFonts w:ascii="Arabic Transparent" w:hAnsi="Arabic Transparent" w:cs="Arabic Transparent" w:hint="cs"/>
          <w:b/>
          <w:bCs/>
          <w:sz w:val="24"/>
          <w:szCs w:val="24"/>
          <w:rtl/>
          <w:lang w:bidi="ar-JO"/>
        </w:rPr>
        <w:t>إعلام الوقعين عن رب العالمين،</w:t>
      </w:r>
      <w:r w:rsidRPr="002273BC">
        <w:rPr>
          <w:rFonts w:ascii="Arabic Transparent" w:hAnsi="Arabic Transparent" w:cs="Arabic Transparent" w:hint="cs"/>
          <w:sz w:val="24"/>
          <w:szCs w:val="24"/>
          <w:rtl/>
          <w:lang w:bidi="ar-JO"/>
        </w:rPr>
        <w:t xml:space="preserve"> مصدر سابق، ج1، ص69.</w:t>
      </w:r>
    </w:p>
  </w:footnote>
  <w:footnote w:id="355">
    <w:p w14:paraId="3157776E"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الشاطبي، </w:t>
      </w:r>
      <w:r w:rsidRPr="002273BC">
        <w:rPr>
          <w:rFonts w:ascii="Arabic Transparent" w:hAnsi="Arabic Transparent" w:cs="Arabic Transparent" w:hint="cs"/>
          <w:b/>
          <w:bCs/>
          <w:sz w:val="24"/>
          <w:szCs w:val="24"/>
          <w:rtl/>
          <w:lang w:bidi="ar-JO"/>
        </w:rPr>
        <w:t>الموافقات،</w:t>
      </w:r>
      <w:r w:rsidRPr="002273BC">
        <w:rPr>
          <w:rFonts w:ascii="Arabic Transparent" w:hAnsi="Arabic Transparent" w:cs="Arabic Transparent" w:hint="cs"/>
          <w:sz w:val="24"/>
          <w:szCs w:val="24"/>
          <w:rtl/>
          <w:lang w:bidi="ar-JO"/>
        </w:rPr>
        <w:t xml:space="preserve"> مصدر سابق، ج1، ص62.</w:t>
      </w:r>
    </w:p>
  </w:footnote>
  <w:footnote w:id="356">
    <w:p w14:paraId="038D85A4" w14:textId="57A688B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انظر: الغزالي: </w:t>
      </w:r>
      <w:r w:rsidRPr="002273BC">
        <w:rPr>
          <w:rFonts w:ascii="Arabic Transparent" w:hAnsi="Arabic Transparent" w:cs="Arabic Transparent" w:hint="cs"/>
          <w:b/>
          <w:bCs/>
          <w:sz w:val="24"/>
          <w:szCs w:val="24"/>
          <w:rtl/>
          <w:lang w:bidi="ar-JO"/>
        </w:rPr>
        <w:t>شفاء الغليل</w:t>
      </w:r>
      <w:r w:rsidRPr="002273BC">
        <w:rPr>
          <w:rFonts w:ascii="Arabic Transparent" w:hAnsi="Arabic Transparent" w:cs="Arabic Transparent" w:hint="cs"/>
          <w:sz w:val="24"/>
          <w:szCs w:val="24"/>
          <w:rtl/>
          <w:lang w:bidi="ar-JO"/>
        </w:rPr>
        <w:t xml:space="preserve">، مصدر سابق، </w:t>
      </w:r>
      <w:r w:rsidR="001A1D36">
        <w:rPr>
          <w:rFonts w:ascii="Arabic Transparent" w:hAnsi="Arabic Transparent" w:cs="Arabic Transparent" w:hint="cs"/>
          <w:sz w:val="24"/>
          <w:szCs w:val="24"/>
          <w:rtl/>
          <w:lang w:bidi="ar-JO"/>
        </w:rPr>
        <w:t>ص</w:t>
      </w:r>
      <w:r w:rsidRPr="002273BC">
        <w:rPr>
          <w:rFonts w:ascii="Arabic Transparent" w:hAnsi="Arabic Transparent" w:cs="Arabic Transparent" w:hint="cs"/>
          <w:sz w:val="24"/>
          <w:szCs w:val="24"/>
          <w:rtl/>
          <w:lang w:bidi="ar-JO"/>
        </w:rPr>
        <w:t>436- 439.</w:t>
      </w:r>
    </w:p>
  </w:footnote>
  <w:footnote w:id="357">
    <w:p w14:paraId="674C8D69" w14:textId="527BFB76"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أخرجه البيهقي في المعرفة، أحمد بن الحسين بن علي بن موسى الخُسْرَوْجِردي الخراساني، أبو بكر (1991)، </w:t>
      </w:r>
      <w:r w:rsidRPr="002273BC">
        <w:rPr>
          <w:rFonts w:ascii="Arabic Transparent" w:hAnsi="Arabic Transparent" w:cs="Arabic Transparent" w:hint="cs"/>
          <w:b/>
          <w:bCs/>
          <w:sz w:val="24"/>
          <w:szCs w:val="24"/>
          <w:rtl/>
          <w:lang w:bidi="ar-JO"/>
        </w:rPr>
        <w:t>معرفة السنن والآثار</w:t>
      </w:r>
      <w:r w:rsidRPr="002273BC">
        <w:rPr>
          <w:rFonts w:ascii="Arabic Transparent" w:hAnsi="Arabic Transparent" w:cs="Arabic Transparent" w:hint="cs"/>
          <w:sz w:val="24"/>
          <w:szCs w:val="24"/>
          <w:rtl/>
          <w:lang w:bidi="ar-JO"/>
        </w:rPr>
        <w:t>، تحقيق: عبد المعطي أمين قلعجي، كتاب: السرقة، باب: ما يجب فيه القطع، النباش، ط1، ج12، ص409، جامعة الدراسات الإسلامية، كراتشي- باكستان، وأخرجه ابن أبي شيبة في المصنف، في رواية: عَنْ إِبْرَاهِيمَ، وَالشَّعْبِيِّ، قَالا: «يُقْطَعُ ‌سَارِقُ ‌أَمْوَاتِنَا، كَمَا يُقْطَعُ سَارِقُ أَحْيَائِنَا»</w:t>
      </w:r>
      <w:r w:rsidR="004B4B7A" w:rsidRPr="002273BC">
        <w:rPr>
          <w:rFonts w:ascii="Arabic Transparent" w:hAnsi="Arabic Transparent" w:cs="Arabic Transparent" w:hint="cs"/>
          <w:sz w:val="24"/>
          <w:szCs w:val="24"/>
          <w:rtl/>
          <w:lang w:bidi="ar-JO"/>
        </w:rPr>
        <w:t>،</w:t>
      </w:r>
      <w:r w:rsidRPr="002273BC">
        <w:rPr>
          <w:rFonts w:ascii="Arabic Transparent" w:hAnsi="Arabic Transparent" w:cs="Arabic Transparent" w:hint="cs"/>
          <w:sz w:val="24"/>
          <w:szCs w:val="24"/>
          <w:rtl/>
          <w:lang w:bidi="ar-JO"/>
        </w:rPr>
        <w:t xml:space="preserve"> </w:t>
      </w:r>
      <w:r w:rsidR="004B4B7A" w:rsidRPr="002273BC">
        <w:rPr>
          <w:rFonts w:ascii="Arabic Transparent" w:hAnsi="Arabic Transparent" w:cs="Arabic Transparent" w:hint="cs"/>
          <w:sz w:val="24"/>
          <w:szCs w:val="24"/>
          <w:rtl/>
          <w:lang w:bidi="ar-JO"/>
        </w:rPr>
        <w:t>و</w:t>
      </w:r>
      <w:r w:rsidRPr="002273BC">
        <w:rPr>
          <w:rFonts w:ascii="Arabic Transparent" w:hAnsi="Arabic Transparent" w:cs="Arabic Transparent" w:hint="cs"/>
          <w:sz w:val="24"/>
          <w:szCs w:val="24"/>
          <w:rtl/>
          <w:lang w:bidi="ar-JO"/>
        </w:rPr>
        <w:t xml:space="preserve">ابن أبي شيبة، عبد الله بن محمد بن أبي شيبة الكوفي العبسي، أبو بكر (1989)، </w:t>
      </w:r>
      <w:r w:rsidRPr="002273BC">
        <w:rPr>
          <w:rFonts w:ascii="Arabic Transparent" w:hAnsi="Arabic Transparent" w:cs="Arabic Transparent" w:hint="cs"/>
          <w:b/>
          <w:bCs/>
          <w:sz w:val="24"/>
          <w:szCs w:val="24"/>
          <w:rtl/>
          <w:lang w:bidi="ar-JO"/>
        </w:rPr>
        <w:t>المصنف في الأحاديث والآثار</w:t>
      </w:r>
      <w:r w:rsidRPr="002273BC">
        <w:rPr>
          <w:rFonts w:ascii="Arabic Transparent" w:hAnsi="Arabic Transparent" w:cs="Arabic Transparent" w:hint="cs"/>
          <w:sz w:val="24"/>
          <w:szCs w:val="24"/>
          <w:rtl/>
          <w:lang w:bidi="ar-JO"/>
        </w:rPr>
        <w:t>، تقديم وضبط: كمال يوسف الحوت، ط1، دار التاج، لبنان؛ مكتبة الرشد، الرياض؛ مكتبة العلوم والحكم، المدينة المنورة، والحكم على الحديث: ضعيف</w:t>
      </w:r>
      <w:r w:rsidR="004B4B7A" w:rsidRPr="002273BC">
        <w:rPr>
          <w:rFonts w:ascii="Arabic Transparent" w:hAnsi="Arabic Transparent" w:cs="Arabic Transparent" w:hint="cs"/>
          <w:sz w:val="24"/>
          <w:szCs w:val="24"/>
          <w:rtl/>
          <w:lang w:bidi="ar-JO"/>
        </w:rPr>
        <w:t>،</w:t>
      </w:r>
      <w:r w:rsidRPr="002273BC">
        <w:rPr>
          <w:rFonts w:ascii="Arabic Transparent" w:hAnsi="Arabic Transparent" w:cs="Arabic Transparent" w:hint="cs"/>
          <w:sz w:val="24"/>
          <w:szCs w:val="24"/>
          <w:rtl/>
          <w:lang w:bidi="ar-JO"/>
        </w:rPr>
        <w:t xml:space="preserve"> الزيعلي، </w:t>
      </w:r>
      <w:r w:rsidRPr="002273BC">
        <w:rPr>
          <w:rFonts w:ascii="Arabic Transparent" w:hAnsi="Arabic Transparent" w:cs="Arabic Transparent" w:hint="cs"/>
          <w:b/>
          <w:bCs/>
          <w:sz w:val="24"/>
          <w:szCs w:val="24"/>
          <w:rtl/>
          <w:lang w:bidi="ar-JO"/>
        </w:rPr>
        <w:t>نصب الراية</w:t>
      </w:r>
      <w:r w:rsidRPr="002273BC">
        <w:rPr>
          <w:rFonts w:ascii="Arabic Transparent" w:hAnsi="Arabic Transparent" w:cs="Arabic Transparent" w:hint="cs"/>
          <w:sz w:val="24"/>
          <w:szCs w:val="24"/>
          <w:rtl/>
          <w:lang w:bidi="ar-JO"/>
        </w:rPr>
        <w:t>، مصدر سابق، ج3، ص367.</w:t>
      </w:r>
    </w:p>
  </w:footnote>
  <w:footnote w:id="358">
    <w:p w14:paraId="7ED9F51E" w14:textId="2563A6A1"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أخرجه الترمذي في السنن،</w:t>
      </w:r>
      <w:r w:rsidR="004B4B7A" w:rsidRPr="002273BC">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b/>
          <w:bCs/>
          <w:sz w:val="24"/>
          <w:szCs w:val="24"/>
          <w:rtl/>
          <w:lang w:bidi="ar-JO"/>
        </w:rPr>
        <w:t>سنن الترمذي</w:t>
      </w:r>
      <w:r w:rsidRPr="002273BC">
        <w:rPr>
          <w:rFonts w:ascii="Arabic Transparent" w:hAnsi="Arabic Transparent" w:cs="Arabic Transparent" w:hint="cs"/>
          <w:sz w:val="24"/>
          <w:szCs w:val="24"/>
          <w:rtl/>
          <w:lang w:bidi="ar-JO"/>
        </w:rPr>
        <w:t xml:space="preserve">، </w:t>
      </w:r>
      <w:r w:rsidR="004B4B7A" w:rsidRPr="002273BC">
        <w:rPr>
          <w:rFonts w:ascii="Arabic Transparent" w:hAnsi="Arabic Transparent" w:cs="Arabic Transparent" w:hint="cs"/>
          <w:sz w:val="24"/>
          <w:szCs w:val="24"/>
          <w:rtl/>
          <w:lang w:bidi="ar-JO"/>
        </w:rPr>
        <w:t>مصدر سابق</w:t>
      </w:r>
      <w:r w:rsidRPr="002273BC">
        <w:rPr>
          <w:rFonts w:ascii="Arabic Transparent" w:hAnsi="Arabic Transparent" w:cs="Arabic Transparent" w:hint="cs"/>
          <w:sz w:val="24"/>
          <w:szCs w:val="24"/>
          <w:rtl/>
          <w:lang w:bidi="ar-JO"/>
        </w:rPr>
        <w:t>، أبواب الطهارة، باب: ما جاء في سؤر الهرة، ط2، ر92، ج1، ص153، وحكم عليه الترمذي بعد إيراده في الباب فقال: هذا حديث حسن صحيح.</w:t>
      </w:r>
    </w:p>
  </w:footnote>
  <w:footnote w:id="359">
    <w:p w14:paraId="0A9D8965"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الغزالي، </w:t>
      </w:r>
      <w:r w:rsidRPr="002273BC">
        <w:rPr>
          <w:rFonts w:ascii="Arabic Transparent" w:hAnsi="Arabic Transparent" w:cs="Arabic Transparent" w:hint="cs"/>
          <w:b/>
          <w:bCs/>
          <w:sz w:val="24"/>
          <w:szCs w:val="24"/>
          <w:rtl/>
          <w:lang w:bidi="ar-JO"/>
        </w:rPr>
        <w:t>شفاء الغليل،</w:t>
      </w:r>
      <w:r w:rsidRPr="002273BC">
        <w:rPr>
          <w:rFonts w:ascii="Arabic Transparent" w:hAnsi="Arabic Transparent" w:cs="Arabic Transparent" w:hint="cs"/>
          <w:sz w:val="24"/>
          <w:szCs w:val="24"/>
          <w:rtl/>
          <w:lang w:bidi="ar-JO"/>
        </w:rPr>
        <w:t xml:space="preserve"> مصدر سابق، ص437.</w:t>
      </w:r>
    </w:p>
  </w:footnote>
  <w:footnote w:id="360">
    <w:p w14:paraId="58ACA728" w14:textId="113FFDFF"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00A756BE">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b/>
          <w:bCs/>
          <w:sz w:val="24"/>
          <w:szCs w:val="24"/>
          <w:rtl/>
          <w:lang w:bidi="ar-JO"/>
        </w:rPr>
        <w:t>المصدر السابق</w:t>
      </w:r>
      <w:r w:rsidRPr="002273BC">
        <w:rPr>
          <w:rFonts w:ascii="Arabic Transparent" w:hAnsi="Arabic Transparent" w:cs="Arabic Transparent" w:hint="cs"/>
          <w:sz w:val="24"/>
          <w:szCs w:val="24"/>
          <w:rtl/>
          <w:lang w:bidi="ar-JO"/>
        </w:rPr>
        <w:t xml:space="preserve"> ذاته، ص439.</w:t>
      </w:r>
    </w:p>
  </w:footnote>
  <w:footnote w:id="361">
    <w:p w14:paraId="72957D99" w14:textId="771FFCD0"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المرغيناني، </w:t>
      </w:r>
      <w:r w:rsidRPr="002273BC">
        <w:rPr>
          <w:rFonts w:ascii="Arabic Transparent" w:hAnsi="Arabic Transparent" w:cs="Arabic Transparent" w:hint="cs"/>
          <w:b/>
          <w:bCs/>
          <w:sz w:val="24"/>
          <w:szCs w:val="24"/>
          <w:rtl/>
          <w:lang w:bidi="ar-JO"/>
        </w:rPr>
        <w:t>الهداية في شرح بداية المبتدي</w:t>
      </w:r>
      <w:r w:rsidRPr="002273BC">
        <w:rPr>
          <w:rFonts w:ascii="Arabic Transparent" w:hAnsi="Arabic Transparent" w:cs="Arabic Transparent" w:hint="cs"/>
          <w:sz w:val="24"/>
          <w:szCs w:val="24"/>
          <w:rtl/>
          <w:lang w:bidi="ar-JO"/>
        </w:rPr>
        <w:t xml:space="preserve">، </w:t>
      </w:r>
      <w:r w:rsidR="004B4B7A" w:rsidRPr="002273BC">
        <w:rPr>
          <w:rFonts w:ascii="Arabic Transparent" w:hAnsi="Arabic Transparent" w:cs="Arabic Transparent" w:hint="cs"/>
          <w:sz w:val="24"/>
          <w:szCs w:val="24"/>
          <w:rtl/>
          <w:lang w:bidi="ar-JO"/>
        </w:rPr>
        <w:t>مصدر سابق</w:t>
      </w:r>
      <w:r w:rsidRPr="002273BC">
        <w:rPr>
          <w:rFonts w:ascii="Arabic Transparent" w:hAnsi="Arabic Transparent" w:cs="Arabic Transparent" w:hint="cs"/>
          <w:sz w:val="24"/>
          <w:szCs w:val="24"/>
          <w:rtl/>
          <w:lang w:bidi="ar-JO"/>
        </w:rPr>
        <w:t>، ج4، ص303</w:t>
      </w:r>
      <w:r w:rsidR="004B4B7A" w:rsidRPr="002273BC">
        <w:rPr>
          <w:rFonts w:ascii="Arabic Transparent" w:hAnsi="Arabic Transparent" w:cs="Arabic Transparent" w:hint="cs"/>
          <w:sz w:val="24"/>
          <w:szCs w:val="24"/>
          <w:rtl/>
          <w:lang w:bidi="ar-JO"/>
        </w:rPr>
        <w:t>.</w:t>
      </w:r>
    </w:p>
  </w:footnote>
  <w:footnote w:id="362">
    <w:p w14:paraId="6C004F24" w14:textId="77777777" w:rsidR="004E383D" w:rsidRPr="002273BC" w:rsidRDefault="004E383D" w:rsidP="00EA3738">
      <w:pPr>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الكاساني، </w:t>
      </w:r>
      <w:r w:rsidRPr="002273BC">
        <w:rPr>
          <w:rFonts w:ascii="Arabic Transparent" w:hAnsi="Arabic Transparent" w:cs="Arabic Transparent" w:hint="cs"/>
          <w:b/>
          <w:bCs/>
          <w:sz w:val="24"/>
          <w:szCs w:val="24"/>
          <w:rtl/>
          <w:lang w:bidi="ar-JO"/>
        </w:rPr>
        <w:t>بدائع الصنائع في ترتيب الشرائع</w:t>
      </w:r>
      <w:r w:rsidRPr="002273BC">
        <w:rPr>
          <w:rFonts w:ascii="Arabic Transparent" w:hAnsi="Arabic Transparent" w:cs="Arabic Transparent" w:hint="cs"/>
          <w:sz w:val="24"/>
          <w:szCs w:val="24"/>
          <w:rtl/>
          <w:lang w:bidi="ar-JO"/>
        </w:rPr>
        <w:t>، مصدر سابق، ج7، ص145، والمرغيناني</w:t>
      </w:r>
      <w:r w:rsidRPr="002273BC">
        <w:rPr>
          <w:rFonts w:ascii="Arabic Transparent" w:hAnsi="Arabic Transparent" w:cs="Arabic Transparent" w:hint="cs"/>
          <w:b/>
          <w:bCs/>
          <w:sz w:val="24"/>
          <w:szCs w:val="24"/>
          <w:rtl/>
          <w:lang w:bidi="ar-JO"/>
        </w:rPr>
        <w:t>، الهداية في شرح بداية المبتدي</w:t>
      </w:r>
      <w:r w:rsidRPr="002273BC">
        <w:rPr>
          <w:rFonts w:ascii="Arabic Transparent" w:hAnsi="Arabic Transparent" w:cs="Arabic Transparent" w:hint="cs"/>
          <w:sz w:val="24"/>
          <w:szCs w:val="24"/>
          <w:rtl/>
          <w:lang w:bidi="ar-JO"/>
        </w:rPr>
        <w:t xml:space="preserve">، مصدر سابق، ج4، ص303، </w:t>
      </w:r>
      <w:r w:rsidRPr="002273BC">
        <w:rPr>
          <w:rFonts w:ascii="Arabic Transparent" w:hAnsi="Arabic Transparent" w:cs="Arabic Transparent" w:hint="cs"/>
          <w:sz w:val="24"/>
          <w:szCs w:val="24"/>
          <w:rtl/>
        </w:rPr>
        <w:t xml:space="preserve">العيني، محمود بن أحمد بن موسى، بدر الدين (2000). </w:t>
      </w:r>
      <w:r w:rsidRPr="002273BC">
        <w:rPr>
          <w:rFonts w:ascii="Arabic Transparent" w:hAnsi="Arabic Transparent" w:cs="Arabic Transparent" w:hint="cs"/>
          <w:b/>
          <w:bCs/>
          <w:sz w:val="24"/>
          <w:szCs w:val="24"/>
          <w:rtl/>
        </w:rPr>
        <w:t>البناية شرح الهداية</w:t>
      </w:r>
      <w:r w:rsidRPr="002273BC">
        <w:rPr>
          <w:rFonts w:ascii="Arabic Transparent" w:hAnsi="Arabic Transparent" w:cs="Arabic Transparent" w:hint="cs"/>
          <w:sz w:val="24"/>
          <w:szCs w:val="24"/>
          <w:rtl/>
        </w:rPr>
        <w:t>، تحقيق: أيمن صالح شعبان، ط1، ج11، ص239. دار الكتب العلمية، بيروت - لبنان</w:t>
      </w:r>
    </w:p>
  </w:footnote>
  <w:footnote w:id="363">
    <w:p w14:paraId="62E8FBF5" w14:textId="77777777" w:rsidR="004E383D" w:rsidRPr="002273BC" w:rsidRDefault="004E383D" w:rsidP="00EA3738">
      <w:pPr>
        <w:spacing w:line="360" w:lineRule="auto"/>
        <w:jc w:val="both"/>
        <w:rPr>
          <w:rFonts w:ascii="Arabic Transparent" w:hAnsi="Arabic Transparent" w:cs="Arabic Transparent"/>
          <w:sz w:val="24"/>
          <w:szCs w:val="24"/>
          <w:rtl/>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السمرقندي، علاء الدين (1994). </w:t>
      </w:r>
      <w:r w:rsidRPr="002273BC">
        <w:rPr>
          <w:rFonts w:ascii="Arabic Transparent" w:hAnsi="Arabic Transparent" w:cs="Arabic Transparent" w:hint="cs"/>
          <w:b/>
          <w:bCs/>
          <w:sz w:val="24"/>
          <w:szCs w:val="24"/>
          <w:rtl/>
        </w:rPr>
        <w:t>تحفة الفقهاء،</w:t>
      </w:r>
      <w:r w:rsidRPr="002273BC">
        <w:rPr>
          <w:rFonts w:ascii="Arabic Transparent" w:hAnsi="Arabic Transparent" w:cs="Arabic Transparent" w:hint="cs"/>
          <w:sz w:val="24"/>
          <w:szCs w:val="24"/>
          <w:rtl/>
        </w:rPr>
        <w:t xml:space="preserve"> ط2، ج3، ص89، دار الكتب العلمية، بيروت - لبنان</w:t>
      </w:r>
    </w:p>
  </w:footnote>
  <w:footnote w:id="364">
    <w:p w14:paraId="1F16C4CA" w14:textId="198637DD"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00A756BE">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sz w:val="24"/>
          <w:szCs w:val="24"/>
          <w:rtl/>
          <w:lang w:bidi="ar-JO"/>
        </w:rPr>
        <w:t xml:space="preserve">الكيلاني، </w:t>
      </w:r>
      <w:r w:rsidRPr="002273BC">
        <w:rPr>
          <w:rFonts w:ascii="Arabic Transparent" w:hAnsi="Arabic Transparent" w:cs="Arabic Transparent" w:hint="cs"/>
          <w:b/>
          <w:bCs/>
          <w:sz w:val="24"/>
          <w:szCs w:val="24"/>
          <w:rtl/>
          <w:lang w:bidi="ar-JO"/>
        </w:rPr>
        <w:t>تحقيق المناط وأثره على اختلاف العلماء،</w:t>
      </w:r>
      <w:r w:rsidRPr="002273BC">
        <w:rPr>
          <w:rFonts w:ascii="Arabic Transparent" w:hAnsi="Arabic Transparent" w:cs="Arabic Transparent" w:hint="cs"/>
          <w:sz w:val="24"/>
          <w:szCs w:val="24"/>
          <w:rtl/>
          <w:lang w:bidi="ar-JO"/>
        </w:rPr>
        <w:t xml:space="preserve"> مصدر سابق، ص119.</w:t>
      </w:r>
    </w:p>
  </w:footnote>
  <w:footnote w:id="365">
    <w:p w14:paraId="47884A9B" w14:textId="6E5D2D83"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ابن قدامة، </w:t>
      </w:r>
      <w:r w:rsidRPr="002273BC">
        <w:rPr>
          <w:rFonts w:ascii="Arabic Transparent" w:hAnsi="Arabic Transparent" w:cs="Arabic Transparent" w:hint="cs"/>
          <w:b/>
          <w:bCs/>
          <w:sz w:val="24"/>
          <w:szCs w:val="24"/>
          <w:rtl/>
          <w:lang w:bidi="ar-JO"/>
        </w:rPr>
        <w:t>المغني،</w:t>
      </w:r>
      <w:r w:rsidRPr="002273BC">
        <w:rPr>
          <w:rFonts w:ascii="Arabic Transparent" w:hAnsi="Arabic Transparent" w:cs="Arabic Transparent" w:hint="cs"/>
          <w:sz w:val="24"/>
          <w:szCs w:val="24"/>
          <w:rtl/>
          <w:lang w:bidi="ar-JO"/>
        </w:rPr>
        <w:t xml:space="preserve"> مصدر سابق، ج6، ص8، وانظر</w:t>
      </w:r>
      <w:r w:rsidR="004B4B7A" w:rsidRPr="002273BC">
        <w:rPr>
          <w:rtl/>
        </w:rPr>
        <w:t xml:space="preserve"> </w:t>
      </w:r>
      <w:r w:rsidR="004B4B7A" w:rsidRPr="002273BC">
        <w:rPr>
          <w:rFonts w:ascii="Arabic Transparent" w:hAnsi="Arabic Transparent" w:cs="Arabic Transparent"/>
          <w:sz w:val="24"/>
          <w:szCs w:val="24"/>
          <w:rtl/>
          <w:lang w:bidi="ar-JO"/>
        </w:rPr>
        <w:t xml:space="preserve">النووي، أبو زكريا محيي الدين يحيى بن شرف (1991). </w:t>
      </w:r>
      <w:r w:rsidR="004B4B7A" w:rsidRPr="00AD3DA7">
        <w:rPr>
          <w:rFonts w:ascii="Arabic Transparent" w:hAnsi="Arabic Transparent" w:cs="Arabic Transparent"/>
          <w:b/>
          <w:bCs/>
          <w:sz w:val="24"/>
          <w:szCs w:val="24"/>
          <w:rtl/>
          <w:lang w:bidi="ar-JO"/>
        </w:rPr>
        <w:t>روضة الطالبين وعمدة المفتين</w:t>
      </w:r>
      <w:r w:rsidR="004B4B7A" w:rsidRPr="002273BC">
        <w:rPr>
          <w:rFonts w:ascii="Arabic Transparent" w:hAnsi="Arabic Transparent" w:cs="Arabic Transparent"/>
          <w:sz w:val="24"/>
          <w:szCs w:val="24"/>
          <w:rtl/>
          <w:lang w:bidi="ar-JO"/>
        </w:rPr>
        <w:t xml:space="preserve">، تحقيق: زهير الشاويش، ط3، </w:t>
      </w:r>
      <w:r w:rsidR="004B4B7A" w:rsidRPr="002273BC">
        <w:rPr>
          <w:rFonts w:ascii="Arabic Transparent" w:hAnsi="Arabic Transparent" w:cs="Arabic Transparent" w:hint="cs"/>
          <w:sz w:val="24"/>
          <w:szCs w:val="24"/>
          <w:rtl/>
          <w:lang w:bidi="ar-JO"/>
        </w:rPr>
        <w:t xml:space="preserve">ج2، ص322، </w:t>
      </w:r>
      <w:r w:rsidR="004B4B7A" w:rsidRPr="002273BC">
        <w:rPr>
          <w:rFonts w:ascii="Arabic Transparent" w:hAnsi="Arabic Transparent" w:cs="Arabic Transparent"/>
          <w:sz w:val="24"/>
          <w:szCs w:val="24"/>
          <w:rtl/>
          <w:lang w:bidi="ar-JO"/>
        </w:rPr>
        <w:t>المكتب الإسلامي، بيروت - دمشق - عمان</w:t>
      </w:r>
      <w:r w:rsidRPr="002273BC">
        <w:rPr>
          <w:rFonts w:ascii="Arabic Transparent" w:hAnsi="Arabic Transparent" w:cs="Arabic Transparent" w:hint="cs"/>
          <w:sz w:val="24"/>
          <w:szCs w:val="24"/>
          <w:rtl/>
          <w:lang w:bidi="ar-JO"/>
        </w:rPr>
        <w:t>، و</w:t>
      </w:r>
      <w:r w:rsidR="004B4B7A" w:rsidRPr="002273BC">
        <w:rPr>
          <w:rFonts w:ascii="Arabic Transparent" w:hAnsi="Arabic Transparent" w:cs="Arabic Transparent" w:hint="cs"/>
          <w:sz w:val="24"/>
          <w:szCs w:val="24"/>
          <w:rtl/>
          <w:lang w:bidi="ar-JO"/>
        </w:rPr>
        <w:t>ا</w:t>
      </w:r>
      <w:r w:rsidRPr="002273BC">
        <w:rPr>
          <w:rFonts w:ascii="Arabic Transparent" w:hAnsi="Arabic Transparent" w:cs="Arabic Transparent" w:hint="cs"/>
          <w:sz w:val="24"/>
          <w:szCs w:val="24"/>
          <w:rtl/>
          <w:lang w:bidi="ar-JO"/>
        </w:rPr>
        <w:t>نظر: الم</w:t>
      </w:r>
      <w:r w:rsidR="004B4B7A" w:rsidRPr="002273BC">
        <w:rPr>
          <w:rFonts w:ascii="Arabic Transparent" w:hAnsi="Arabic Transparent" w:cs="Arabic Transparent" w:hint="cs"/>
          <w:sz w:val="24"/>
          <w:szCs w:val="24"/>
          <w:rtl/>
          <w:lang w:bidi="ar-JO"/>
        </w:rPr>
        <w:t>اوردي</w:t>
      </w:r>
      <w:r w:rsidRPr="002273BC">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b/>
          <w:bCs/>
          <w:sz w:val="24"/>
          <w:szCs w:val="24"/>
          <w:rtl/>
          <w:lang w:bidi="ar-JO"/>
        </w:rPr>
        <w:t>الحاوي الكبير</w:t>
      </w:r>
      <w:r w:rsidRPr="002273BC">
        <w:rPr>
          <w:rFonts w:ascii="Arabic Transparent" w:hAnsi="Arabic Transparent" w:cs="Arabic Transparent" w:hint="cs"/>
          <w:sz w:val="24"/>
          <w:szCs w:val="24"/>
          <w:rtl/>
          <w:lang w:bidi="ar-JO"/>
        </w:rPr>
        <w:t xml:space="preserve">، مصدر سابق، ج5، ص192، وانظر: النووي، يحيى بن شرف، أبو زكريا محيي الدين (1935)، </w:t>
      </w:r>
      <w:r w:rsidRPr="00AD3DA7">
        <w:rPr>
          <w:rFonts w:ascii="Arabic Transparent" w:hAnsi="Arabic Transparent" w:cs="Arabic Transparent" w:hint="cs"/>
          <w:b/>
          <w:bCs/>
          <w:sz w:val="24"/>
          <w:szCs w:val="24"/>
          <w:rtl/>
          <w:lang w:bidi="ar-JO"/>
        </w:rPr>
        <w:t>المجموع شرح المهذب</w:t>
      </w:r>
      <w:r w:rsidRPr="002273BC">
        <w:rPr>
          <w:rFonts w:ascii="Arabic Transparent" w:hAnsi="Arabic Transparent" w:cs="Arabic Transparent" w:hint="cs"/>
          <w:b/>
          <w:bCs/>
          <w:sz w:val="24"/>
          <w:szCs w:val="24"/>
          <w:rtl/>
          <w:lang w:bidi="ar-JO"/>
        </w:rPr>
        <w:t xml:space="preserve">، </w:t>
      </w:r>
      <w:r w:rsidR="00AD3DA7">
        <w:rPr>
          <w:rFonts w:ascii="Arabic Transparent" w:hAnsi="Arabic Transparent" w:cs="Arabic Transparent" w:hint="cs"/>
          <w:sz w:val="24"/>
          <w:szCs w:val="24"/>
          <w:rtl/>
          <w:lang w:bidi="ar-JO"/>
        </w:rPr>
        <w:t>ط2، ج1، ص233،</w:t>
      </w:r>
      <w:r w:rsidRPr="002273BC">
        <w:rPr>
          <w:rFonts w:ascii="Arabic Transparent" w:hAnsi="Arabic Transparent" w:cs="Arabic Transparent" w:hint="cs"/>
          <w:sz w:val="24"/>
          <w:szCs w:val="24"/>
          <w:rtl/>
          <w:lang w:bidi="ar-JO"/>
        </w:rPr>
        <w:t xml:space="preserve"> إدارة الطباعة المنيرية – مطبعة التضامن الأخوي، القاهرة.</w:t>
      </w:r>
    </w:p>
  </w:footnote>
  <w:footnote w:id="366">
    <w:p w14:paraId="52A2F240"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انظر: الشاطبي، </w:t>
      </w:r>
      <w:r w:rsidRPr="002273BC">
        <w:rPr>
          <w:rFonts w:ascii="Arabic Transparent" w:hAnsi="Arabic Transparent" w:cs="Arabic Transparent" w:hint="cs"/>
          <w:b/>
          <w:bCs/>
          <w:sz w:val="24"/>
          <w:szCs w:val="24"/>
          <w:rtl/>
          <w:lang w:bidi="ar-JO"/>
        </w:rPr>
        <w:t>الموافقات</w:t>
      </w:r>
      <w:r w:rsidRPr="002273BC">
        <w:rPr>
          <w:rFonts w:ascii="Arabic Transparent" w:hAnsi="Arabic Transparent" w:cs="Arabic Transparent" w:hint="cs"/>
          <w:sz w:val="24"/>
          <w:szCs w:val="24"/>
          <w:rtl/>
          <w:lang w:bidi="ar-JO"/>
        </w:rPr>
        <w:t>، مصدر سابق، ج3، ص232.</w:t>
      </w:r>
    </w:p>
  </w:footnote>
  <w:footnote w:id="367">
    <w:p w14:paraId="50346833" w14:textId="5AEFD8A9"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 xml:space="preserve"> (</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انظر: التوحيدي، علي بن محمد بن العباس، أبو حيان (1988)، </w:t>
      </w:r>
      <w:r w:rsidRPr="002273BC">
        <w:rPr>
          <w:rFonts w:ascii="Arabic Transparent" w:hAnsi="Arabic Transparent" w:cs="Arabic Transparent" w:hint="cs"/>
          <w:b/>
          <w:bCs/>
          <w:sz w:val="24"/>
          <w:szCs w:val="24"/>
          <w:rtl/>
          <w:lang w:bidi="ar-JO"/>
        </w:rPr>
        <w:t>البصائر والذخائر</w:t>
      </w:r>
      <w:r w:rsidRPr="002273BC">
        <w:rPr>
          <w:rFonts w:ascii="Arabic Transparent" w:hAnsi="Arabic Transparent" w:cs="Arabic Transparent" w:hint="cs"/>
          <w:sz w:val="24"/>
          <w:szCs w:val="24"/>
          <w:rtl/>
          <w:lang w:bidi="ar-JO"/>
        </w:rPr>
        <w:t xml:space="preserve">، تحقيق: وداد القاضي، ط1، </w:t>
      </w:r>
      <w:r w:rsidR="00AD3DA7">
        <w:rPr>
          <w:rFonts w:ascii="Arabic Transparent" w:hAnsi="Arabic Transparent" w:cs="Arabic Transparent" w:hint="cs"/>
          <w:sz w:val="24"/>
          <w:szCs w:val="24"/>
          <w:rtl/>
          <w:lang w:bidi="ar-JO"/>
        </w:rPr>
        <w:t xml:space="preserve">ج2، ص216، </w:t>
      </w:r>
      <w:r w:rsidRPr="002273BC">
        <w:rPr>
          <w:rFonts w:ascii="Arabic Transparent" w:hAnsi="Arabic Transparent" w:cs="Arabic Transparent" w:hint="cs"/>
          <w:sz w:val="24"/>
          <w:szCs w:val="24"/>
          <w:rtl/>
          <w:lang w:bidi="ar-JO"/>
        </w:rPr>
        <w:t>دار صادر، بيروت.</w:t>
      </w:r>
    </w:p>
  </w:footnote>
  <w:footnote w:id="368">
    <w:p w14:paraId="058E5C66"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ذكرت هذه المسالك على سبيل المثال وهناك المزيد منها ذكرها الباحث عبدالرحيم، </w:t>
      </w:r>
      <w:r w:rsidRPr="002273BC">
        <w:rPr>
          <w:rFonts w:ascii="Arabic Transparent" w:hAnsi="Arabic Transparent" w:cs="Arabic Transparent" w:hint="cs"/>
          <w:b/>
          <w:bCs/>
          <w:sz w:val="24"/>
          <w:szCs w:val="24"/>
          <w:rtl/>
          <w:lang w:bidi="ar-JO"/>
        </w:rPr>
        <w:t>آليات تحقيق المناط ووسائله ومسلك المجتهد فيه</w:t>
      </w:r>
      <w:r w:rsidRPr="002273BC">
        <w:rPr>
          <w:rFonts w:ascii="Arabic Transparent" w:hAnsi="Arabic Transparent" w:cs="Arabic Transparent" w:hint="cs"/>
          <w:sz w:val="24"/>
          <w:szCs w:val="24"/>
          <w:rtl/>
          <w:lang w:bidi="ar-JO"/>
        </w:rPr>
        <w:t>، مصدر سابق، ص52-55.</w:t>
      </w:r>
    </w:p>
  </w:footnote>
  <w:footnote w:id="369">
    <w:p w14:paraId="417B6FCC" w14:textId="1B0D86FB"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انظر:</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العمرو، حسن عبد الرحمن، ومحمد القيسي (2019)، بحث محكم منشور بعنوان: </w:t>
      </w:r>
      <w:r w:rsidRPr="002273BC">
        <w:rPr>
          <w:rFonts w:ascii="Arabic Transparent" w:hAnsi="Arabic Transparent" w:cs="Arabic Transparent" w:hint="cs"/>
          <w:b/>
          <w:bCs/>
          <w:sz w:val="24"/>
          <w:szCs w:val="24"/>
          <w:rtl/>
          <w:lang w:bidi="ar-JO"/>
        </w:rPr>
        <w:t>تحليل العلاقة بين التضخم والنمو الاقتصادي في الأردن</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مجلة دراسات للعلوم الإدارية، م20، ع4 (أكتوبر)، ص 42–62، الجامعة الارنية، الأردن.</w:t>
      </w:r>
    </w:p>
  </w:footnote>
  <w:footnote w:id="370">
    <w:p w14:paraId="377CCE89"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انظر: مجمع الفقه الإسلامي الدولي (2023)، قرار رقم 240 (25/2): </w:t>
      </w:r>
      <w:r w:rsidRPr="002273BC">
        <w:rPr>
          <w:rFonts w:ascii="Arabic Transparent" w:hAnsi="Arabic Transparent" w:cs="Arabic Transparent" w:hint="cs"/>
          <w:b/>
          <w:bCs/>
          <w:sz w:val="24"/>
          <w:szCs w:val="24"/>
          <w:rtl/>
          <w:lang w:bidi="ar-JO"/>
        </w:rPr>
        <w:t>بشأن أثر جائحة كورونا على أحكام العبادات والأسرة والجنايات، مجمع الفقه الإسلامي الدولي – جدة، المملكة العربية السعودية</w:t>
      </w:r>
      <w:r w:rsidRPr="002273BC">
        <w:rPr>
          <w:rFonts w:ascii="Arabic Transparent" w:hAnsi="Arabic Transparent" w:cs="Arabic Transparent" w:hint="cs"/>
          <w:sz w:val="24"/>
          <w:szCs w:val="24"/>
          <w:rtl/>
          <w:lang w:bidi="ar-JO"/>
        </w:rPr>
        <w:t xml:space="preserve">، على الرابط: </w:t>
      </w:r>
      <w:r w:rsidRPr="002273BC">
        <w:rPr>
          <w:rFonts w:ascii="Arabic Transparent" w:hAnsi="Arabic Transparent" w:cs="Arabic Transparent" w:hint="cs"/>
          <w:sz w:val="24"/>
          <w:szCs w:val="24"/>
          <w:lang w:bidi="ar-JO"/>
        </w:rPr>
        <w:t>iifa-aifi.org/ar/44189.html</w:t>
      </w:r>
      <w:r w:rsidRPr="002273BC">
        <w:rPr>
          <w:rFonts w:ascii="Arabic Transparent" w:hAnsi="Arabic Transparent" w:cs="Arabic Transparent" w:hint="cs"/>
          <w:sz w:val="24"/>
          <w:szCs w:val="24"/>
          <w:rtl/>
          <w:lang w:bidi="ar-JO"/>
        </w:rPr>
        <w:t>، اطلع عليه في: 4 أكتوبر 2025.</w:t>
      </w:r>
    </w:p>
  </w:footnote>
  <w:footnote w:id="371">
    <w:p w14:paraId="4A0C270D" w14:textId="77777777" w:rsidR="004E383D" w:rsidRPr="002273BC" w:rsidRDefault="004E383D" w:rsidP="00EA3738">
      <w:pPr>
        <w:pStyle w:val="FootnoteText"/>
        <w:spacing w:line="336"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هو جهاز استعمله المتقدمون في تعيين ارتفاعات الأجرام السماوية، ومعرفة الأوقات، والجهات الأصلية، مجمع اللغة العربية، </w:t>
      </w:r>
      <w:r w:rsidRPr="002273BC">
        <w:rPr>
          <w:rFonts w:ascii="Arabic Transparent" w:hAnsi="Arabic Transparent" w:cs="Arabic Transparent" w:hint="cs"/>
          <w:b/>
          <w:bCs/>
          <w:sz w:val="24"/>
          <w:szCs w:val="24"/>
          <w:rtl/>
          <w:lang w:bidi="ar-JO"/>
        </w:rPr>
        <w:t>المعجم الوسيط،</w:t>
      </w:r>
      <w:r w:rsidRPr="002273BC">
        <w:rPr>
          <w:rFonts w:ascii="Arabic Transparent" w:hAnsi="Arabic Transparent" w:cs="Arabic Transparent" w:hint="cs"/>
          <w:sz w:val="24"/>
          <w:szCs w:val="24"/>
          <w:rtl/>
          <w:lang w:bidi="ar-JO"/>
        </w:rPr>
        <w:t xml:space="preserve"> مصدر سابق، ج1، ص17.</w:t>
      </w:r>
    </w:p>
  </w:footnote>
  <w:footnote w:id="372">
    <w:p w14:paraId="4F42E9ED" w14:textId="77777777" w:rsidR="004E383D" w:rsidRPr="002273BC" w:rsidRDefault="004E383D" w:rsidP="00EA3738">
      <w:pPr>
        <w:pStyle w:val="FootnoteText"/>
        <w:spacing w:line="336"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الخريصي، فرح بنت فهد بن حسني (2024)، </w:t>
      </w:r>
      <w:r w:rsidRPr="002273BC">
        <w:rPr>
          <w:rFonts w:ascii="Arabic Transparent" w:hAnsi="Arabic Transparent" w:cs="Arabic Transparent" w:hint="cs"/>
          <w:b/>
          <w:bCs/>
          <w:sz w:val="24"/>
          <w:szCs w:val="24"/>
          <w:rtl/>
          <w:lang w:bidi="ar-JO"/>
        </w:rPr>
        <w:t>تحقيق المناط بالحقائق العلمية: دراسة تأصيلية تطبيقية</w:t>
      </w:r>
      <w:r w:rsidRPr="002273BC">
        <w:rPr>
          <w:rFonts w:ascii="Arabic Transparent" w:hAnsi="Arabic Transparent" w:cs="Arabic Transparent" w:hint="cs"/>
          <w:sz w:val="24"/>
          <w:szCs w:val="24"/>
          <w:rtl/>
          <w:lang w:bidi="ar-JO"/>
        </w:rPr>
        <w:t>، مجلة كلية الشريعة والقانون بتفهنا الأشراف، العدد 28، ص394، دقهلية، مصر</w:t>
      </w:r>
    </w:p>
  </w:footnote>
  <w:footnote w:id="373">
    <w:p w14:paraId="5514F885" w14:textId="30C91B67" w:rsidR="004E383D" w:rsidRPr="002273BC" w:rsidRDefault="004E383D" w:rsidP="00EA3738">
      <w:pPr>
        <w:pStyle w:val="FootnoteText"/>
        <w:spacing w:line="336"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انظر: الوائلي، محمد بن حمود (2019). </w:t>
      </w:r>
      <w:r w:rsidRPr="002273BC">
        <w:rPr>
          <w:rFonts w:ascii="Arabic Transparent" w:hAnsi="Arabic Transparent" w:cs="Arabic Transparent" w:hint="cs"/>
          <w:b/>
          <w:bCs/>
          <w:sz w:val="24"/>
          <w:szCs w:val="24"/>
          <w:rtl/>
          <w:lang w:bidi="ar-JO"/>
        </w:rPr>
        <w:t>بغية المقتصد شرح بداية المجتهد لابن رشد الحفيد</w:t>
      </w:r>
      <w:r w:rsidRPr="002273BC">
        <w:rPr>
          <w:rFonts w:ascii="Arabic Transparent" w:hAnsi="Arabic Transparent" w:cs="Arabic Transparent" w:hint="cs"/>
          <w:sz w:val="24"/>
          <w:szCs w:val="24"/>
          <w:rtl/>
          <w:lang w:bidi="ar-JO"/>
        </w:rPr>
        <w:t xml:space="preserve"> (ت 595هـ)، ط1،</w:t>
      </w:r>
      <w:r w:rsidR="00AD3DA7">
        <w:rPr>
          <w:rFonts w:ascii="Arabic Transparent" w:hAnsi="Arabic Transparent" w:cs="Arabic Transparent" w:hint="cs"/>
          <w:sz w:val="24"/>
          <w:szCs w:val="24"/>
          <w:rtl/>
          <w:lang w:bidi="ar-JO"/>
        </w:rPr>
        <w:t xml:space="preserve"> ج7، ص3728،</w:t>
      </w:r>
      <w:r w:rsidRPr="002273BC">
        <w:rPr>
          <w:rFonts w:ascii="Arabic Transparent" w:hAnsi="Arabic Transparent" w:cs="Arabic Transparent" w:hint="cs"/>
          <w:sz w:val="24"/>
          <w:szCs w:val="24"/>
          <w:rtl/>
          <w:lang w:bidi="ar-JO"/>
        </w:rPr>
        <w:t xml:space="preserve"> دار ابن حزم، بيروت - لبنان.</w:t>
      </w:r>
    </w:p>
  </w:footnote>
  <w:footnote w:id="374">
    <w:p w14:paraId="208EF4D6" w14:textId="77777777" w:rsidR="004E383D" w:rsidRPr="002273BC" w:rsidRDefault="004E383D" w:rsidP="00EA3738">
      <w:pPr>
        <w:spacing w:line="336" w:lineRule="auto"/>
        <w:jc w:val="both"/>
        <w:rPr>
          <w:rFonts w:ascii="Arabic Transparent" w:hAnsi="Arabic Transparent" w:cs="Arabic Transparent"/>
          <w:sz w:val="24"/>
          <w:szCs w:val="24"/>
          <w:rtl/>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انظر: الكيلاني، جمال (2002)، </w:t>
      </w:r>
      <w:r w:rsidRPr="002273BC">
        <w:rPr>
          <w:rFonts w:ascii="Arabic Transparent" w:hAnsi="Arabic Transparent" w:cs="Arabic Transparent" w:hint="cs"/>
          <w:b/>
          <w:bCs/>
          <w:sz w:val="24"/>
          <w:szCs w:val="24"/>
          <w:rtl/>
        </w:rPr>
        <w:t>الإثبات بالمعاينة والخبرة في الفقه والقانون</w:t>
      </w:r>
      <w:r w:rsidRPr="002273BC">
        <w:rPr>
          <w:rFonts w:ascii="Arabic Transparent" w:hAnsi="Arabic Transparent" w:cs="Arabic Transparent" w:hint="cs"/>
          <w:sz w:val="24"/>
          <w:szCs w:val="24"/>
          <w:rtl/>
        </w:rPr>
        <w:t>، مجلة جامعة النجاح للأبحاث – العلوم الإنسانية، م16، ع1، ص281، جامعة النجاح الوطنية، نابلس – فلسطين.</w:t>
      </w:r>
    </w:p>
  </w:footnote>
  <w:footnote w:id="375">
    <w:p w14:paraId="27538C83" w14:textId="253DB99B" w:rsidR="004E383D" w:rsidRPr="002273BC" w:rsidRDefault="004E383D" w:rsidP="00EA3738">
      <w:pPr>
        <w:pStyle w:val="FootnoteText"/>
        <w:spacing w:line="336"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الحاج، حاتم (2019)، </w:t>
      </w:r>
      <w:r w:rsidRPr="002273BC">
        <w:rPr>
          <w:rFonts w:ascii="Arabic Transparent" w:hAnsi="Arabic Transparent" w:cs="Arabic Transparent" w:hint="cs"/>
          <w:b/>
          <w:bCs/>
          <w:sz w:val="24"/>
          <w:szCs w:val="24"/>
          <w:rtl/>
          <w:lang w:bidi="ar-JO"/>
        </w:rPr>
        <w:t>أثر تطور المعارف الطبية على تغير الفتوى والقضاء</w:t>
      </w:r>
      <w:r w:rsidRPr="002273BC">
        <w:rPr>
          <w:rFonts w:ascii="Arabic Transparent" w:hAnsi="Arabic Transparent" w:cs="Arabic Transparent" w:hint="cs"/>
          <w:sz w:val="24"/>
          <w:szCs w:val="24"/>
          <w:rtl/>
          <w:lang w:bidi="ar-JO"/>
        </w:rPr>
        <w:t xml:space="preserve">، إشراف: صلاح الصاوي، ط2، </w:t>
      </w:r>
      <w:r w:rsidR="00AD3DA7">
        <w:rPr>
          <w:rFonts w:ascii="Arabic Transparent" w:hAnsi="Arabic Transparent" w:cs="Arabic Transparent" w:hint="cs"/>
          <w:sz w:val="24"/>
          <w:szCs w:val="24"/>
          <w:rtl/>
          <w:lang w:bidi="ar-JO"/>
        </w:rPr>
        <w:t xml:space="preserve">ص106، </w:t>
      </w:r>
      <w:r w:rsidRPr="002273BC">
        <w:rPr>
          <w:rFonts w:ascii="Arabic Transparent" w:hAnsi="Arabic Transparent" w:cs="Arabic Transparent" w:hint="cs"/>
          <w:sz w:val="24"/>
          <w:szCs w:val="24"/>
          <w:rtl/>
          <w:lang w:bidi="ar-JO"/>
        </w:rPr>
        <w:t>دار بلال بن رباح؛ دار ابن حزم، القاهرة.</w:t>
      </w:r>
    </w:p>
  </w:footnote>
  <w:footnote w:id="376">
    <w:p w14:paraId="4B423E1A" w14:textId="77777777" w:rsidR="004E383D" w:rsidRPr="002273BC" w:rsidRDefault="004E383D" w:rsidP="00EA3738">
      <w:pPr>
        <w:pStyle w:val="FootnoteText"/>
        <w:spacing w:line="336"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انظر: عبد الرحيم، عثمان أحمد (2013)، </w:t>
      </w:r>
      <w:r w:rsidRPr="002273BC">
        <w:rPr>
          <w:rFonts w:ascii="Arabic Transparent" w:hAnsi="Arabic Transparent" w:cs="Arabic Transparent" w:hint="cs"/>
          <w:b/>
          <w:bCs/>
          <w:sz w:val="24"/>
          <w:szCs w:val="24"/>
          <w:rtl/>
          <w:lang w:bidi="ar-JO"/>
        </w:rPr>
        <w:t>آليات تحقيق المناط ووسائله ومسلك المجتهد فيه</w:t>
      </w:r>
      <w:r w:rsidRPr="002273BC">
        <w:rPr>
          <w:rFonts w:ascii="Arabic Transparent" w:hAnsi="Arabic Transparent" w:cs="Arabic Transparent" w:hint="cs"/>
          <w:sz w:val="24"/>
          <w:szCs w:val="24"/>
          <w:rtl/>
          <w:lang w:bidi="ar-JO"/>
        </w:rPr>
        <w:t>، بحثٌ مُقدَّم في مؤتمر «فقه الواقع والتوقع». نسخة متاحة على موقع فقه الشريعة (</w:t>
      </w:r>
      <w:r w:rsidRPr="002273BC">
        <w:rPr>
          <w:rFonts w:ascii="Arabic Transparent" w:hAnsi="Arabic Transparent" w:cs="Arabic Transparent" w:hint="cs"/>
          <w:sz w:val="24"/>
          <w:szCs w:val="24"/>
          <w:lang w:bidi="ar-JO"/>
        </w:rPr>
        <w:t>PDF</w:t>
      </w:r>
      <w:r w:rsidRPr="002273BC">
        <w:rPr>
          <w:rFonts w:ascii="Arabic Transparent" w:hAnsi="Arabic Transparent" w:cs="Arabic Transparent" w:hint="cs"/>
          <w:sz w:val="24"/>
          <w:szCs w:val="24"/>
          <w:rtl/>
          <w:lang w:bidi="ar-JO"/>
        </w:rPr>
        <w:t xml:space="preserve">) على الرابط: </w:t>
      </w:r>
      <w:r w:rsidRPr="002273BC">
        <w:rPr>
          <w:rFonts w:ascii="Arabic Transparent" w:hAnsi="Arabic Transparent" w:cs="Arabic Transparent" w:hint="cs"/>
          <w:sz w:val="24"/>
          <w:szCs w:val="24"/>
          <w:lang w:bidi="ar-JO"/>
        </w:rPr>
        <w:t>https://feqhup.com/uploads/1415384240881</w:t>
      </w:r>
      <w:r w:rsidRPr="002273BC">
        <w:rPr>
          <w:rFonts w:ascii="Arabic Transparent" w:hAnsi="Arabic Transparent" w:cs="Arabic Transparent" w:hint="cs"/>
          <w:sz w:val="24"/>
          <w:szCs w:val="24"/>
          <w:rtl/>
          <w:lang w:bidi="ar-JO"/>
        </w:rPr>
        <w:t>، تاريخ الاطلاع 4/ 10/ 2025م.</w:t>
      </w:r>
    </w:p>
  </w:footnote>
  <w:footnote w:id="377">
    <w:p w14:paraId="47555458" w14:textId="43FC52FC" w:rsidR="004E383D" w:rsidRPr="002273BC" w:rsidRDefault="004E383D" w:rsidP="00EA3738">
      <w:pPr>
        <w:spacing w:line="336" w:lineRule="auto"/>
        <w:jc w:val="both"/>
        <w:rPr>
          <w:rFonts w:ascii="Arabic Transparent" w:hAnsi="Arabic Transparent" w:cs="Arabic Transparent"/>
          <w:sz w:val="24"/>
          <w:szCs w:val="24"/>
          <w:rtl/>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السرخسي، </w:t>
      </w:r>
      <w:r w:rsidRPr="002273BC">
        <w:rPr>
          <w:rFonts w:ascii="Arabic Transparent" w:hAnsi="Arabic Transparent" w:cs="Arabic Transparent" w:hint="cs"/>
          <w:b/>
          <w:bCs/>
          <w:sz w:val="24"/>
          <w:szCs w:val="24"/>
          <w:rtl/>
        </w:rPr>
        <w:t>المبسوط،</w:t>
      </w:r>
      <w:r w:rsidR="00955752" w:rsidRPr="002273BC">
        <w:rPr>
          <w:rFonts w:ascii="Arabic Transparent" w:hAnsi="Arabic Transparent" w:cs="Arabic Transparent" w:hint="cs"/>
          <w:sz w:val="24"/>
          <w:szCs w:val="24"/>
          <w:rtl/>
        </w:rPr>
        <w:t xml:space="preserve"> مصدر سابق،</w:t>
      </w:r>
      <w:r w:rsidRPr="002273BC">
        <w:rPr>
          <w:rFonts w:ascii="Arabic Transparent" w:hAnsi="Arabic Transparent" w:cs="Arabic Transparent" w:hint="cs"/>
          <w:sz w:val="24"/>
          <w:szCs w:val="24"/>
          <w:rtl/>
        </w:rPr>
        <w:t xml:space="preserve"> ج13، ص110</w:t>
      </w:r>
      <w:r w:rsidR="00955752" w:rsidRPr="002273BC">
        <w:rPr>
          <w:rFonts w:ascii="Arabic Transparent" w:hAnsi="Arabic Transparent" w:cs="Arabic Transparent" w:hint="cs"/>
          <w:sz w:val="24"/>
          <w:szCs w:val="24"/>
          <w:rtl/>
        </w:rPr>
        <w:t>.</w:t>
      </w:r>
    </w:p>
  </w:footnote>
  <w:footnote w:id="378">
    <w:p w14:paraId="2F919933" w14:textId="77777777" w:rsidR="004E383D" w:rsidRPr="002273BC" w:rsidRDefault="004E383D" w:rsidP="00EA3738">
      <w:pPr>
        <w:pStyle w:val="FootnoteText"/>
        <w:spacing w:line="336"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انظر: النووي، </w:t>
      </w:r>
      <w:r w:rsidRPr="002273BC">
        <w:rPr>
          <w:rFonts w:ascii="Arabic Transparent" w:hAnsi="Arabic Transparent" w:cs="Arabic Transparent" w:hint="cs"/>
          <w:b/>
          <w:bCs/>
          <w:sz w:val="24"/>
          <w:szCs w:val="24"/>
          <w:rtl/>
          <w:lang w:bidi="ar-JO"/>
        </w:rPr>
        <w:t>المجموع شرح المهذب</w:t>
      </w:r>
      <w:r w:rsidRPr="002273BC">
        <w:rPr>
          <w:rFonts w:ascii="Arabic Transparent" w:hAnsi="Arabic Transparent" w:cs="Arabic Transparent" w:hint="cs"/>
          <w:sz w:val="24"/>
          <w:szCs w:val="24"/>
          <w:rtl/>
          <w:lang w:bidi="ar-JO"/>
        </w:rPr>
        <w:t>، مصدر سابق، ج11، ص547-548.</w:t>
      </w:r>
    </w:p>
  </w:footnote>
  <w:footnote w:id="379">
    <w:p w14:paraId="7FAEFC36" w14:textId="77777777" w:rsidR="004E383D" w:rsidRPr="002273BC" w:rsidRDefault="004E383D" w:rsidP="00EA3738">
      <w:pPr>
        <w:pStyle w:val="FootnoteText"/>
        <w:spacing w:line="336"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ابن قدامة، </w:t>
      </w:r>
      <w:r w:rsidRPr="002273BC">
        <w:rPr>
          <w:rFonts w:ascii="Arabic Transparent" w:hAnsi="Arabic Transparent" w:cs="Arabic Transparent" w:hint="cs"/>
          <w:b/>
          <w:bCs/>
          <w:sz w:val="24"/>
          <w:szCs w:val="24"/>
          <w:rtl/>
          <w:lang w:bidi="ar-JO"/>
        </w:rPr>
        <w:t>المغني،</w:t>
      </w:r>
      <w:r w:rsidRPr="002273BC">
        <w:rPr>
          <w:rFonts w:ascii="Arabic Transparent" w:hAnsi="Arabic Transparent" w:cs="Arabic Transparent" w:hint="cs"/>
          <w:sz w:val="24"/>
          <w:szCs w:val="24"/>
          <w:rtl/>
          <w:lang w:bidi="ar-JO"/>
        </w:rPr>
        <w:t xml:space="preserve"> مصدر سابق،ج5، ص405.</w:t>
      </w:r>
    </w:p>
  </w:footnote>
  <w:footnote w:id="380">
    <w:p w14:paraId="770E96C7" w14:textId="77777777" w:rsidR="004E383D" w:rsidRPr="002273BC" w:rsidRDefault="004E383D" w:rsidP="00EA3738">
      <w:pPr>
        <w:pStyle w:val="FootnoteText"/>
        <w:spacing w:line="336"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انظر: الصلاحات، سامي محمد حسن (2004)، </w:t>
      </w:r>
      <w:r w:rsidRPr="002273BC">
        <w:rPr>
          <w:rFonts w:ascii="Arabic Transparent" w:hAnsi="Arabic Transparent" w:cs="Arabic Transparent" w:hint="cs"/>
          <w:b/>
          <w:bCs/>
          <w:sz w:val="24"/>
          <w:szCs w:val="24"/>
          <w:rtl/>
          <w:lang w:bidi="ar-JO"/>
        </w:rPr>
        <w:t xml:space="preserve">فقه الواقع من منظور القطع والظن: دراسة أصولية، </w:t>
      </w:r>
      <w:r w:rsidRPr="002273BC">
        <w:rPr>
          <w:rFonts w:ascii="Arabic Transparent" w:hAnsi="Arabic Transparent" w:cs="Arabic Transparent" w:hint="cs"/>
          <w:sz w:val="24"/>
          <w:szCs w:val="24"/>
          <w:rtl/>
          <w:lang w:bidi="ar-JO"/>
        </w:rPr>
        <w:t xml:space="preserve">ط1، ع21، ص 195. مجلة الشريعة والقانون، جامعة الإمارات العربية المتحدة. </w:t>
      </w:r>
    </w:p>
  </w:footnote>
  <w:footnote w:id="381">
    <w:p w14:paraId="05BB578B" w14:textId="77777777" w:rsidR="004E383D" w:rsidRPr="002273BC" w:rsidRDefault="004E383D" w:rsidP="00EA3738">
      <w:pPr>
        <w:pStyle w:val="FootnoteText"/>
        <w:spacing w:line="336"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ابن تيمية، أحمد بن عبد الحليم بن عبد السلام، أبو العباس تقي الدين (1991)، </w:t>
      </w:r>
      <w:r w:rsidRPr="002273BC">
        <w:rPr>
          <w:rFonts w:ascii="Arabic Transparent" w:hAnsi="Arabic Transparent" w:cs="Arabic Transparent" w:hint="cs"/>
          <w:b/>
          <w:bCs/>
          <w:sz w:val="24"/>
          <w:szCs w:val="24"/>
          <w:rtl/>
          <w:lang w:bidi="ar-JO"/>
        </w:rPr>
        <w:t>درء تعارض العقل والنقل،</w:t>
      </w:r>
      <w:r w:rsidRPr="002273BC">
        <w:rPr>
          <w:rFonts w:ascii="Arabic Transparent" w:hAnsi="Arabic Transparent" w:cs="Arabic Transparent" w:hint="cs"/>
          <w:sz w:val="24"/>
          <w:szCs w:val="24"/>
          <w:rtl/>
          <w:lang w:bidi="ar-JO"/>
        </w:rPr>
        <w:t xml:space="preserve"> تحقيق: محمد رشاد سالم، ط2، ج1، ص87، جامعة الإمام محمد بن سعود الإسلامية، المملكة العربية السعودية.</w:t>
      </w:r>
    </w:p>
  </w:footnote>
  <w:footnote w:id="382">
    <w:p w14:paraId="7F1A1DB9" w14:textId="5F4540C7" w:rsidR="004E383D" w:rsidRPr="002273BC" w:rsidRDefault="004E383D" w:rsidP="00EA3738">
      <w:pPr>
        <w:pStyle w:val="FootnoteText"/>
        <w:spacing w:line="336"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انظر: ابن تيمية، أحمد بن عبد الحليم بن عبد السلام (2019). </w:t>
      </w:r>
      <w:r w:rsidRPr="002273BC">
        <w:rPr>
          <w:rFonts w:ascii="Arabic Transparent" w:hAnsi="Arabic Transparent" w:cs="Arabic Transparent" w:hint="cs"/>
          <w:b/>
          <w:bCs/>
          <w:sz w:val="24"/>
          <w:szCs w:val="24"/>
          <w:rtl/>
          <w:lang w:bidi="ar-JO"/>
        </w:rPr>
        <w:t xml:space="preserve">جامع المسائل </w:t>
      </w:r>
      <w:r w:rsidRPr="002273BC">
        <w:rPr>
          <w:rFonts w:ascii="Arabic Transparent" w:hAnsi="Arabic Transparent" w:cs="Arabic Transparent" w:hint="cs"/>
          <w:sz w:val="24"/>
          <w:szCs w:val="24"/>
          <w:rtl/>
          <w:lang w:bidi="ar-JO"/>
        </w:rPr>
        <w:t>(تحقيق: محمد عزير شمس، وعلي بن محمد العمران، وعبد الرحمن بن حسن قائد)، ط2،</w:t>
      </w:r>
      <w:r w:rsidR="00AD3DA7">
        <w:rPr>
          <w:rFonts w:ascii="Arabic Transparent" w:hAnsi="Arabic Transparent" w:cs="Arabic Transparent" w:hint="cs"/>
          <w:sz w:val="24"/>
          <w:szCs w:val="24"/>
          <w:rtl/>
          <w:lang w:bidi="ar-JO"/>
        </w:rPr>
        <w:t xml:space="preserve"> ج8، ص316، </w:t>
      </w:r>
      <w:r w:rsidRPr="002273BC">
        <w:rPr>
          <w:rFonts w:ascii="Arabic Transparent" w:hAnsi="Arabic Transparent" w:cs="Arabic Transparent" w:hint="cs"/>
          <w:sz w:val="24"/>
          <w:szCs w:val="24"/>
          <w:rtl/>
          <w:lang w:bidi="ar-JO"/>
        </w:rPr>
        <w:t>دار عطاءات العلم، الرياض؛ دار ابن حزم، بيروت.</w:t>
      </w:r>
    </w:p>
  </w:footnote>
  <w:footnote w:id="383">
    <w:p w14:paraId="27F3452F" w14:textId="77777777" w:rsidR="004E383D" w:rsidRPr="002273BC" w:rsidRDefault="004E383D" w:rsidP="00EA3738">
      <w:pPr>
        <w:pStyle w:val="FootnoteText"/>
        <w:spacing w:line="336"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الشاطبي، </w:t>
      </w:r>
      <w:r w:rsidRPr="002273BC">
        <w:rPr>
          <w:rFonts w:ascii="Arabic Transparent" w:hAnsi="Arabic Transparent" w:cs="Arabic Transparent" w:hint="cs"/>
          <w:b/>
          <w:bCs/>
          <w:sz w:val="24"/>
          <w:szCs w:val="24"/>
          <w:rtl/>
          <w:lang w:bidi="ar-JO"/>
        </w:rPr>
        <w:t>الموافقات</w:t>
      </w:r>
      <w:r w:rsidRPr="002273BC">
        <w:rPr>
          <w:rFonts w:ascii="Arabic Transparent" w:hAnsi="Arabic Transparent" w:cs="Arabic Transparent" w:hint="cs"/>
          <w:sz w:val="24"/>
          <w:szCs w:val="24"/>
          <w:rtl/>
          <w:lang w:bidi="ar-JO"/>
        </w:rPr>
        <w:t>، مصدر سابق، ج3، ص8.</w:t>
      </w:r>
    </w:p>
  </w:footnote>
  <w:footnote w:id="384">
    <w:p w14:paraId="3AB1E308" w14:textId="77777777" w:rsidR="004E383D" w:rsidRPr="002273BC" w:rsidRDefault="004E383D" w:rsidP="00EA3738">
      <w:pPr>
        <w:pStyle w:val="FootnoteText"/>
        <w:spacing w:line="336"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ابن القيم، </w:t>
      </w:r>
      <w:r w:rsidRPr="002273BC">
        <w:rPr>
          <w:rFonts w:ascii="Arabic Transparent" w:hAnsi="Arabic Transparent" w:cs="Arabic Transparent" w:hint="cs"/>
          <w:b/>
          <w:bCs/>
          <w:sz w:val="24"/>
          <w:szCs w:val="24"/>
          <w:rtl/>
          <w:lang w:bidi="ar-JO"/>
        </w:rPr>
        <w:t>إعلام الموقعين عن رب العالمين</w:t>
      </w:r>
      <w:r w:rsidRPr="002273BC">
        <w:rPr>
          <w:rFonts w:ascii="Arabic Transparent" w:hAnsi="Arabic Transparent" w:cs="Arabic Transparent" w:hint="cs"/>
          <w:sz w:val="24"/>
          <w:szCs w:val="24"/>
          <w:rtl/>
          <w:lang w:bidi="ar-JO"/>
        </w:rPr>
        <w:t>، مصدر سابق، ج4، ص499.</w:t>
      </w:r>
    </w:p>
  </w:footnote>
  <w:footnote w:id="385">
    <w:p w14:paraId="555F8445" w14:textId="77777777" w:rsidR="004E383D" w:rsidRPr="002273BC" w:rsidRDefault="004E383D" w:rsidP="00EA3738">
      <w:pPr>
        <w:pStyle w:val="FootnoteText"/>
        <w:spacing w:line="336"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انظر: ابن عاشور، </w:t>
      </w:r>
      <w:r w:rsidRPr="002273BC">
        <w:rPr>
          <w:rFonts w:ascii="Arabic Transparent" w:hAnsi="Arabic Transparent" w:cs="Arabic Transparent" w:hint="cs"/>
          <w:b/>
          <w:bCs/>
          <w:sz w:val="24"/>
          <w:szCs w:val="24"/>
          <w:rtl/>
          <w:lang w:bidi="ar-JO"/>
        </w:rPr>
        <w:t>مقاصد الشريعة الإسلامية</w:t>
      </w:r>
      <w:r w:rsidRPr="002273BC">
        <w:rPr>
          <w:rFonts w:ascii="Arabic Transparent" w:hAnsi="Arabic Transparent" w:cs="Arabic Transparent" w:hint="cs"/>
          <w:sz w:val="24"/>
          <w:szCs w:val="24"/>
          <w:rtl/>
          <w:lang w:bidi="ar-JO"/>
        </w:rPr>
        <w:t>، مصدر سابق، ص281.</w:t>
      </w:r>
    </w:p>
  </w:footnote>
  <w:footnote w:id="386">
    <w:p w14:paraId="4C622727" w14:textId="0C31B982" w:rsidR="004E383D" w:rsidRPr="002273BC" w:rsidRDefault="004E383D" w:rsidP="00EA3738">
      <w:pPr>
        <w:pStyle w:val="FootnoteText"/>
        <w:spacing w:line="336"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ابن القيم، </w:t>
      </w:r>
      <w:r w:rsidRPr="002273BC">
        <w:rPr>
          <w:rFonts w:ascii="Arabic Transparent" w:hAnsi="Arabic Transparent" w:cs="Arabic Transparent" w:hint="cs"/>
          <w:b/>
          <w:bCs/>
          <w:sz w:val="24"/>
          <w:szCs w:val="24"/>
          <w:rtl/>
          <w:lang w:bidi="ar-JO"/>
        </w:rPr>
        <w:t>إعلام الموقعين عن رب العالمين،</w:t>
      </w:r>
      <w:r w:rsidRPr="002273BC">
        <w:rPr>
          <w:rFonts w:ascii="Arabic Transparent" w:hAnsi="Arabic Transparent" w:cs="Arabic Transparent" w:hint="cs"/>
          <w:sz w:val="24"/>
          <w:szCs w:val="24"/>
          <w:rtl/>
          <w:lang w:bidi="ar-JO"/>
        </w:rPr>
        <w:t xml:space="preserve"> </w:t>
      </w:r>
      <w:r w:rsidR="00955752" w:rsidRPr="002273BC">
        <w:rPr>
          <w:rFonts w:ascii="Arabic Transparent" w:hAnsi="Arabic Transparent" w:cs="Arabic Transparent" w:hint="cs"/>
          <w:sz w:val="24"/>
          <w:szCs w:val="24"/>
          <w:rtl/>
          <w:lang w:bidi="ar-JO"/>
        </w:rPr>
        <w:t xml:space="preserve">مصدر سابق </w:t>
      </w:r>
      <w:r w:rsidRPr="002273BC">
        <w:rPr>
          <w:rFonts w:ascii="Arabic Transparent" w:hAnsi="Arabic Transparent" w:cs="Arabic Transparent" w:hint="cs"/>
          <w:sz w:val="24"/>
          <w:szCs w:val="24"/>
          <w:rtl/>
          <w:lang w:bidi="ar-JO"/>
        </w:rPr>
        <w:t>ج3، ص429.</w:t>
      </w:r>
    </w:p>
  </w:footnote>
  <w:footnote w:id="387">
    <w:p w14:paraId="6C84E612" w14:textId="3B581BD6" w:rsidR="004E383D" w:rsidRPr="002273BC" w:rsidRDefault="004E383D" w:rsidP="00EA3738">
      <w:pPr>
        <w:pStyle w:val="FootnoteText"/>
        <w:spacing w:line="336"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lang w:bidi="ar-JO"/>
        </w:rPr>
        <w:t xml:space="preserve"> </w:t>
      </w:r>
      <w:r w:rsidR="00955752" w:rsidRPr="002273BC">
        <w:rPr>
          <w:rFonts w:ascii="Arabic Transparent" w:hAnsi="Arabic Transparent" w:cs="Arabic Transparent" w:hint="cs"/>
          <w:sz w:val="24"/>
          <w:szCs w:val="24"/>
          <w:rtl/>
          <w:lang w:bidi="ar-JO"/>
        </w:rPr>
        <w:t>المصدر السابق نفسه،</w:t>
      </w:r>
      <w:r w:rsidRPr="002273BC">
        <w:rPr>
          <w:rFonts w:ascii="Arabic Transparent" w:hAnsi="Arabic Transparent" w:cs="Arabic Transparent"/>
          <w:sz w:val="24"/>
          <w:szCs w:val="24"/>
          <w:rtl/>
          <w:lang w:bidi="ar-JO"/>
        </w:rPr>
        <w:t xml:space="preserve"> ج1، ص48،</w:t>
      </w:r>
      <w:r w:rsidRPr="002273BC">
        <w:rPr>
          <w:rFonts w:ascii="Arabic Transparent" w:hAnsi="Arabic Transparent" w:cs="Arabic Transparent" w:hint="cs"/>
          <w:sz w:val="24"/>
          <w:szCs w:val="24"/>
          <w:rtl/>
          <w:lang w:bidi="ar-JO"/>
        </w:rPr>
        <w:t xml:space="preserve"> ومجموعة من المؤلفين (د.ت)، </w:t>
      </w:r>
      <w:r w:rsidRPr="002273BC">
        <w:rPr>
          <w:rFonts w:ascii="Arabic Transparent" w:hAnsi="Arabic Transparent" w:cs="Arabic Transparent" w:hint="cs"/>
          <w:b/>
          <w:bCs/>
          <w:sz w:val="24"/>
          <w:szCs w:val="24"/>
          <w:rtl/>
          <w:lang w:bidi="ar-JO"/>
        </w:rPr>
        <w:t>مجلة الأحكام العدلية</w:t>
      </w:r>
      <w:r w:rsidRPr="002273BC">
        <w:rPr>
          <w:rFonts w:ascii="Arabic Transparent" w:hAnsi="Arabic Transparent" w:cs="Arabic Transparent" w:hint="cs"/>
          <w:sz w:val="24"/>
          <w:szCs w:val="24"/>
          <w:rtl/>
          <w:lang w:bidi="ar-JO"/>
        </w:rPr>
        <w:t xml:space="preserve">، تحقيق: نجيب هواويني، نور محمد، كارخانه </w:t>
      </w:r>
      <w:r w:rsidR="00CF3A79">
        <w:rPr>
          <w:rFonts w:ascii="Arabic Transparent" w:hAnsi="Arabic Transparent" w:cs="Arabic Transparent" w:hint="cs"/>
          <w:sz w:val="24"/>
          <w:szCs w:val="24"/>
          <w:rtl/>
          <w:lang w:bidi="ar-JO"/>
        </w:rPr>
        <w:t xml:space="preserve"> مادة 39، ص20، </w:t>
      </w:r>
      <w:r w:rsidRPr="002273BC">
        <w:rPr>
          <w:rFonts w:ascii="Arabic Transparent" w:hAnsi="Arabic Transparent" w:cs="Arabic Transparent" w:hint="cs"/>
          <w:sz w:val="24"/>
          <w:szCs w:val="24"/>
          <w:rtl/>
          <w:lang w:bidi="ar-JO"/>
        </w:rPr>
        <w:t>تجارة الكتب، آرام باغ – كراتشي، والزحيلي</w:t>
      </w:r>
      <w:r w:rsidRPr="002273BC">
        <w:rPr>
          <w:rFonts w:ascii="Arabic Transparent" w:hAnsi="Arabic Transparent" w:cs="Arabic Transparent" w:hint="cs"/>
          <w:b/>
          <w:bCs/>
          <w:sz w:val="24"/>
          <w:szCs w:val="24"/>
          <w:rtl/>
          <w:lang w:bidi="ar-JO"/>
        </w:rPr>
        <w:t>، الوجيز في أصول الفقه الإسلامي</w:t>
      </w:r>
      <w:r w:rsidRPr="002273BC">
        <w:rPr>
          <w:rFonts w:ascii="Arabic Transparent" w:hAnsi="Arabic Transparent" w:cs="Arabic Transparent" w:hint="cs"/>
          <w:sz w:val="24"/>
          <w:szCs w:val="24"/>
          <w:rtl/>
          <w:lang w:bidi="ar-JO"/>
        </w:rPr>
        <w:t xml:space="preserve">، </w:t>
      </w:r>
      <w:r w:rsidR="00955752" w:rsidRPr="002273BC">
        <w:rPr>
          <w:rFonts w:ascii="Arabic Transparent" w:hAnsi="Arabic Transparent" w:cs="Arabic Transparent" w:hint="cs"/>
          <w:sz w:val="24"/>
          <w:szCs w:val="24"/>
          <w:rtl/>
          <w:lang w:bidi="ar-JO"/>
        </w:rPr>
        <w:t xml:space="preserve">مصدر سابق، </w:t>
      </w:r>
      <w:r w:rsidRPr="002273BC">
        <w:rPr>
          <w:rFonts w:ascii="Arabic Transparent" w:hAnsi="Arabic Transparent" w:cs="Arabic Transparent" w:hint="cs"/>
          <w:sz w:val="24"/>
          <w:szCs w:val="24"/>
          <w:rtl/>
          <w:lang w:bidi="ar-JO"/>
        </w:rPr>
        <w:t>ج2، ص339.</w:t>
      </w:r>
    </w:p>
  </w:footnote>
  <w:footnote w:id="388">
    <w:p w14:paraId="417B37C0" w14:textId="611708B7" w:rsidR="004E383D" w:rsidRPr="002273BC" w:rsidRDefault="004E383D" w:rsidP="00EA3738">
      <w:pPr>
        <w:spacing w:line="360" w:lineRule="auto"/>
        <w:jc w:val="both"/>
        <w:rPr>
          <w:rFonts w:ascii="Arabic Transparent" w:hAnsi="Arabic Transparent" w:cs="Arabic Transparent"/>
          <w:sz w:val="24"/>
          <w:szCs w:val="24"/>
          <w:rtl/>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00837F2F">
        <w:rPr>
          <w:rFonts w:ascii="Arabic Transparent" w:hAnsi="Arabic Transparent" w:cs="Arabic Transparent" w:hint="cs"/>
          <w:sz w:val="24"/>
          <w:szCs w:val="24"/>
          <w:rtl/>
        </w:rPr>
        <w:t xml:space="preserve">انظر: </w:t>
      </w:r>
      <w:r w:rsidRPr="002273BC">
        <w:rPr>
          <w:rFonts w:ascii="Arabic Transparent" w:hAnsi="Arabic Transparent" w:cs="Arabic Transparent" w:hint="cs"/>
          <w:sz w:val="24"/>
          <w:szCs w:val="24"/>
          <w:rtl/>
        </w:rPr>
        <w:t>مجموعة من المؤلفين (د.ت)</w:t>
      </w:r>
      <w:r w:rsidRPr="002273BC">
        <w:rPr>
          <w:rFonts w:ascii="Arabic Transparent" w:hAnsi="Arabic Transparent" w:cs="Arabic Transparent" w:hint="cs"/>
          <w:b/>
          <w:bCs/>
          <w:sz w:val="24"/>
          <w:szCs w:val="24"/>
          <w:rtl/>
        </w:rPr>
        <w:t xml:space="preserve"> مجلة المنار</w:t>
      </w:r>
      <w:r w:rsidRPr="002273BC">
        <w:rPr>
          <w:rFonts w:ascii="Arabic Transparent" w:hAnsi="Arabic Transparent" w:cs="Arabic Transparent" w:hint="cs"/>
          <w:sz w:val="24"/>
          <w:szCs w:val="24"/>
          <w:rtl/>
        </w:rPr>
        <w:t xml:space="preserve">، أشرف على تحريرها محمد رشيد رضا، ط1، ج30، ص419، دار العلم، القاهرة. </w:t>
      </w:r>
    </w:p>
  </w:footnote>
  <w:footnote w:id="389">
    <w:p w14:paraId="2F169A4A" w14:textId="02E68BF6"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003F0ECF">
        <w:rPr>
          <w:rFonts w:ascii="Arabic Transparent" w:hAnsi="Arabic Transparent" w:cs="Arabic Transparent" w:hint="cs"/>
          <w:sz w:val="24"/>
          <w:szCs w:val="24"/>
          <w:rtl/>
        </w:rPr>
        <w:t>"</w:t>
      </w:r>
      <w:r w:rsidRPr="002273BC">
        <w:rPr>
          <w:rFonts w:ascii="Arabic Transparent" w:hAnsi="Arabic Transparent" w:cs="Arabic Transparent" w:hint="cs"/>
          <w:sz w:val="24"/>
          <w:szCs w:val="24"/>
          <w:rtl/>
        </w:rPr>
        <w:t>مثال ذلك: فقد ذهب إمام المذهب وزفر إلى أن عقد المزارعة فاسد؛ لأنها إجارة بعوض مجهول، وأما الشيخان أبو يوسف ومحمد بن الحسن فقالا: إنها شركة بين صاحب الأرض والعامل في الناتج، فتقاس على شركة المضاربة، وعلى هذا الرأي متأخري الحنفية لما فيه من التيسير على الناس مع تبدل أزمانهم وأحوالهم</w:t>
      </w:r>
      <w:r w:rsidR="003F0ECF">
        <w:rPr>
          <w:rFonts w:ascii="Arabic Transparent" w:hAnsi="Arabic Transparent" w:cs="Arabic Transparent" w:hint="cs"/>
          <w:sz w:val="24"/>
          <w:szCs w:val="24"/>
          <w:rtl/>
        </w:rPr>
        <w:t>"</w:t>
      </w:r>
      <w:r w:rsidRPr="002273BC">
        <w:rPr>
          <w:rFonts w:ascii="Arabic Transparent" w:hAnsi="Arabic Transparent" w:cs="Arabic Transparent" w:hint="cs"/>
          <w:sz w:val="24"/>
          <w:szCs w:val="24"/>
          <w:rtl/>
        </w:rPr>
        <w:t xml:space="preserve"> السرخسي، </w:t>
      </w:r>
      <w:r w:rsidRPr="002273BC">
        <w:rPr>
          <w:rFonts w:ascii="Arabic Transparent" w:hAnsi="Arabic Transparent" w:cs="Arabic Transparent" w:hint="cs"/>
          <w:b/>
          <w:bCs/>
          <w:sz w:val="24"/>
          <w:szCs w:val="24"/>
          <w:rtl/>
        </w:rPr>
        <w:t>المبسوط،</w:t>
      </w:r>
      <w:r w:rsidRPr="002273BC">
        <w:rPr>
          <w:rFonts w:ascii="Arabic Transparent" w:hAnsi="Arabic Transparent" w:cs="Arabic Transparent" w:hint="cs"/>
          <w:sz w:val="24"/>
          <w:szCs w:val="24"/>
          <w:rtl/>
        </w:rPr>
        <w:t xml:space="preserve"> مصدر سابق، ج23، ص16.</w:t>
      </w:r>
    </w:p>
  </w:footnote>
  <w:footnote w:id="390">
    <w:p w14:paraId="1129E50C" w14:textId="7D8E79A7" w:rsidR="004E383D" w:rsidRPr="002273BC" w:rsidRDefault="004E383D" w:rsidP="00EA3738">
      <w:pPr>
        <w:spacing w:line="360" w:lineRule="auto"/>
        <w:jc w:val="both"/>
        <w:rPr>
          <w:rFonts w:ascii="Arabic Transparent" w:hAnsi="Arabic Transparent" w:cs="Arabic Transparent"/>
          <w:sz w:val="24"/>
          <w:szCs w:val="24"/>
          <w:rtl/>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الطبري، </w:t>
      </w:r>
      <w:r w:rsidRPr="002273BC">
        <w:rPr>
          <w:rFonts w:ascii="Arabic Transparent" w:hAnsi="Arabic Transparent" w:cs="Arabic Transparent" w:hint="cs"/>
          <w:b/>
          <w:bCs/>
          <w:sz w:val="24"/>
          <w:szCs w:val="24"/>
          <w:rtl/>
        </w:rPr>
        <w:t>جامع البيان عن تأويل آي القرآن</w:t>
      </w:r>
      <w:r w:rsidRPr="002273BC">
        <w:rPr>
          <w:rFonts w:ascii="Arabic Transparent" w:hAnsi="Arabic Transparent" w:cs="Arabic Transparent" w:hint="cs"/>
          <w:sz w:val="24"/>
          <w:szCs w:val="24"/>
          <w:rtl/>
        </w:rPr>
        <w:t>،</w:t>
      </w:r>
      <w:r w:rsidR="00955752" w:rsidRPr="002273BC">
        <w:rPr>
          <w:rFonts w:ascii="Arabic Transparent" w:hAnsi="Arabic Transparent" w:cs="Arabic Transparent" w:hint="cs"/>
          <w:sz w:val="24"/>
          <w:szCs w:val="24"/>
          <w:rtl/>
        </w:rPr>
        <w:t xml:space="preserve"> مصدر سابق،</w:t>
      </w:r>
      <w:r w:rsidRPr="002273BC">
        <w:rPr>
          <w:rFonts w:ascii="Arabic Transparent" w:hAnsi="Arabic Transparent" w:cs="Arabic Transparent" w:hint="cs"/>
          <w:sz w:val="24"/>
          <w:szCs w:val="24"/>
          <w:rtl/>
        </w:rPr>
        <w:t xml:space="preserve"> ج3، ص567</w:t>
      </w:r>
      <w:r w:rsidR="00955752" w:rsidRPr="002273BC">
        <w:rPr>
          <w:rFonts w:ascii="Arabic Transparent" w:hAnsi="Arabic Transparent" w:cs="Arabic Transparent" w:hint="cs"/>
          <w:sz w:val="24"/>
          <w:szCs w:val="24"/>
          <w:rtl/>
        </w:rPr>
        <w:t>.</w:t>
      </w:r>
    </w:p>
  </w:footnote>
  <w:footnote w:id="391">
    <w:p w14:paraId="0F44C0E0" w14:textId="353DA384"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مجموعة من المؤلفين، (2009)، </w:t>
      </w:r>
      <w:r w:rsidRPr="002273BC">
        <w:rPr>
          <w:rFonts w:ascii="Arabic Transparent" w:hAnsi="Arabic Transparent" w:cs="Arabic Transparent" w:hint="cs"/>
          <w:b/>
          <w:bCs/>
          <w:sz w:val="24"/>
          <w:szCs w:val="24"/>
          <w:rtl/>
          <w:lang w:bidi="ar-JO"/>
        </w:rPr>
        <w:t>فتاوى الشبكة الإسلامية</w:t>
      </w:r>
      <w:r w:rsidRPr="002273BC">
        <w:rPr>
          <w:rFonts w:ascii="Arabic Transparent" w:hAnsi="Arabic Transparent" w:cs="Arabic Transparent" w:hint="cs"/>
          <w:sz w:val="24"/>
          <w:szCs w:val="24"/>
          <w:rtl/>
          <w:lang w:bidi="ar-JO"/>
        </w:rPr>
        <w:t>، ط1، ج13، ص</w:t>
      </w:r>
      <w:r w:rsidR="00024153">
        <w:rPr>
          <w:rFonts w:ascii="Arabic Transparent" w:hAnsi="Arabic Transparent" w:cs="Arabic Transparent" w:hint="cs"/>
          <w:sz w:val="24"/>
          <w:szCs w:val="24"/>
          <w:rtl/>
          <w:lang w:bidi="ar-JO"/>
        </w:rPr>
        <w:t>1694</w:t>
      </w:r>
      <w:r w:rsidRPr="002273BC">
        <w:rPr>
          <w:rFonts w:ascii="Arabic Transparent" w:hAnsi="Arabic Transparent" w:cs="Arabic Transparent" w:hint="cs"/>
          <w:sz w:val="24"/>
          <w:szCs w:val="24"/>
          <w:rtl/>
          <w:lang w:bidi="ar-JO"/>
        </w:rPr>
        <w:t>، دار المعارف، جدة.</w:t>
      </w:r>
    </w:p>
  </w:footnote>
  <w:footnote w:id="392">
    <w:p w14:paraId="5BA7F7BD" w14:textId="0DC06A7C"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انظر: </w:t>
      </w:r>
      <w:r w:rsidR="00955752" w:rsidRPr="002273BC">
        <w:rPr>
          <w:rFonts w:ascii="Arabic Transparent" w:hAnsi="Arabic Transparent" w:cs="Arabic Transparent"/>
          <w:sz w:val="24"/>
          <w:szCs w:val="24"/>
          <w:rtl/>
          <w:lang w:bidi="ar-JO"/>
        </w:rPr>
        <w:t>الرملي، شمس الدين محمد بن أبي العباس أحمد بن حمزة (1984</w:t>
      </w:r>
      <w:r w:rsidR="00955752" w:rsidRPr="002273BC">
        <w:rPr>
          <w:rFonts w:ascii="Arabic Transparent" w:hAnsi="Arabic Transparent" w:cs="Arabic Transparent"/>
          <w:b/>
          <w:bCs/>
          <w:sz w:val="24"/>
          <w:szCs w:val="24"/>
          <w:rtl/>
          <w:lang w:bidi="ar-JO"/>
        </w:rPr>
        <w:t>). نهاية المحتاج إلى شرح المنهاج</w:t>
      </w:r>
      <w:r w:rsidR="00955752" w:rsidRPr="002273BC">
        <w:rPr>
          <w:rFonts w:ascii="Arabic Transparent" w:hAnsi="Arabic Transparent" w:cs="Arabic Transparent"/>
          <w:sz w:val="24"/>
          <w:szCs w:val="24"/>
          <w:rtl/>
          <w:lang w:bidi="ar-JO"/>
        </w:rPr>
        <w:t>، ط1، ج1، ص367</w:t>
      </w:r>
      <w:r w:rsidR="00955752" w:rsidRPr="002273BC">
        <w:rPr>
          <w:rFonts w:ascii="Arabic Transparent" w:hAnsi="Arabic Transparent" w:cs="Arabic Transparent" w:hint="cs"/>
          <w:sz w:val="24"/>
          <w:szCs w:val="24"/>
          <w:rtl/>
          <w:lang w:bidi="ar-JO"/>
        </w:rPr>
        <w:t xml:space="preserve">، </w:t>
      </w:r>
      <w:r w:rsidR="00955752" w:rsidRPr="002273BC">
        <w:rPr>
          <w:rFonts w:ascii="Arabic Transparent" w:hAnsi="Arabic Transparent" w:cs="Arabic Transparent"/>
          <w:sz w:val="24"/>
          <w:szCs w:val="24"/>
          <w:rtl/>
          <w:lang w:bidi="ar-JO"/>
        </w:rPr>
        <w:t>دار الفكر، بيروت.</w:t>
      </w:r>
    </w:p>
  </w:footnote>
  <w:footnote w:id="393">
    <w:p w14:paraId="55D7E780" w14:textId="03A0FE85"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انظر: الدميري، محمد بن موسى بن عيسى، كمال الدين (2004)، </w:t>
      </w:r>
      <w:r w:rsidRPr="002273BC">
        <w:rPr>
          <w:rFonts w:ascii="Arabic Transparent" w:hAnsi="Arabic Transparent" w:cs="Arabic Transparent" w:hint="cs"/>
          <w:b/>
          <w:bCs/>
          <w:sz w:val="24"/>
          <w:szCs w:val="24"/>
          <w:rtl/>
          <w:lang w:bidi="ar-JO"/>
        </w:rPr>
        <w:t>النجم الوهاج في شرح المنهاج</w:t>
      </w:r>
      <w:r w:rsidRPr="002273BC">
        <w:rPr>
          <w:rFonts w:ascii="Arabic Transparent" w:hAnsi="Arabic Transparent" w:cs="Arabic Transparent" w:hint="cs"/>
          <w:sz w:val="24"/>
          <w:szCs w:val="24"/>
          <w:rtl/>
          <w:lang w:bidi="ar-JO"/>
        </w:rPr>
        <w:t xml:space="preserve">، تحقيق: لجنة علمية، ط1، ج8، ص582، دار المنهاج، جدة، والخرشي، </w:t>
      </w:r>
      <w:r w:rsidRPr="002273BC">
        <w:rPr>
          <w:rFonts w:ascii="Arabic Transparent" w:hAnsi="Arabic Transparent" w:cs="Arabic Transparent" w:hint="cs"/>
          <w:b/>
          <w:bCs/>
          <w:sz w:val="24"/>
          <w:szCs w:val="24"/>
          <w:rtl/>
          <w:lang w:bidi="ar-JO"/>
        </w:rPr>
        <w:t>شرح مختصر خليل</w:t>
      </w:r>
      <w:r w:rsidRPr="002273BC">
        <w:rPr>
          <w:rFonts w:ascii="Arabic Transparent" w:hAnsi="Arabic Transparent" w:cs="Arabic Transparent" w:hint="cs"/>
          <w:sz w:val="24"/>
          <w:szCs w:val="24"/>
          <w:rtl/>
          <w:lang w:bidi="ar-JO"/>
        </w:rPr>
        <w:t>، مصدر سابق، ج1، ص204.</w:t>
      </w:r>
    </w:p>
  </w:footnote>
  <w:footnote w:id="394">
    <w:p w14:paraId="56D8EB2C"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نسبه القرافي في كتابه الفروق لعمر بن عبدالعزيز، انظر: القرافي، </w:t>
      </w:r>
      <w:r w:rsidRPr="002273BC">
        <w:rPr>
          <w:rFonts w:ascii="Arabic Transparent" w:hAnsi="Arabic Transparent" w:cs="Arabic Transparent" w:hint="cs"/>
          <w:b/>
          <w:bCs/>
          <w:sz w:val="24"/>
          <w:szCs w:val="24"/>
          <w:rtl/>
          <w:lang w:bidi="ar-JO"/>
        </w:rPr>
        <w:t>الفروق</w:t>
      </w:r>
      <w:r w:rsidRPr="002273BC">
        <w:rPr>
          <w:rFonts w:ascii="Arabic Transparent" w:hAnsi="Arabic Transparent" w:cs="Arabic Transparent" w:hint="cs"/>
          <w:sz w:val="24"/>
          <w:szCs w:val="24"/>
          <w:rtl/>
          <w:lang w:bidi="ar-JO"/>
        </w:rPr>
        <w:t>، مصدر سابق، ج4، ص971.</w:t>
      </w:r>
    </w:p>
  </w:footnote>
  <w:footnote w:id="395">
    <w:p w14:paraId="5AC2D05F"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انظر: الحاج، </w:t>
      </w:r>
      <w:r w:rsidRPr="002273BC">
        <w:rPr>
          <w:rFonts w:ascii="Arabic Transparent" w:hAnsi="Arabic Transparent" w:cs="Arabic Transparent" w:hint="cs"/>
          <w:b/>
          <w:bCs/>
          <w:sz w:val="24"/>
          <w:szCs w:val="24"/>
          <w:rtl/>
          <w:lang w:bidi="ar-JO"/>
        </w:rPr>
        <w:t>أثر تطور المعارف الطبية على تغير الفتوى والقضاء</w:t>
      </w:r>
      <w:r w:rsidRPr="002273BC">
        <w:rPr>
          <w:rFonts w:ascii="Arabic Transparent" w:hAnsi="Arabic Transparent" w:cs="Arabic Transparent" w:hint="cs"/>
          <w:sz w:val="24"/>
          <w:szCs w:val="24"/>
          <w:rtl/>
          <w:lang w:bidi="ar-JO"/>
        </w:rPr>
        <w:t>، مصدر سابق، ص583- 585.</w:t>
      </w:r>
    </w:p>
  </w:footnote>
  <w:footnote w:id="396">
    <w:p w14:paraId="7EC0C119" w14:textId="77777777" w:rsidR="004E383D" w:rsidRPr="002273BC" w:rsidRDefault="004E383D" w:rsidP="00EA3738">
      <w:pPr>
        <w:pStyle w:val="FootnoteText"/>
        <w:spacing w:line="348"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قال ابن قدامة: "الكفار: </w:t>
      </w:r>
      <w:r w:rsidRPr="002273BC">
        <w:rPr>
          <w:rFonts w:ascii="Arabic Transparent" w:hAnsi="Arabic Transparent" w:cs="Arabic Transparent"/>
          <w:sz w:val="24"/>
          <w:szCs w:val="24"/>
          <w:rtl/>
          <w:lang w:bidi="ar-JO"/>
        </w:rPr>
        <w:t>ضربان؛ أحدهما، من يرجى إسلامه، فيعطى لتقوى نيته فى الإسلام، وتميل نفسه إليه، فيسل</w:t>
      </w:r>
      <w:r w:rsidRPr="002273BC">
        <w:rPr>
          <w:rFonts w:ascii="Arabic Transparent" w:hAnsi="Arabic Transparent" w:cs="Arabic Transparent" w:hint="cs"/>
          <w:sz w:val="24"/>
          <w:szCs w:val="24"/>
          <w:rtl/>
          <w:lang w:bidi="ar-JO"/>
        </w:rPr>
        <w:t xml:space="preserve">م، </w:t>
      </w:r>
      <w:r w:rsidRPr="002273BC">
        <w:rPr>
          <w:rFonts w:ascii="Arabic Transparent" w:hAnsi="Arabic Transparent" w:cs="Arabic Transparent"/>
          <w:sz w:val="24"/>
          <w:szCs w:val="24"/>
          <w:rtl/>
          <w:lang w:bidi="ar-JO"/>
        </w:rPr>
        <w:t xml:space="preserve">والضرب </w:t>
      </w:r>
      <w:r w:rsidRPr="002273BC">
        <w:rPr>
          <w:rFonts w:ascii="Arabic Transparent" w:hAnsi="Arabic Transparent" w:cs="Arabic Transparent" w:hint="cs"/>
          <w:sz w:val="24"/>
          <w:szCs w:val="24"/>
          <w:rtl/>
          <w:lang w:bidi="ar-JO"/>
        </w:rPr>
        <w:t>الثاني</w:t>
      </w:r>
      <w:r w:rsidRPr="002273BC">
        <w:rPr>
          <w:rFonts w:ascii="Arabic Transparent" w:hAnsi="Arabic Transparent" w:cs="Arabic Transparent"/>
          <w:sz w:val="24"/>
          <w:szCs w:val="24"/>
          <w:rtl/>
          <w:lang w:bidi="ar-JO"/>
        </w:rPr>
        <w:t>، من يخشى شره، ويرجى بعطيته كف شره وكف غيره معه</w:t>
      </w:r>
      <w:r w:rsidRPr="002273BC">
        <w:rPr>
          <w:rFonts w:ascii="Arabic Transparent" w:hAnsi="Arabic Transparent" w:cs="Arabic Transparent" w:hint="cs"/>
          <w:sz w:val="24"/>
          <w:szCs w:val="24"/>
          <w:rtl/>
          <w:lang w:bidi="ar-JO"/>
        </w:rPr>
        <w:t xml:space="preserve">، </w:t>
      </w:r>
      <w:r w:rsidRPr="002273BC">
        <w:rPr>
          <w:rFonts w:ascii="Arabic Transparent" w:hAnsi="Arabic Transparent" w:cs="Arabic Transparent"/>
          <w:sz w:val="24"/>
          <w:szCs w:val="24"/>
          <w:rtl/>
          <w:lang w:bidi="ar-JO"/>
        </w:rPr>
        <w:t>وأما المسلمون فأربعة أضرب؛ قوم من سادات المسلمين لهم نظراء من الكفار، ومن المسلمين الذين لهم نية حسنة فى الإسلام، فإذا أعطوا رجى إسلام نظرائهم وحسن نياتهم، فيجوز إعطاؤهم</w:t>
      </w:r>
      <w:r w:rsidRPr="002273BC">
        <w:rPr>
          <w:rFonts w:ascii="Arabic Transparent" w:hAnsi="Arabic Transparent" w:cs="Arabic Transparent" w:hint="cs"/>
          <w:sz w:val="24"/>
          <w:szCs w:val="24"/>
          <w:rtl/>
          <w:lang w:bidi="ar-JO"/>
        </w:rPr>
        <w:t xml:space="preserve">، </w:t>
      </w:r>
      <w:r w:rsidRPr="002273BC">
        <w:rPr>
          <w:rFonts w:ascii="Arabic Transparent" w:hAnsi="Arabic Transparent" w:cs="Arabic Transparent"/>
          <w:sz w:val="24"/>
          <w:szCs w:val="24"/>
          <w:rtl/>
          <w:lang w:bidi="ar-JO"/>
        </w:rPr>
        <w:t xml:space="preserve">الضرب </w:t>
      </w:r>
      <w:r w:rsidRPr="002273BC">
        <w:rPr>
          <w:rFonts w:ascii="Arabic Transparent" w:hAnsi="Arabic Transparent" w:cs="Arabic Transparent" w:hint="cs"/>
          <w:sz w:val="24"/>
          <w:szCs w:val="24"/>
          <w:rtl/>
          <w:lang w:bidi="ar-JO"/>
        </w:rPr>
        <w:t>الثاني</w:t>
      </w:r>
      <w:r w:rsidRPr="002273BC">
        <w:rPr>
          <w:rFonts w:ascii="Arabic Transparent" w:hAnsi="Arabic Transparent" w:cs="Arabic Transparent"/>
          <w:sz w:val="24"/>
          <w:szCs w:val="24"/>
          <w:rtl/>
          <w:lang w:bidi="ar-JO"/>
        </w:rPr>
        <w:t>، سادات مطاعون فى قومهم يرجى بعطيتهم قوة إيمانهم، ومناصحتهم فى الجهاد، فإنهم يعطون</w:t>
      </w:r>
      <w:r w:rsidRPr="002273BC">
        <w:rPr>
          <w:rFonts w:ascii="Arabic Transparent" w:hAnsi="Arabic Transparent" w:cs="Arabic Transparent" w:hint="cs"/>
          <w:sz w:val="24"/>
          <w:szCs w:val="24"/>
          <w:rtl/>
          <w:lang w:bidi="ar-JO"/>
        </w:rPr>
        <w:t xml:space="preserve">، </w:t>
      </w:r>
      <w:r w:rsidRPr="002273BC">
        <w:rPr>
          <w:rFonts w:ascii="Arabic Transparent" w:hAnsi="Arabic Transparent" w:cs="Arabic Transparent"/>
          <w:sz w:val="24"/>
          <w:szCs w:val="24"/>
          <w:rtl/>
          <w:lang w:bidi="ar-JO"/>
        </w:rPr>
        <w:t>الضرب الثالث، قوم فى طرف بلاد الإسلام، إذا أعطوا دفعوا عمن يليهم من المسلمين. الضرب الرابع: قوم إذا أعطوا أجبوا الزكاة ممن لا يعطيها إلا أن يخاف</w:t>
      </w:r>
      <w:r w:rsidRPr="002273BC">
        <w:rPr>
          <w:rFonts w:ascii="Arabic Transparent" w:hAnsi="Arabic Transparent" w:cs="Arabic Transparent" w:hint="cs"/>
          <w:sz w:val="24"/>
          <w:szCs w:val="24"/>
          <w:rtl/>
          <w:lang w:bidi="ar-JO"/>
        </w:rPr>
        <w:t xml:space="preserve">"، ابن قدامة، </w:t>
      </w:r>
      <w:r w:rsidRPr="002273BC">
        <w:rPr>
          <w:rFonts w:ascii="Arabic Transparent" w:hAnsi="Arabic Transparent" w:cs="Arabic Transparent" w:hint="cs"/>
          <w:b/>
          <w:bCs/>
          <w:sz w:val="24"/>
          <w:szCs w:val="24"/>
          <w:rtl/>
          <w:lang w:bidi="ar-JO"/>
        </w:rPr>
        <w:t>المغني</w:t>
      </w:r>
      <w:r w:rsidRPr="002273BC">
        <w:rPr>
          <w:rFonts w:ascii="Arabic Transparent" w:hAnsi="Arabic Transparent" w:cs="Arabic Transparent" w:hint="cs"/>
          <w:sz w:val="24"/>
          <w:szCs w:val="24"/>
          <w:rtl/>
          <w:lang w:bidi="ar-JO"/>
        </w:rPr>
        <w:t>، مصدر سابق، ج9، ص318.</w:t>
      </w:r>
    </w:p>
  </w:footnote>
  <w:footnote w:id="397">
    <w:p w14:paraId="43BCCE33" w14:textId="77777777" w:rsidR="004E383D" w:rsidRPr="002273BC" w:rsidRDefault="004E383D" w:rsidP="00EA3738">
      <w:pPr>
        <w:pStyle w:val="FootnoteText"/>
        <w:spacing w:line="348"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المصدر السابق ذاته ج9، ص318.</w:t>
      </w:r>
    </w:p>
  </w:footnote>
  <w:footnote w:id="398">
    <w:p w14:paraId="3D3F4694" w14:textId="18B6C1A4" w:rsidR="004E383D" w:rsidRPr="002273BC" w:rsidRDefault="004E383D" w:rsidP="00EA3738">
      <w:pPr>
        <w:pStyle w:val="FootnoteText"/>
        <w:spacing w:line="348"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هذا الضابط وضعه الباحث بعد استقراء صور المؤلفة قلوبهم عند العلماء، انظر: الشافعي، </w:t>
      </w:r>
      <w:r w:rsidRPr="002273BC">
        <w:rPr>
          <w:rFonts w:ascii="Arabic Transparent" w:hAnsi="Arabic Transparent" w:cs="Arabic Transparent" w:hint="cs"/>
          <w:b/>
          <w:bCs/>
          <w:sz w:val="24"/>
          <w:szCs w:val="24"/>
          <w:rtl/>
          <w:lang w:bidi="ar-JO"/>
        </w:rPr>
        <w:t>الأم</w:t>
      </w:r>
      <w:r w:rsidRPr="002273BC">
        <w:rPr>
          <w:rFonts w:ascii="Arabic Transparent" w:hAnsi="Arabic Transparent" w:cs="Arabic Transparent" w:hint="cs"/>
          <w:sz w:val="24"/>
          <w:szCs w:val="24"/>
          <w:rtl/>
          <w:lang w:bidi="ar-JO"/>
        </w:rPr>
        <w:t>، مصدر سابق، ج2، ص82، وانظر، وانظر: المبسوط،</w:t>
      </w:r>
      <w:r w:rsidRPr="002273BC">
        <w:rPr>
          <w:rFonts w:ascii="Arabic Transparent" w:hAnsi="Arabic Transparent" w:cs="Arabic Transparent" w:hint="cs"/>
          <w:b/>
          <w:bCs/>
          <w:sz w:val="24"/>
          <w:szCs w:val="24"/>
          <w:rtl/>
          <w:lang w:bidi="ar-JO"/>
        </w:rPr>
        <w:t xml:space="preserve"> السرخسي</w:t>
      </w:r>
      <w:r w:rsidRPr="002273BC">
        <w:rPr>
          <w:rFonts w:ascii="Arabic Transparent" w:hAnsi="Arabic Transparent" w:cs="Arabic Transparent" w:hint="cs"/>
          <w:sz w:val="24"/>
          <w:szCs w:val="24"/>
          <w:rtl/>
          <w:lang w:bidi="ar-JO"/>
        </w:rPr>
        <w:t xml:space="preserve">، مصدر سابق، ج10، </w:t>
      </w:r>
      <w:r w:rsidR="00024153">
        <w:rPr>
          <w:rFonts w:ascii="Arabic Transparent" w:hAnsi="Arabic Transparent" w:cs="Arabic Transparent" w:hint="cs"/>
          <w:sz w:val="24"/>
          <w:szCs w:val="24"/>
          <w:rtl/>
          <w:lang w:bidi="ar-JO"/>
        </w:rPr>
        <w:t>ص</w:t>
      </w:r>
      <w:r w:rsidRPr="002273BC">
        <w:rPr>
          <w:rFonts w:ascii="Arabic Transparent" w:hAnsi="Arabic Transparent" w:cs="Arabic Transparent" w:hint="cs"/>
          <w:sz w:val="24"/>
          <w:szCs w:val="24"/>
          <w:rtl/>
          <w:lang w:bidi="ar-JO"/>
        </w:rPr>
        <w:t xml:space="preserve">87، وانظر: الكاساني، </w:t>
      </w:r>
      <w:r w:rsidRPr="002273BC">
        <w:rPr>
          <w:rFonts w:ascii="Arabic Transparent" w:hAnsi="Arabic Transparent" w:cs="Arabic Transparent" w:hint="cs"/>
          <w:b/>
          <w:bCs/>
          <w:sz w:val="24"/>
          <w:szCs w:val="24"/>
          <w:rtl/>
          <w:lang w:bidi="ar-JO"/>
        </w:rPr>
        <w:t xml:space="preserve">بدائع الصنائع، </w:t>
      </w:r>
      <w:r w:rsidRPr="002273BC">
        <w:rPr>
          <w:rFonts w:ascii="Arabic Transparent" w:hAnsi="Arabic Transparent" w:cs="Arabic Transparent" w:hint="cs"/>
          <w:sz w:val="24"/>
          <w:szCs w:val="24"/>
          <w:rtl/>
          <w:lang w:bidi="ar-JO"/>
        </w:rPr>
        <w:t>مصدر سابق، ج2، ص45.</w:t>
      </w:r>
    </w:p>
  </w:footnote>
  <w:footnote w:id="399">
    <w:p w14:paraId="3F83839E" w14:textId="30379559" w:rsidR="004E383D" w:rsidRPr="002273BC" w:rsidRDefault="004E383D" w:rsidP="00EA3738">
      <w:pPr>
        <w:pStyle w:val="FootnoteText"/>
        <w:spacing w:line="348"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وقد ثبت في الأثر عن عمر </w:t>
      </w:r>
      <w:r w:rsidRPr="002273BC">
        <w:rPr>
          <w:rFonts w:ascii="AGA Arabesque" w:eastAsia="AGA Arabesque" w:hAnsi="AGA Arabesque" w:cs="AGA Arabesque"/>
          <w:sz w:val="24"/>
          <w:szCs w:val="24"/>
          <w:lang w:bidi="ar-JO"/>
        </w:rPr>
        <w:t></w:t>
      </w:r>
      <w:r w:rsidR="005D7B91" w:rsidRPr="002273BC">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sz w:val="24"/>
          <w:szCs w:val="24"/>
          <w:rtl/>
          <w:lang w:bidi="ar-JO"/>
        </w:rPr>
        <w:t xml:space="preserve">رداً على من طلب من سهم المؤلفة قلوبهم، حيث قال: "إن رسول الله </w:t>
      </w:r>
      <w:r w:rsidR="005224A0" w:rsidRPr="002273BC">
        <w:rPr>
          <w:rFonts w:ascii="AGA Arabesque" w:eastAsia="AGA Arabesque" w:hAnsi="AGA Arabesque" w:cs="AGA Arabesque"/>
          <w:sz w:val="24"/>
          <w:szCs w:val="24"/>
          <w:lang w:bidi="ar-JO"/>
        </w:rPr>
        <w:t></w:t>
      </w:r>
      <w:r w:rsidRPr="002273BC">
        <w:rPr>
          <w:rFonts w:ascii="Arabic Transparent" w:hAnsi="Arabic Transparent" w:cs="Arabic Transparent" w:hint="cs"/>
          <w:sz w:val="24"/>
          <w:szCs w:val="24"/>
          <w:rtl/>
          <w:lang w:bidi="ar-JO"/>
        </w:rPr>
        <w:t xml:space="preserve"> ‌كان ‌يتألفكما ‌والإسلام ‌يومئذ ‌ذليل، وإن الله قد أعز الإسلام، فاذهبا فأجهدا جهدكما، لا أرعى الله عليكما إن رعيتما"، أخرجه البيهقي في السنن الكبرى،</w:t>
      </w:r>
      <w:r w:rsidR="00955752" w:rsidRPr="002273BC">
        <w:rPr>
          <w:rFonts w:ascii="Arabic Transparent" w:hAnsi="Arabic Transparent" w:cs="Arabic Transparent" w:hint="cs"/>
          <w:sz w:val="24"/>
          <w:szCs w:val="24"/>
          <w:rtl/>
          <w:lang w:bidi="ar-JO"/>
        </w:rPr>
        <w:t>،</w:t>
      </w:r>
      <w:r w:rsidRPr="002273BC">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b/>
          <w:bCs/>
          <w:sz w:val="24"/>
          <w:szCs w:val="24"/>
          <w:rtl/>
          <w:lang w:bidi="ar-JO"/>
        </w:rPr>
        <w:t>السنن الكبرى</w:t>
      </w:r>
      <w:r w:rsidRPr="002273BC">
        <w:rPr>
          <w:rFonts w:ascii="Arabic Transparent" w:hAnsi="Arabic Transparent" w:cs="Arabic Transparent" w:hint="cs"/>
          <w:sz w:val="24"/>
          <w:szCs w:val="24"/>
          <w:rtl/>
          <w:lang w:bidi="ar-JO"/>
        </w:rPr>
        <w:t xml:space="preserve">، </w:t>
      </w:r>
      <w:r w:rsidR="00955752" w:rsidRPr="002273BC">
        <w:rPr>
          <w:rFonts w:ascii="Arabic Transparent" w:hAnsi="Arabic Transparent" w:cs="Arabic Transparent" w:hint="cs"/>
          <w:sz w:val="24"/>
          <w:szCs w:val="24"/>
          <w:rtl/>
          <w:lang w:bidi="ar-JO"/>
        </w:rPr>
        <w:t>مصدر سابق</w:t>
      </w:r>
      <w:r w:rsidRPr="002273BC">
        <w:rPr>
          <w:rFonts w:ascii="Arabic Transparent" w:hAnsi="Arabic Transparent" w:cs="Arabic Transparent" w:hint="cs"/>
          <w:sz w:val="24"/>
          <w:szCs w:val="24"/>
          <w:rtl/>
          <w:lang w:bidi="ar-JO"/>
        </w:rPr>
        <w:t>، كتاب قسم الصدقات، ‌‌باب سقوط سهم المؤلفة قلوبهم وترك إعطائهم عند ظهور الإسلام، والاستغناء عن التألف عليه، رقم</w:t>
      </w:r>
      <w:r w:rsidR="005D7B91" w:rsidRPr="002273BC">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sz w:val="24"/>
          <w:szCs w:val="24"/>
          <w:rtl/>
          <w:lang w:bidi="ar-JO"/>
        </w:rPr>
        <w:t xml:space="preserve">13189، ج7، ص32، والحديث ضعيف وأسانيده مرسلة، </w:t>
      </w:r>
      <w:r w:rsidR="004241DD" w:rsidRPr="002273BC">
        <w:rPr>
          <w:rFonts w:ascii="Arabic Transparent" w:hAnsi="Arabic Transparent" w:cs="Arabic Transparent"/>
          <w:sz w:val="24"/>
          <w:szCs w:val="24"/>
          <w:rtl/>
          <w:lang w:bidi="ar-JO"/>
        </w:rPr>
        <w:t xml:space="preserve">ابن حجر العسقلاني، أحمد بن علي (د.ت). </w:t>
      </w:r>
      <w:r w:rsidR="004241DD" w:rsidRPr="002273BC">
        <w:rPr>
          <w:rFonts w:ascii="Arabic Transparent" w:hAnsi="Arabic Transparent" w:cs="Arabic Transparent"/>
          <w:b/>
          <w:bCs/>
          <w:sz w:val="24"/>
          <w:szCs w:val="24"/>
          <w:rtl/>
          <w:lang w:bidi="ar-JO"/>
        </w:rPr>
        <w:t>التلخيص الحبير في تخريج أحاديث الرافعي الكبير</w:t>
      </w:r>
      <w:r w:rsidR="004241DD" w:rsidRPr="002273BC">
        <w:rPr>
          <w:rFonts w:ascii="Arabic Transparent" w:hAnsi="Arabic Transparent" w:cs="Arabic Transparent"/>
          <w:sz w:val="24"/>
          <w:szCs w:val="24"/>
          <w:rtl/>
          <w:lang w:bidi="ar-JO"/>
        </w:rPr>
        <w:t>، ط1،</w:t>
      </w:r>
      <w:r w:rsidR="004241DD" w:rsidRPr="002273BC">
        <w:rPr>
          <w:rFonts w:ascii="Arabic Transparent" w:hAnsi="Arabic Transparent" w:cs="Arabic Transparent" w:hint="cs"/>
          <w:sz w:val="24"/>
          <w:szCs w:val="24"/>
          <w:rtl/>
          <w:lang w:bidi="ar-JO"/>
        </w:rPr>
        <w:t xml:space="preserve"> </w:t>
      </w:r>
      <w:r w:rsidR="004241DD" w:rsidRPr="002273BC">
        <w:rPr>
          <w:rFonts w:ascii="Arabic Transparent" w:hAnsi="Arabic Transparent" w:cs="Arabic Transparent"/>
          <w:sz w:val="24"/>
          <w:szCs w:val="24"/>
          <w:rtl/>
          <w:lang w:bidi="ar-JO"/>
        </w:rPr>
        <w:t>ج3، ص246. شركة الطباعة الفنية المتحدة – القاهرة.</w:t>
      </w:r>
    </w:p>
  </w:footnote>
  <w:footnote w:id="400">
    <w:p w14:paraId="335D14CC" w14:textId="77777777" w:rsidR="004E383D" w:rsidRPr="002273BC" w:rsidRDefault="004E383D" w:rsidP="00EA3738">
      <w:pPr>
        <w:pStyle w:val="FootnoteText"/>
        <w:spacing w:line="348"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انظر: </w:t>
      </w:r>
      <w:r w:rsidRPr="002273BC">
        <w:rPr>
          <w:rFonts w:ascii="Arabic Transparent" w:hAnsi="Arabic Transparent" w:cs="Arabic Transparent" w:hint="cs"/>
          <w:sz w:val="24"/>
          <w:szCs w:val="24"/>
          <w:rtl/>
          <w:lang w:bidi="ar-JO"/>
        </w:rPr>
        <w:t xml:space="preserve">العالم، يوسف حامد، (1994)، </w:t>
      </w:r>
      <w:r w:rsidRPr="002273BC">
        <w:rPr>
          <w:rFonts w:ascii="Arabic Transparent" w:hAnsi="Arabic Transparent" w:cs="Arabic Transparent" w:hint="cs"/>
          <w:b/>
          <w:bCs/>
          <w:sz w:val="24"/>
          <w:szCs w:val="24"/>
          <w:rtl/>
          <w:lang w:bidi="ar-JO"/>
        </w:rPr>
        <w:t>المقاصد العامة للشريعة الإسلامية</w:t>
      </w:r>
      <w:r w:rsidRPr="002273BC">
        <w:rPr>
          <w:rFonts w:ascii="Arabic Transparent" w:hAnsi="Arabic Transparent" w:cs="Arabic Transparent" w:hint="cs"/>
          <w:sz w:val="24"/>
          <w:szCs w:val="24"/>
          <w:rtl/>
          <w:lang w:bidi="ar-JO"/>
        </w:rPr>
        <w:t>، ط2، ص281، الدار العالمية للكتاب الإسلامي- الرياض.</w:t>
      </w:r>
    </w:p>
  </w:footnote>
  <w:footnote w:id="401">
    <w:p w14:paraId="14F3AC21" w14:textId="255E9AF9" w:rsidR="004E383D" w:rsidRPr="002273BC" w:rsidRDefault="004E383D" w:rsidP="00EA3738">
      <w:pPr>
        <w:pStyle w:val="FootnoteText"/>
        <w:spacing w:line="348"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00CE1A95" w:rsidRPr="00024153">
        <w:rPr>
          <w:rFonts w:ascii="Arabic Transparent" w:hAnsi="Arabic Transparent" w:cs="Arabic Transparent" w:hint="cs"/>
          <w:b/>
          <w:bCs/>
          <w:sz w:val="24"/>
          <w:szCs w:val="24"/>
          <w:rtl/>
        </w:rPr>
        <w:t>مجلة</w:t>
      </w:r>
      <w:r w:rsidRPr="00024153">
        <w:rPr>
          <w:rFonts w:ascii="Arabic Transparent" w:hAnsi="Arabic Transparent" w:cs="Arabic Transparent" w:hint="cs"/>
          <w:b/>
          <w:bCs/>
          <w:sz w:val="24"/>
          <w:szCs w:val="24"/>
          <w:rtl/>
        </w:rPr>
        <w:t xml:space="preserve"> مجمع الفقه الإسلامي</w:t>
      </w:r>
      <w:r w:rsidRPr="002273BC">
        <w:rPr>
          <w:rFonts w:ascii="Arabic Transparent" w:hAnsi="Arabic Transparent" w:cs="Arabic Transparent" w:hint="cs"/>
          <w:sz w:val="24"/>
          <w:szCs w:val="24"/>
          <w:rtl/>
        </w:rPr>
        <w:t xml:space="preserve"> التابع لمنظمة المؤتمر الإسلامي بجدة </w:t>
      </w:r>
      <w:r w:rsidR="00CE1A95" w:rsidRPr="002273BC">
        <w:rPr>
          <w:rFonts w:ascii="Arabic Transparent" w:hAnsi="Arabic Transparent" w:cs="Arabic Transparent" w:hint="cs"/>
          <w:sz w:val="24"/>
          <w:szCs w:val="24"/>
          <w:rtl/>
        </w:rPr>
        <w:t xml:space="preserve">الدورة </w:t>
      </w:r>
      <w:r w:rsidRPr="002273BC">
        <w:rPr>
          <w:rFonts w:ascii="Arabic Transparent" w:hAnsi="Arabic Transparent" w:cs="Arabic Transparent" w:hint="cs"/>
          <w:sz w:val="24"/>
          <w:szCs w:val="24"/>
          <w:rtl/>
        </w:rPr>
        <w:t xml:space="preserve">رقم 9 </w:t>
      </w:r>
      <w:r w:rsidR="00CE1A95" w:rsidRPr="002273BC">
        <w:rPr>
          <w:rFonts w:ascii="Arabic Transparent" w:hAnsi="Arabic Transparent" w:cs="Arabic Transparent" w:hint="cs"/>
          <w:sz w:val="24"/>
          <w:szCs w:val="24"/>
          <w:rtl/>
        </w:rPr>
        <w:t>عام</w:t>
      </w:r>
      <w:r w:rsidRPr="002273BC">
        <w:rPr>
          <w:rFonts w:ascii="Arabic Transparent" w:hAnsi="Arabic Transparent" w:cs="Arabic Transparent" w:hint="cs"/>
          <w:sz w:val="24"/>
          <w:szCs w:val="24"/>
          <w:rtl/>
        </w:rPr>
        <w:t xml:space="preserve"> (</w:t>
      </w:r>
      <w:r w:rsidR="00CE1A95" w:rsidRPr="002273BC">
        <w:rPr>
          <w:rFonts w:ascii="Arabic Transparent" w:hAnsi="Arabic Transparent" w:cs="Arabic Transparent"/>
          <w:sz w:val="24"/>
          <w:szCs w:val="24"/>
          <w:rtl/>
        </w:rPr>
        <w:t>1988</w:t>
      </w:r>
      <w:r w:rsidRPr="002273BC">
        <w:rPr>
          <w:rFonts w:ascii="Arabic Transparent" w:hAnsi="Arabic Transparent" w:cs="Arabic Transparent" w:hint="cs"/>
          <w:sz w:val="24"/>
          <w:szCs w:val="24"/>
          <w:rtl/>
        </w:rPr>
        <w:t>)، مصدر سابق، ص97.</w:t>
      </w:r>
    </w:p>
  </w:footnote>
  <w:footnote w:id="402">
    <w:p w14:paraId="631F358B" w14:textId="4B3D018B"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القرافي، </w:t>
      </w:r>
      <w:r w:rsidRPr="002273BC">
        <w:rPr>
          <w:rFonts w:ascii="Arabic Transparent" w:hAnsi="Arabic Transparent" w:cs="Arabic Transparent" w:hint="cs"/>
          <w:b/>
          <w:bCs/>
          <w:sz w:val="24"/>
          <w:szCs w:val="24"/>
          <w:rtl/>
          <w:lang w:bidi="ar-JO"/>
        </w:rPr>
        <w:t>الإحكام في تمييز الفتاوى عن الأحكام وتصرفات القاضي والإمام</w:t>
      </w:r>
      <w:r w:rsidRPr="002273BC">
        <w:rPr>
          <w:rFonts w:ascii="Arabic Transparent" w:hAnsi="Arabic Transparent" w:cs="Arabic Transparent" w:hint="cs"/>
          <w:sz w:val="24"/>
          <w:szCs w:val="24"/>
          <w:rtl/>
          <w:lang w:bidi="ar-JO"/>
        </w:rPr>
        <w:t xml:space="preserve">، </w:t>
      </w:r>
      <w:r w:rsidR="00CE1A95" w:rsidRPr="002273BC">
        <w:rPr>
          <w:rFonts w:ascii="Arabic Transparent" w:hAnsi="Arabic Transparent" w:cs="Arabic Transparent" w:hint="cs"/>
          <w:sz w:val="24"/>
          <w:szCs w:val="24"/>
          <w:rtl/>
          <w:lang w:bidi="ar-JO"/>
        </w:rPr>
        <w:t xml:space="preserve">مصدر سابٌق، </w:t>
      </w:r>
      <w:r w:rsidRPr="002273BC">
        <w:rPr>
          <w:rFonts w:ascii="Arabic Transparent" w:hAnsi="Arabic Transparent" w:cs="Arabic Transparent" w:hint="cs"/>
          <w:sz w:val="24"/>
          <w:szCs w:val="24"/>
          <w:rtl/>
          <w:lang w:bidi="ar-JO"/>
        </w:rPr>
        <w:t>ص218</w:t>
      </w:r>
      <w:r w:rsidR="00CE1A95" w:rsidRPr="002273BC">
        <w:rPr>
          <w:rFonts w:ascii="Arabic Transparent" w:hAnsi="Arabic Transparent" w:cs="Arabic Transparent" w:hint="cs"/>
          <w:sz w:val="24"/>
          <w:szCs w:val="24"/>
          <w:rtl/>
          <w:lang w:bidi="ar-JO"/>
        </w:rPr>
        <w:t>.</w:t>
      </w:r>
    </w:p>
  </w:footnote>
  <w:footnote w:id="403">
    <w:p w14:paraId="3F56013E" w14:textId="15F0E035"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القرافي، </w:t>
      </w:r>
      <w:r w:rsidRPr="002273BC">
        <w:rPr>
          <w:rFonts w:ascii="Arabic Transparent" w:hAnsi="Arabic Transparent" w:cs="Arabic Transparent" w:hint="cs"/>
          <w:b/>
          <w:bCs/>
          <w:sz w:val="24"/>
          <w:szCs w:val="24"/>
          <w:rtl/>
          <w:lang w:bidi="ar-JO"/>
        </w:rPr>
        <w:t>الفروق</w:t>
      </w:r>
      <w:r w:rsidRPr="002273BC">
        <w:rPr>
          <w:rFonts w:ascii="Arabic Transparent" w:hAnsi="Arabic Transparent" w:cs="Arabic Transparent" w:hint="cs"/>
          <w:sz w:val="24"/>
          <w:szCs w:val="24"/>
          <w:rtl/>
          <w:lang w:bidi="ar-JO"/>
        </w:rPr>
        <w:t xml:space="preserve">، مصدر سابق، ج1، </w:t>
      </w:r>
      <w:r w:rsidR="00024153">
        <w:rPr>
          <w:rFonts w:ascii="Arabic Transparent" w:hAnsi="Arabic Transparent" w:cs="Arabic Transparent" w:hint="cs"/>
          <w:sz w:val="24"/>
          <w:szCs w:val="24"/>
          <w:rtl/>
          <w:lang w:bidi="ar-JO"/>
        </w:rPr>
        <w:t>ص</w:t>
      </w:r>
      <w:r w:rsidRPr="002273BC">
        <w:rPr>
          <w:rFonts w:ascii="Arabic Transparent" w:hAnsi="Arabic Transparent" w:cs="Arabic Transparent" w:hint="cs"/>
          <w:sz w:val="24"/>
          <w:szCs w:val="24"/>
          <w:rtl/>
          <w:lang w:bidi="ar-JO"/>
        </w:rPr>
        <w:t>176.</w:t>
      </w:r>
    </w:p>
  </w:footnote>
  <w:footnote w:id="404">
    <w:p w14:paraId="617A8901"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انظر: ابن رشد، </w:t>
      </w:r>
      <w:r w:rsidRPr="002273BC">
        <w:rPr>
          <w:rFonts w:ascii="Arabic Transparent" w:hAnsi="Arabic Transparent" w:cs="Arabic Transparent" w:hint="cs"/>
          <w:b/>
          <w:bCs/>
          <w:sz w:val="24"/>
          <w:szCs w:val="24"/>
          <w:rtl/>
          <w:lang w:bidi="ar-JO"/>
        </w:rPr>
        <w:t>بداية المجتهد ونهاية المقتصد</w:t>
      </w:r>
      <w:r w:rsidRPr="002273BC">
        <w:rPr>
          <w:rFonts w:ascii="Arabic Transparent" w:hAnsi="Arabic Transparent" w:cs="Arabic Transparent" w:hint="cs"/>
          <w:sz w:val="24"/>
          <w:szCs w:val="24"/>
          <w:rtl/>
          <w:lang w:bidi="ar-JO"/>
        </w:rPr>
        <w:t>، مصدر سابق، ج1، ص234.</w:t>
      </w:r>
    </w:p>
  </w:footnote>
  <w:footnote w:id="405">
    <w:p w14:paraId="34E6D144"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ابن القيم، </w:t>
      </w:r>
      <w:r w:rsidRPr="002273BC">
        <w:rPr>
          <w:rFonts w:ascii="Arabic Transparent" w:hAnsi="Arabic Transparent" w:cs="Arabic Transparent" w:hint="cs"/>
          <w:b/>
          <w:bCs/>
          <w:sz w:val="24"/>
          <w:szCs w:val="24"/>
          <w:rtl/>
          <w:lang w:bidi="ar-JO"/>
        </w:rPr>
        <w:t>إعلام الموقعين عن رب العالمين</w:t>
      </w:r>
      <w:r w:rsidRPr="002273BC">
        <w:rPr>
          <w:rFonts w:ascii="Arabic Transparent" w:hAnsi="Arabic Transparent" w:cs="Arabic Transparent" w:hint="cs"/>
          <w:sz w:val="24"/>
          <w:szCs w:val="24"/>
          <w:rtl/>
          <w:lang w:bidi="ar-JO"/>
        </w:rPr>
        <w:t>، مصدر سابق، ج3، ص66.</w:t>
      </w:r>
    </w:p>
  </w:footnote>
  <w:footnote w:id="406">
    <w:p w14:paraId="15F6F8BE"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انظر: </w:t>
      </w:r>
      <w:r w:rsidRPr="002273BC">
        <w:rPr>
          <w:rFonts w:ascii="Arabic Transparent" w:hAnsi="Arabic Transparent" w:cs="Arabic Transparent" w:hint="cs"/>
          <w:sz w:val="24"/>
          <w:szCs w:val="24"/>
          <w:rtl/>
          <w:lang w:bidi="ar-JO"/>
        </w:rPr>
        <w:t xml:space="preserve">ابن بدران، عبد القادر بن أحمد (1984)، </w:t>
      </w:r>
      <w:r w:rsidRPr="002273BC">
        <w:rPr>
          <w:rFonts w:ascii="Arabic Transparent" w:hAnsi="Arabic Transparent" w:cs="Arabic Transparent" w:hint="cs"/>
          <w:b/>
          <w:bCs/>
          <w:sz w:val="24"/>
          <w:szCs w:val="24"/>
          <w:rtl/>
          <w:lang w:bidi="ar-JO"/>
        </w:rPr>
        <w:t>العقود الياقوتية في جيد الأسئلة الكويتية</w:t>
      </w:r>
      <w:r w:rsidRPr="002273BC">
        <w:rPr>
          <w:rFonts w:ascii="Arabic Transparent" w:hAnsi="Arabic Transparent" w:cs="Arabic Transparent" w:hint="cs"/>
          <w:sz w:val="24"/>
          <w:szCs w:val="24"/>
          <w:rtl/>
          <w:lang w:bidi="ar-JO"/>
        </w:rPr>
        <w:t>، تحقيق: عبد الستار أبو غدة، ط1، ص491-495، مطبعة الصحابة الإسلامية، الكويت.</w:t>
      </w:r>
    </w:p>
  </w:footnote>
  <w:footnote w:id="407">
    <w:p w14:paraId="3EB15F19"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النووي، </w:t>
      </w:r>
      <w:r w:rsidRPr="002273BC">
        <w:rPr>
          <w:rFonts w:ascii="Arabic Transparent" w:hAnsi="Arabic Transparent" w:cs="Arabic Transparent" w:hint="cs"/>
          <w:b/>
          <w:bCs/>
          <w:sz w:val="24"/>
          <w:szCs w:val="24"/>
          <w:rtl/>
          <w:lang w:bidi="ar-JO"/>
        </w:rPr>
        <w:t>آداب الفتوى والمفتي والمستفتي،</w:t>
      </w:r>
      <w:r w:rsidRPr="002273BC">
        <w:rPr>
          <w:rFonts w:ascii="Arabic Transparent" w:hAnsi="Arabic Transparent" w:cs="Arabic Transparent" w:hint="cs"/>
          <w:sz w:val="24"/>
          <w:szCs w:val="24"/>
          <w:rtl/>
          <w:lang w:bidi="ar-JO"/>
        </w:rPr>
        <w:t xml:space="preserve"> مصدر سابق، ص80.</w:t>
      </w:r>
    </w:p>
  </w:footnote>
  <w:footnote w:id="408">
    <w:p w14:paraId="359A2643"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الزحيلي، </w:t>
      </w:r>
      <w:r w:rsidRPr="002273BC">
        <w:rPr>
          <w:rFonts w:ascii="Arabic Transparent" w:hAnsi="Arabic Transparent" w:cs="Arabic Transparent" w:hint="cs"/>
          <w:b/>
          <w:bCs/>
          <w:sz w:val="24"/>
          <w:szCs w:val="24"/>
          <w:rtl/>
          <w:lang w:bidi="ar-JO"/>
        </w:rPr>
        <w:t>الفقه الإسلامي وأدلته</w:t>
      </w:r>
      <w:r w:rsidRPr="002273BC">
        <w:rPr>
          <w:rFonts w:ascii="Arabic Transparent" w:hAnsi="Arabic Transparent" w:cs="Arabic Transparent" w:hint="cs"/>
          <w:sz w:val="24"/>
          <w:szCs w:val="24"/>
          <w:rtl/>
          <w:lang w:bidi="ar-JO"/>
        </w:rPr>
        <w:t>، مصدر سابق، ج1، ص84.</w:t>
      </w:r>
    </w:p>
  </w:footnote>
  <w:footnote w:id="409">
    <w:p w14:paraId="75BAAC8E"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المصدر السابق ذاته، ج1، ص85.</w:t>
      </w:r>
    </w:p>
  </w:footnote>
  <w:footnote w:id="410">
    <w:p w14:paraId="157ACA16"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بوعلام، عبد العالي (2021). </w:t>
      </w:r>
      <w:r w:rsidRPr="002273BC">
        <w:rPr>
          <w:rFonts w:ascii="Arabic Transparent" w:hAnsi="Arabic Transparent" w:cs="Arabic Transparent" w:hint="cs"/>
          <w:b/>
          <w:bCs/>
          <w:sz w:val="24"/>
          <w:szCs w:val="24"/>
          <w:rtl/>
          <w:lang w:bidi="ar-JO"/>
        </w:rPr>
        <w:t>منهج العلماء في الاجتهاد في النوازل الفقهية: المفهوم والضوابط</w:t>
      </w:r>
      <w:r w:rsidRPr="002273BC">
        <w:rPr>
          <w:rFonts w:ascii="Arabic Transparent" w:hAnsi="Arabic Transparent" w:cs="Arabic Transparent" w:hint="cs"/>
          <w:sz w:val="24"/>
          <w:szCs w:val="24"/>
          <w:rtl/>
          <w:lang w:bidi="ar-JO"/>
        </w:rPr>
        <w:t>، مجلة آفاق علمية، مج 13، ع 4، ص600.</w:t>
      </w:r>
    </w:p>
  </w:footnote>
  <w:footnote w:id="411">
    <w:p w14:paraId="22A76345" w14:textId="0C3D4459" w:rsidR="004E383D" w:rsidRPr="002273BC" w:rsidRDefault="004E383D" w:rsidP="00EA3738">
      <w:pPr>
        <w:spacing w:line="360" w:lineRule="auto"/>
        <w:jc w:val="both"/>
        <w:rPr>
          <w:rFonts w:ascii="Arabic Transparent" w:hAnsi="Arabic Transparent" w:cs="Arabic Transparent"/>
          <w:sz w:val="24"/>
          <w:szCs w:val="24"/>
          <w:rtl/>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00C03FDE">
        <w:rPr>
          <w:rFonts w:ascii="Arabic Transparent" w:hAnsi="Arabic Transparent" w:cs="Arabic Transparent" w:hint="cs"/>
          <w:sz w:val="24"/>
          <w:szCs w:val="24"/>
          <w:rtl/>
        </w:rPr>
        <w:t>سبق ذكره انظر: ص33.</w:t>
      </w:r>
    </w:p>
  </w:footnote>
  <w:footnote w:id="412">
    <w:p w14:paraId="0A98072A"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ابن القيم، </w:t>
      </w:r>
      <w:r w:rsidRPr="002273BC">
        <w:rPr>
          <w:rFonts w:ascii="Arabic Transparent" w:hAnsi="Arabic Transparent" w:cs="Arabic Transparent" w:hint="cs"/>
          <w:b/>
          <w:bCs/>
          <w:sz w:val="24"/>
          <w:szCs w:val="24"/>
          <w:rtl/>
          <w:lang w:bidi="ar-JO"/>
        </w:rPr>
        <w:t>إعلام الموقعين عن رب العالمين</w:t>
      </w:r>
      <w:r w:rsidRPr="002273BC">
        <w:rPr>
          <w:rFonts w:ascii="Arabic Transparent" w:hAnsi="Arabic Transparent" w:cs="Arabic Transparent" w:hint="cs"/>
          <w:sz w:val="24"/>
          <w:szCs w:val="24"/>
          <w:rtl/>
          <w:lang w:bidi="ar-JO"/>
        </w:rPr>
        <w:t>، مصدر سابق، ج1، ص62.</w:t>
      </w:r>
    </w:p>
  </w:footnote>
  <w:footnote w:id="413">
    <w:p w14:paraId="05579979" w14:textId="79B19C54" w:rsidR="004E383D" w:rsidRPr="002273BC" w:rsidRDefault="004E383D" w:rsidP="00EA3738">
      <w:pPr>
        <w:spacing w:line="348" w:lineRule="auto"/>
        <w:jc w:val="both"/>
        <w:rPr>
          <w:rFonts w:ascii="Arabic Transparent" w:hAnsi="Arabic Transparent" w:cs="Arabic Transparent"/>
          <w:sz w:val="24"/>
          <w:szCs w:val="24"/>
          <w:rtl/>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القرضاوي</w:t>
      </w:r>
      <w:r w:rsidR="00CE1A95"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b/>
          <w:bCs/>
          <w:sz w:val="24"/>
          <w:szCs w:val="24"/>
          <w:rtl/>
        </w:rPr>
        <w:t>الفتوى بين الانضباط والتسيب</w:t>
      </w:r>
      <w:r w:rsidRPr="002273BC">
        <w:rPr>
          <w:rFonts w:ascii="Arabic Transparent" w:hAnsi="Arabic Transparent" w:cs="Arabic Transparent" w:hint="cs"/>
          <w:sz w:val="24"/>
          <w:szCs w:val="24"/>
          <w:rtl/>
        </w:rPr>
        <w:t xml:space="preserve">، </w:t>
      </w:r>
      <w:r w:rsidR="00CE1A95" w:rsidRPr="002273BC">
        <w:rPr>
          <w:rFonts w:ascii="Arabic Transparent" w:hAnsi="Arabic Transparent" w:cs="Arabic Transparent" w:hint="cs"/>
          <w:sz w:val="24"/>
          <w:szCs w:val="24"/>
          <w:rtl/>
        </w:rPr>
        <w:t xml:space="preserve">مصدر سابق، </w:t>
      </w:r>
      <w:r w:rsidRPr="002273BC">
        <w:rPr>
          <w:rFonts w:ascii="Arabic Transparent" w:hAnsi="Arabic Transparent" w:cs="Arabic Transparent" w:hint="cs"/>
          <w:sz w:val="24"/>
          <w:szCs w:val="24"/>
          <w:rtl/>
        </w:rPr>
        <w:t xml:space="preserve"> ص73</w:t>
      </w:r>
      <w:r w:rsidR="00CE1A95" w:rsidRPr="002273BC">
        <w:rPr>
          <w:rFonts w:ascii="Arabic Transparent" w:hAnsi="Arabic Transparent" w:cs="Arabic Transparent" w:hint="cs"/>
          <w:sz w:val="24"/>
          <w:szCs w:val="24"/>
          <w:rtl/>
        </w:rPr>
        <w:t>.</w:t>
      </w:r>
    </w:p>
  </w:footnote>
  <w:footnote w:id="414">
    <w:p w14:paraId="0CA767D0" w14:textId="75C57BD4" w:rsidR="004E383D" w:rsidRPr="002273BC" w:rsidRDefault="004E383D" w:rsidP="00EA3738">
      <w:pPr>
        <w:pStyle w:val="FootnoteText"/>
        <w:spacing w:line="348"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ترجمة الشيخ عبد الله بن الشيخ المحفوظ بن بية، ولد سنة </w:t>
      </w:r>
      <w:r w:rsidR="00024153">
        <w:rPr>
          <w:rFonts w:ascii="Arabic Transparent" w:hAnsi="Arabic Transparent" w:cs="Arabic Transparent" w:hint="cs"/>
          <w:sz w:val="24"/>
          <w:szCs w:val="24"/>
          <w:rtl/>
          <w:lang w:bidi="ar-JO"/>
        </w:rPr>
        <w:t>1935</w:t>
      </w:r>
      <w:r w:rsidRPr="002273BC">
        <w:rPr>
          <w:rFonts w:ascii="Arabic Transparent" w:hAnsi="Arabic Transparent" w:cs="Arabic Transparent" w:hint="cs"/>
          <w:sz w:val="24"/>
          <w:szCs w:val="24"/>
          <w:rtl/>
          <w:lang w:bidi="ar-JO"/>
        </w:rPr>
        <w:t xml:space="preserve">م، وتربى في بيت علم حيث كان والده الشيخ المحفوظ رحمه الله من كبار العلماء ورئيس مؤتمر العلماء الموريتانيين الذي نظم بعد استقلال البلاد إلى جانب شخصية علمية أخرى، شارك في اجتماعات المجمع الفقهي لمنظمة المؤتمر الإسلامي كخبير وقدم بحوثاً مثبتة في مجلة المجمع، مجموعة من المؤلفين (د.ت). </w:t>
      </w:r>
      <w:r w:rsidRPr="002273BC">
        <w:rPr>
          <w:rFonts w:ascii="Arabic Transparent" w:hAnsi="Arabic Transparent" w:cs="Arabic Transparent" w:hint="cs"/>
          <w:b/>
          <w:bCs/>
          <w:sz w:val="24"/>
          <w:szCs w:val="24"/>
          <w:rtl/>
          <w:lang w:bidi="ar-JO"/>
        </w:rPr>
        <w:t>المعجم الجامع في تراجم العلماء وطلبة العلم المعاصرين</w:t>
      </w:r>
      <w:r w:rsidRPr="002273BC">
        <w:rPr>
          <w:rFonts w:ascii="Arabic Transparent" w:hAnsi="Arabic Transparent" w:cs="Arabic Transparent" w:hint="cs"/>
          <w:sz w:val="24"/>
          <w:szCs w:val="24"/>
          <w:rtl/>
          <w:lang w:bidi="ar-JO"/>
        </w:rPr>
        <w:t>، (د.ط)، ص213، (د.ن).</w:t>
      </w:r>
    </w:p>
  </w:footnote>
  <w:footnote w:id="415">
    <w:p w14:paraId="0D465A87" w14:textId="27B12CE1" w:rsidR="004E383D" w:rsidRPr="002273BC" w:rsidRDefault="004E383D" w:rsidP="00EA3738">
      <w:pPr>
        <w:pStyle w:val="FootnoteText"/>
        <w:spacing w:line="348"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ابن بيّه،</w:t>
      </w:r>
      <w:r w:rsidR="002A3380" w:rsidRPr="002273BC">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b/>
          <w:bCs/>
          <w:sz w:val="24"/>
          <w:szCs w:val="24"/>
          <w:rtl/>
          <w:lang w:bidi="ar-JO"/>
        </w:rPr>
        <w:t>الاجتهاد بتحقيق المناط: فقه الواقع والتوقع</w:t>
      </w:r>
      <w:r w:rsidRPr="002273BC">
        <w:rPr>
          <w:rFonts w:ascii="Arabic Transparent" w:hAnsi="Arabic Transparent" w:cs="Arabic Transparent" w:hint="cs"/>
          <w:sz w:val="24"/>
          <w:szCs w:val="24"/>
          <w:rtl/>
          <w:lang w:bidi="ar-JO"/>
        </w:rPr>
        <w:t>،</w:t>
      </w:r>
      <w:r w:rsidR="002A3380" w:rsidRPr="002273BC">
        <w:rPr>
          <w:rFonts w:ascii="Arabic Transparent" w:hAnsi="Arabic Transparent" w:cs="Arabic Transparent" w:hint="cs"/>
          <w:sz w:val="24"/>
          <w:szCs w:val="24"/>
          <w:rtl/>
          <w:lang w:bidi="ar-JO"/>
        </w:rPr>
        <w:t xml:space="preserve"> مصدر سابق،</w:t>
      </w:r>
      <w:r w:rsidRPr="002273BC">
        <w:rPr>
          <w:rFonts w:ascii="Arabic Transparent" w:hAnsi="Arabic Transparent" w:cs="Arabic Transparent" w:hint="cs"/>
          <w:sz w:val="24"/>
          <w:szCs w:val="24"/>
          <w:rtl/>
          <w:lang w:bidi="ar-JO"/>
        </w:rPr>
        <w:t xml:space="preserve"> ص10.</w:t>
      </w:r>
    </w:p>
  </w:footnote>
  <w:footnote w:id="416">
    <w:p w14:paraId="5F0B96DA" w14:textId="77777777" w:rsidR="004E383D" w:rsidRPr="002273BC" w:rsidRDefault="004E383D" w:rsidP="00EA3738">
      <w:pPr>
        <w:pStyle w:val="FootnoteText"/>
        <w:spacing w:line="348"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الريسوني، أحمد (2007م). </w:t>
      </w:r>
      <w:r w:rsidRPr="002273BC">
        <w:rPr>
          <w:rFonts w:ascii="Arabic Transparent" w:hAnsi="Arabic Transparent" w:cs="Arabic Transparent" w:hint="cs"/>
          <w:b/>
          <w:bCs/>
          <w:sz w:val="24"/>
          <w:szCs w:val="24"/>
          <w:rtl/>
          <w:lang w:bidi="ar-JO"/>
        </w:rPr>
        <w:t>ضوابط في مجال الفتوى</w:t>
      </w:r>
      <w:r w:rsidRPr="002273BC">
        <w:rPr>
          <w:rFonts w:ascii="Arabic Transparent" w:hAnsi="Arabic Transparent" w:cs="Arabic Transparent" w:hint="cs"/>
          <w:sz w:val="24"/>
          <w:szCs w:val="24"/>
          <w:rtl/>
          <w:lang w:bidi="ar-JO"/>
        </w:rPr>
        <w:t>، مصدر سابق، ص36.</w:t>
      </w:r>
    </w:p>
  </w:footnote>
  <w:footnote w:id="417">
    <w:p w14:paraId="5AA710AC"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ابن الملقن، </w:t>
      </w:r>
      <w:r w:rsidRPr="002273BC">
        <w:rPr>
          <w:rFonts w:ascii="Arabic Transparent" w:hAnsi="Arabic Transparent" w:cs="Arabic Transparent" w:hint="cs"/>
          <w:b/>
          <w:bCs/>
          <w:sz w:val="24"/>
          <w:szCs w:val="24"/>
          <w:rtl/>
          <w:lang w:bidi="ar-JO"/>
        </w:rPr>
        <w:t>الأشباه والنظائر في قواعد الفقه</w:t>
      </w:r>
      <w:r w:rsidRPr="002273BC">
        <w:rPr>
          <w:rFonts w:ascii="Arabic Transparent" w:hAnsi="Arabic Transparent" w:cs="Arabic Transparent" w:hint="cs"/>
          <w:sz w:val="24"/>
          <w:szCs w:val="24"/>
          <w:rtl/>
          <w:lang w:bidi="ar-JO"/>
        </w:rPr>
        <w:t>، مصدر سابق، ج1، ص325.</w:t>
      </w:r>
    </w:p>
  </w:footnote>
  <w:footnote w:id="418">
    <w:p w14:paraId="56376A67"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ابن القيّم، </w:t>
      </w:r>
      <w:r w:rsidRPr="002273BC">
        <w:rPr>
          <w:rFonts w:ascii="Arabic Transparent" w:hAnsi="Arabic Transparent" w:cs="Arabic Transparent" w:hint="cs"/>
          <w:b/>
          <w:bCs/>
          <w:sz w:val="24"/>
          <w:szCs w:val="24"/>
          <w:rtl/>
          <w:lang w:bidi="ar-JO"/>
        </w:rPr>
        <w:t>إعلام الموقعين عن رب العالمين</w:t>
      </w:r>
      <w:r w:rsidRPr="002273BC">
        <w:rPr>
          <w:rFonts w:ascii="Arabic Transparent" w:hAnsi="Arabic Transparent" w:cs="Arabic Transparent" w:hint="cs"/>
          <w:sz w:val="24"/>
          <w:szCs w:val="24"/>
          <w:rtl/>
          <w:lang w:bidi="ar-JO"/>
        </w:rPr>
        <w:t>، مصدر سابق، ج6، ص97.</w:t>
      </w:r>
    </w:p>
  </w:footnote>
  <w:footnote w:id="419">
    <w:p w14:paraId="26F9DC0B" w14:textId="676BE8A0"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00C83898">
        <w:rPr>
          <w:rFonts w:ascii="Arabic Transparent" w:hAnsi="Arabic Transparent" w:cs="Arabic Transparent" w:hint="cs"/>
          <w:sz w:val="24"/>
          <w:szCs w:val="24"/>
          <w:rtl/>
          <w:lang w:bidi="ar-JO"/>
        </w:rPr>
        <w:t>سبق ذكره انظر: ص</w:t>
      </w:r>
      <w:r w:rsidR="00176DC2">
        <w:rPr>
          <w:rFonts w:ascii="Arabic Transparent" w:hAnsi="Arabic Transparent" w:cs="Arabic Transparent" w:hint="cs"/>
          <w:sz w:val="24"/>
          <w:szCs w:val="24"/>
          <w:rtl/>
          <w:lang w:bidi="ar-JO"/>
        </w:rPr>
        <w:t>94.</w:t>
      </w:r>
    </w:p>
  </w:footnote>
  <w:footnote w:id="420">
    <w:p w14:paraId="5A7B57AE"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القحطاني، مسفر بن علي بن محمد (2005م). </w:t>
      </w:r>
      <w:r w:rsidRPr="002273BC">
        <w:rPr>
          <w:rFonts w:ascii="Arabic Transparent" w:hAnsi="Arabic Transparent" w:cs="Arabic Transparent" w:hint="cs"/>
          <w:b/>
          <w:bCs/>
          <w:sz w:val="24"/>
          <w:szCs w:val="24"/>
          <w:rtl/>
          <w:lang w:bidi="ar-JO"/>
        </w:rPr>
        <w:t>التكييف الفقهي للأعمال المصرفية المعاصرة:</w:t>
      </w:r>
      <w:r w:rsidRPr="002273BC">
        <w:rPr>
          <w:rFonts w:ascii="Arabic Transparent" w:hAnsi="Arabic Transparent" w:cs="Arabic Transparent" w:hint="cs"/>
          <w:sz w:val="24"/>
          <w:szCs w:val="24"/>
          <w:rtl/>
          <w:lang w:bidi="ar-JO"/>
        </w:rPr>
        <w:t xml:space="preserve"> مفهومه، وأهميته، وضوابطه، بحث مقدَّم إلى مؤتمر «المصارف الإسلامية بين الواقع والمأمول»،ط1، ص7، دائرة الشؤون الإسلامية والعمل الخيري، دبي.</w:t>
      </w:r>
    </w:p>
  </w:footnote>
  <w:footnote w:id="421">
    <w:p w14:paraId="48DF8534" w14:textId="342C67EE"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العطاوي، </w:t>
      </w:r>
      <w:r w:rsidRPr="002273BC">
        <w:rPr>
          <w:rFonts w:ascii="Arabic Transparent" w:hAnsi="Arabic Transparent" w:cs="Arabic Transparent" w:hint="cs"/>
          <w:b/>
          <w:bCs/>
          <w:sz w:val="24"/>
          <w:szCs w:val="24"/>
          <w:rtl/>
          <w:lang w:bidi="ar-JO"/>
        </w:rPr>
        <w:t>التكييف الفقهي لقضايا المعاملات المالية المعاصرة: ما هيته، وأهميته، ومقوماته، ومتطلباته،</w:t>
      </w:r>
      <w:r w:rsidRPr="002273BC">
        <w:rPr>
          <w:rFonts w:ascii="Arabic Transparent" w:hAnsi="Arabic Transparent" w:cs="Arabic Transparent" w:hint="cs"/>
          <w:sz w:val="24"/>
          <w:szCs w:val="24"/>
          <w:rtl/>
          <w:lang w:bidi="ar-JO"/>
        </w:rPr>
        <w:t xml:space="preserve"> مصدر سابق، </w:t>
      </w:r>
      <w:r w:rsidR="00024153">
        <w:rPr>
          <w:rFonts w:ascii="Arabic Transparent" w:hAnsi="Arabic Transparent" w:cs="Arabic Transparent" w:hint="cs"/>
          <w:sz w:val="24"/>
          <w:szCs w:val="24"/>
          <w:rtl/>
          <w:lang w:bidi="ar-JO"/>
        </w:rPr>
        <w:t>ص</w:t>
      </w:r>
      <w:r w:rsidRPr="002273BC">
        <w:rPr>
          <w:rFonts w:ascii="Arabic Transparent" w:hAnsi="Arabic Transparent" w:cs="Arabic Transparent" w:hint="cs"/>
          <w:sz w:val="24"/>
          <w:szCs w:val="24"/>
          <w:rtl/>
          <w:lang w:bidi="ar-JO"/>
        </w:rPr>
        <w:t>520.</w:t>
      </w:r>
    </w:p>
  </w:footnote>
  <w:footnote w:id="422">
    <w:p w14:paraId="4205F14F"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مجلس المجمع الفقهي الإسلامي – رابطة العالم الإسلامي، قرار رقم 98 (2/17): </w:t>
      </w:r>
      <w:r w:rsidRPr="002273BC">
        <w:rPr>
          <w:rFonts w:ascii="Arabic Transparent" w:hAnsi="Arabic Transparent" w:cs="Arabic Transparent" w:hint="cs"/>
          <w:b/>
          <w:bCs/>
          <w:sz w:val="24"/>
          <w:szCs w:val="24"/>
          <w:rtl/>
          <w:lang w:bidi="ar-JO"/>
        </w:rPr>
        <w:t>التورق كما تجريه بعض المصارف في الوقت الحاضر</w:t>
      </w:r>
      <w:r w:rsidRPr="002273BC">
        <w:rPr>
          <w:rFonts w:ascii="Arabic Transparent" w:hAnsi="Arabic Transparent" w:cs="Arabic Transparent" w:hint="cs"/>
          <w:sz w:val="24"/>
          <w:szCs w:val="24"/>
          <w:rtl/>
          <w:lang w:bidi="ar-JO"/>
        </w:rPr>
        <w:t xml:space="preserve">، الدورة السابعة عشرة، مكة المكرمة، 19–23 شوال 1424هـ/ 13–17 ديسمبر 2003م، متاح على: </w:t>
      </w:r>
      <w:r w:rsidRPr="002273BC">
        <w:rPr>
          <w:rFonts w:ascii="Arabic Transparent" w:hAnsi="Arabic Transparent" w:cs="Arabic Transparent" w:hint="cs"/>
          <w:sz w:val="24"/>
          <w:szCs w:val="24"/>
          <w:lang w:bidi="ar-JO"/>
        </w:rPr>
        <w:t>https://themwl.org/ar</w:t>
      </w:r>
      <w:r w:rsidRPr="002273BC">
        <w:rPr>
          <w:rFonts w:ascii="Arabic Transparent" w:hAnsi="Arabic Transparent" w:cs="Arabic Transparent" w:hint="cs"/>
          <w:sz w:val="24"/>
          <w:szCs w:val="24"/>
          <w:rtl/>
          <w:lang w:bidi="ar-JO"/>
        </w:rPr>
        <w:t xml:space="preserve"> (تاريخ الاطلاع: 10-02-2026م)</w:t>
      </w:r>
    </w:p>
  </w:footnote>
  <w:footnote w:id="423">
    <w:p w14:paraId="7907403C" w14:textId="51624955"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اللجنة الدائمة للبحوث العلمية والإفتاء (د.ت). </w:t>
      </w:r>
      <w:r w:rsidRPr="002273BC">
        <w:rPr>
          <w:rFonts w:ascii="Arabic Transparent" w:hAnsi="Arabic Transparent" w:cs="Arabic Transparent" w:hint="cs"/>
          <w:b/>
          <w:bCs/>
          <w:sz w:val="24"/>
          <w:szCs w:val="24"/>
          <w:rtl/>
          <w:lang w:bidi="ar-JO"/>
        </w:rPr>
        <w:t>الفرق بين التقسيط والتورق</w:t>
      </w:r>
      <w:r w:rsidRPr="002273BC">
        <w:rPr>
          <w:rFonts w:ascii="Arabic Transparent" w:hAnsi="Arabic Transparent" w:cs="Arabic Transparent" w:hint="cs"/>
          <w:sz w:val="24"/>
          <w:szCs w:val="24"/>
          <w:rtl/>
          <w:lang w:bidi="ar-JO"/>
        </w:rPr>
        <w:t xml:space="preserve">، الفتوى رقم 16402، متاح على: </w:t>
      </w:r>
      <w:r w:rsidRPr="002273BC">
        <w:rPr>
          <w:rFonts w:ascii="Arabic Transparent" w:hAnsi="Arabic Transparent" w:cs="Arabic Transparent" w:hint="cs"/>
          <w:sz w:val="24"/>
          <w:szCs w:val="24"/>
          <w:lang w:bidi="ar-JO"/>
        </w:rPr>
        <w:t>https://al-fatawa.com/fatwa/109810</w:t>
      </w:r>
      <w:r w:rsidRPr="002273BC">
        <w:rPr>
          <w:rFonts w:ascii="Arabic Transparent" w:hAnsi="Arabic Transparent" w:cs="Arabic Transparent" w:hint="cs"/>
          <w:sz w:val="24"/>
          <w:szCs w:val="24"/>
          <w:rtl/>
          <w:lang w:bidi="ar-JO"/>
        </w:rPr>
        <w:t>/…، تاريخ الاطلاع: 10-02-2026م).</w:t>
      </w:r>
    </w:p>
  </w:footnote>
  <w:footnote w:id="424">
    <w:p w14:paraId="26382427"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الشهرستاني، </w:t>
      </w:r>
      <w:r w:rsidRPr="002273BC">
        <w:rPr>
          <w:rFonts w:ascii="Arabic Transparent" w:hAnsi="Arabic Transparent" w:cs="Arabic Transparent" w:hint="cs"/>
          <w:b/>
          <w:bCs/>
          <w:sz w:val="24"/>
          <w:szCs w:val="24"/>
          <w:rtl/>
          <w:lang w:bidi="ar-JO"/>
        </w:rPr>
        <w:t>الملل والنحل</w:t>
      </w:r>
      <w:r w:rsidRPr="002273BC">
        <w:rPr>
          <w:rFonts w:ascii="Arabic Transparent" w:hAnsi="Arabic Transparent" w:cs="Arabic Transparent" w:hint="cs"/>
          <w:sz w:val="24"/>
          <w:szCs w:val="24"/>
          <w:rtl/>
          <w:lang w:bidi="ar-JO"/>
        </w:rPr>
        <w:t>، مصدر سابق، ج2، ص367.</w:t>
      </w:r>
    </w:p>
  </w:footnote>
  <w:footnote w:id="425">
    <w:p w14:paraId="52CFA470"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ابن عبد البر، أبو عمر يوسف بن عبد الله النمري القرطبي (2000م). </w:t>
      </w:r>
      <w:r w:rsidRPr="002273BC">
        <w:rPr>
          <w:rFonts w:ascii="Arabic Transparent" w:hAnsi="Arabic Transparent" w:cs="Arabic Transparent" w:hint="cs"/>
          <w:b/>
          <w:bCs/>
          <w:sz w:val="24"/>
          <w:szCs w:val="24"/>
          <w:rtl/>
          <w:lang w:bidi="ar-JO"/>
        </w:rPr>
        <w:t>الاستذكار: الجامع لمذاهب فقهاء الأمصار وعلماء الأقطار فيما تضمنه الموطأ من معاني الرأي والآثار وشرح ذلك كله بالإيجاز والاختصار</w:t>
      </w:r>
      <w:r w:rsidRPr="002273BC">
        <w:rPr>
          <w:rFonts w:ascii="Arabic Transparent" w:hAnsi="Arabic Transparent" w:cs="Arabic Transparent" w:hint="cs"/>
          <w:sz w:val="24"/>
          <w:szCs w:val="24"/>
          <w:rtl/>
          <w:lang w:bidi="ar-JO"/>
        </w:rPr>
        <w:t>، تحقيق: سالم محمد عطا، ومحمد علي معوّض، ط1، ج3، ص151، دار الكتب العلمية، بيروت.</w:t>
      </w:r>
    </w:p>
  </w:footnote>
  <w:footnote w:id="426">
    <w:p w14:paraId="02E44657"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ابن قاسم، عبد الرحمن بن محمد بن قاسم العاصمي النجدي (1972م</w:t>
      </w:r>
      <w:r w:rsidRPr="002273BC">
        <w:rPr>
          <w:rFonts w:ascii="Arabic Transparent" w:hAnsi="Arabic Transparent" w:cs="Arabic Transparent" w:hint="cs"/>
          <w:b/>
          <w:bCs/>
          <w:sz w:val="24"/>
          <w:szCs w:val="24"/>
          <w:rtl/>
          <w:lang w:bidi="ar-JO"/>
        </w:rPr>
        <w:t>)، حاشية الروض المربع شرح زاد المستقنع</w:t>
      </w:r>
      <w:r w:rsidRPr="002273BC">
        <w:rPr>
          <w:rFonts w:ascii="Arabic Transparent" w:hAnsi="Arabic Transparent" w:cs="Arabic Transparent" w:hint="cs"/>
          <w:sz w:val="24"/>
          <w:szCs w:val="24"/>
          <w:rtl/>
          <w:lang w:bidi="ar-JO"/>
        </w:rPr>
        <w:t>، ج3، ص256، (ط1)، (د.ن).</w:t>
      </w:r>
    </w:p>
  </w:footnote>
  <w:footnote w:id="427">
    <w:p w14:paraId="0A6B2F6E" w14:textId="6787F630"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الريسوني، أحمد (2000م). </w:t>
      </w:r>
      <w:r w:rsidRPr="002273BC">
        <w:rPr>
          <w:rFonts w:ascii="Arabic Transparent" w:hAnsi="Arabic Transparent" w:cs="Arabic Transparent" w:hint="cs"/>
          <w:b/>
          <w:bCs/>
          <w:sz w:val="24"/>
          <w:szCs w:val="24"/>
          <w:rtl/>
          <w:lang w:bidi="ar-JO"/>
        </w:rPr>
        <w:t>الاجتهاد: النص، الواقع، المصلحة</w:t>
      </w:r>
      <w:r w:rsidRPr="002273BC">
        <w:rPr>
          <w:rFonts w:ascii="Arabic Transparent" w:hAnsi="Arabic Transparent" w:cs="Arabic Transparent" w:hint="cs"/>
          <w:sz w:val="24"/>
          <w:szCs w:val="24"/>
          <w:rtl/>
          <w:lang w:bidi="ar-JO"/>
        </w:rPr>
        <w:t>، حوار مع محمد جمال باروت، ط1، ص67، دار الفكر، دمشق؛ دار الفكر المعاصر، بيروت</w:t>
      </w:r>
      <w:r w:rsidR="00AB0CAA">
        <w:rPr>
          <w:rFonts w:ascii="Arabic Transparent" w:hAnsi="Arabic Transparent" w:cs="Arabic Transparent" w:hint="cs"/>
          <w:sz w:val="24"/>
          <w:szCs w:val="24"/>
          <w:rtl/>
          <w:lang w:bidi="ar-JO"/>
        </w:rPr>
        <w:t>.</w:t>
      </w:r>
    </w:p>
  </w:footnote>
  <w:footnote w:id="428">
    <w:p w14:paraId="4D074ECD"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الشاطبي، </w:t>
      </w:r>
      <w:r w:rsidRPr="002273BC">
        <w:rPr>
          <w:rFonts w:ascii="Arabic Transparent" w:hAnsi="Arabic Transparent" w:cs="Arabic Transparent" w:hint="cs"/>
          <w:b/>
          <w:bCs/>
          <w:sz w:val="24"/>
          <w:szCs w:val="24"/>
          <w:rtl/>
          <w:lang w:bidi="ar-JO"/>
        </w:rPr>
        <w:t xml:space="preserve">الموافقات، </w:t>
      </w:r>
      <w:r w:rsidRPr="002273BC">
        <w:rPr>
          <w:rFonts w:ascii="Arabic Transparent" w:hAnsi="Arabic Transparent" w:cs="Arabic Transparent" w:hint="cs"/>
          <w:sz w:val="24"/>
          <w:szCs w:val="24"/>
          <w:rtl/>
          <w:lang w:bidi="ar-JO"/>
        </w:rPr>
        <w:t>مصدر سابق، ج5، ص178.</w:t>
      </w:r>
    </w:p>
  </w:footnote>
  <w:footnote w:id="429">
    <w:p w14:paraId="2C66F604"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القحطاني، مسفر بن علي بن محمد (2003م). </w:t>
      </w:r>
      <w:r w:rsidRPr="002273BC">
        <w:rPr>
          <w:rFonts w:ascii="Arabic Transparent" w:hAnsi="Arabic Transparent" w:cs="Arabic Transparent" w:hint="cs"/>
          <w:b/>
          <w:bCs/>
          <w:sz w:val="24"/>
          <w:szCs w:val="24"/>
          <w:rtl/>
          <w:lang w:bidi="ar-JO"/>
        </w:rPr>
        <w:t>منهج استنباط أحكام النوازل الفقهية المعاصرة: دراسة تأصيلية تطبيقية</w:t>
      </w:r>
      <w:r w:rsidRPr="002273BC">
        <w:rPr>
          <w:rFonts w:ascii="Arabic Transparent" w:hAnsi="Arabic Transparent" w:cs="Arabic Transparent" w:hint="cs"/>
          <w:sz w:val="24"/>
          <w:szCs w:val="24"/>
          <w:rtl/>
          <w:lang w:bidi="ar-JO"/>
        </w:rPr>
        <w:t>، ط1، ج1، ص362، دار الأندلس الخضراء، جدة.</w:t>
      </w:r>
    </w:p>
  </w:footnote>
  <w:footnote w:id="430">
    <w:p w14:paraId="04F8C30F" w14:textId="77777777" w:rsidR="004E383D" w:rsidRPr="002273BC" w:rsidRDefault="004E383D" w:rsidP="00EA3738">
      <w:pPr>
        <w:spacing w:line="360" w:lineRule="auto"/>
        <w:jc w:val="both"/>
        <w:rPr>
          <w:rFonts w:ascii="Arabic Transparent" w:hAnsi="Arabic Transparent" w:cs="Arabic Transparent"/>
          <w:sz w:val="24"/>
          <w:szCs w:val="24"/>
          <w:rtl/>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منهاج الاجتهاد يراد منها الطرق المتبعة في التفكير، ويرى الدكتور محمد سلام مدكور أن اختلاف المجتهدين بطريقة التفكير يؤدي إلى اختلاف النتائج التي يصلون إليها، مدكور، </w:t>
      </w:r>
      <w:r w:rsidRPr="002273BC">
        <w:rPr>
          <w:rFonts w:ascii="Arabic Transparent" w:hAnsi="Arabic Transparent" w:cs="Arabic Transparent" w:hint="cs"/>
          <w:sz w:val="24"/>
          <w:szCs w:val="24"/>
          <w:rtl/>
        </w:rPr>
        <w:t xml:space="preserve">مدكور، محمد سلام (1972م). </w:t>
      </w:r>
      <w:r w:rsidRPr="002273BC">
        <w:rPr>
          <w:rFonts w:ascii="Arabic Transparent" w:hAnsi="Arabic Transparent" w:cs="Arabic Transparent" w:hint="cs"/>
          <w:b/>
          <w:bCs/>
          <w:sz w:val="24"/>
          <w:szCs w:val="24"/>
          <w:rtl/>
        </w:rPr>
        <w:t>مناهج الاجتهاد في الإسلام،</w:t>
      </w:r>
      <w:r w:rsidRPr="002273BC">
        <w:rPr>
          <w:rFonts w:ascii="Arabic Transparent" w:hAnsi="Arabic Transparent" w:cs="Arabic Transparent" w:hint="cs"/>
          <w:sz w:val="24"/>
          <w:szCs w:val="24"/>
          <w:rtl/>
        </w:rPr>
        <w:t xml:space="preserve"> ط1، ص56، جامعة الكويت، الكويت.</w:t>
      </w:r>
    </w:p>
  </w:footnote>
  <w:footnote w:id="431">
    <w:p w14:paraId="565FD47D"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مدكور، </w:t>
      </w:r>
      <w:r w:rsidRPr="002273BC">
        <w:rPr>
          <w:rFonts w:ascii="Arabic Transparent" w:hAnsi="Arabic Transparent" w:cs="Arabic Transparent" w:hint="cs"/>
          <w:b/>
          <w:bCs/>
          <w:sz w:val="24"/>
          <w:szCs w:val="24"/>
          <w:rtl/>
          <w:lang w:bidi="ar-JO"/>
        </w:rPr>
        <w:t>مناهج الاجتهاد في الإسلام،</w:t>
      </w:r>
      <w:r w:rsidRPr="002273BC">
        <w:rPr>
          <w:rFonts w:ascii="Arabic Transparent" w:hAnsi="Arabic Transparent" w:cs="Arabic Transparent" w:hint="cs"/>
          <w:sz w:val="24"/>
          <w:szCs w:val="24"/>
          <w:rtl/>
          <w:lang w:bidi="ar-JO"/>
        </w:rPr>
        <w:t xml:space="preserve"> مصدر سابق، ص58.</w:t>
      </w:r>
    </w:p>
  </w:footnote>
  <w:footnote w:id="432">
    <w:p w14:paraId="3567A889"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القرضاوي، يوسف (2008م)، </w:t>
      </w:r>
      <w:r w:rsidRPr="002273BC">
        <w:rPr>
          <w:rFonts w:ascii="Arabic Transparent" w:hAnsi="Arabic Transparent" w:cs="Arabic Transparent" w:hint="cs"/>
          <w:b/>
          <w:bCs/>
          <w:sz w:val="24"/>
          <w:szCs w:val="24"/>
          <w:rtl/>
          <w:lang w:bidi="ar-JO"/>
        </w:rPr>
        <w:t>دراسة في فقه مقاصد الشريعة بين المقاصد الكلية والنصوص الجزئية</w:t>
      </w:r>
      <w:r w:rsidRPr="002273BC">
        <w:rPr>
          <w:rFonts w:ascii="Arabic Transparent" w:hAnsi="Arabic Transparent" w:cs="Arabic Transparent" w:hint="cs"/>
          <w:sz w:val="24"/>
          <w:szCs w:val="24"/>
          <w:rtl/>
          <w:lang w:bidi="ar-JO"/>
        </w:rPr>
        <w:t>، ط3، ص47، دار الشروق، القاهرة.</w:t>
      </w:r>
    </w:p>
  </w:footnote>
  <w:footnote w:id="433">
    <w:p w14:paraId="64B9638A" w14:textId="1C45EE79" w:rsidR="004E383D" w:rsidRPr="002273BC" w:rsidRDefault="004E383D" w:rsidP="00EA3738">
      <w:pPr>
        <w:spacing w:line="360" w:lineRule="auto"/>
        <w:jc w:val="both"/>
        <w:rPr>
          <w:rFonts w:ascii="Arabic Transparent" w:hAnsi="Arabic Transparent" w:cs="Arabic Transparent"/>
          <w:sz w:val="24"/>
          <w:szCs w:val="24"/>
          <w:rtl/>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الحميدان، حميدان بن عبد الله بن محمد (1992م). </w:t>
      </w:r>
      <w:r w:rsidRPr="002273BC">
        <w:rPr>
          <w:rFonts w:ascii="Arabic Transparent" w:hAnsi="Arabic Transparent" w:cs="Arabic Transparent" w:hint="cs"/>
          <w:b/>
          <w:bCs/>
          <w:sz w:val="24"/>
          <w:szCs w:val="24"/>
          <w:rtl/>
        </w:rPr>
        <w:t>فقهاء الصحابة المكثرون من الفتوى ومناهجهم الاجتهادية،</w:t>
      </w:r>
      <w:r w:rsidRPr="002273BC">
        <w:rPr>
          <w:rFonts w:ascii="Arabic Transparent" w:hAnsi="Arabic Transparent" w:cs="Arabic Transparent" w:hint="cs"/>
          <w:sz w:val="24"/>
          <w:szCs w:val="24"/>
          <w:rtl/>
        </w:rPr>
        <w:t xml:space="preserve"> مجلة جامعة أم القرى للبحوث العلمية، السنة الرابعة، </w:t>
      </w:r>
      <w:r w:rsidR="00E5723D">
        <w:rPr>
          <w:rFonts w:ascii="Arabic Transparent" w:hAnsi="Arabic Transparent" w:cs="Arabic Transparent" w:hint="cs"/>
          <w:sz w:val="24"/>
          <w:szCs w:val="24"/>
          <w:rtl/>
        </w:rPr>
        <w:t>ع</w:t>
      </w:r>
      <w:r w:rsidRPr="002273BC">
        <w:rPr>
          <w:rFonts w:ascii="Arabic Transparent" w:hAnsi="Arabic Transparent" w:cs="Arabic Transparent" w:hint="cs"/>
          <w:sz w:val="24"/>
          <w:szCs w:val="24"/>
          <w:rtl/>
        </w:rPr>
        <w:t>6،</w:t>
      </w:r>
      <w:r w:rsidR="00E5723D">
        <w:rPr>
          <w:rFonts w:ascii="Arabic Transparent" w:hAnsi="Arabic Transparent" w:cs="Arabic Transparent" w:hint="cs"/>
          <w:sz w:val="24"/>
          <w:szCs w:val="24"/>
          <w:rtl/>
        </w:rPr>
        <w:t xml:space="preserve"> ص323.</w:t>
      </w:r>
      <w:r w:rsidRPr="002273BC">
        <w:rPr>
          <w:rFonts w:ascii="Arabic Transparent" w:hAnsi="Arabic Transparent" w:cs="Arabic Transparent" w:hint="cs"/>
          <w:sz w:val="24"/>
          <w:szCs w:val="24"/>
          <w:rtl/>
        </w:rPr>
        <w:t xml:space="preserve"> جامعة أم القرى، مكة المكرمة.</w:t>
      </w:r>
    </w:p>
  </w:footnote>
  <w:footnote w:id="434">
    <w:p w14:paraId="372C81D2"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الرازي، </w:t>
      </w:r>
      <w:r w:rsidRPr="002273BC">
        <w:rPr>
          <w:rFonts w:ascii="Arabic Transparent" w:hAnsi="Arabic Transparent" w:cs="Arabic Transparent" w:hint="cs"/>
          <w:b/>
          <w:bCs/>
          <w:sz w:val="24"/>
          <w:szCs w:val="24"/>
          <w:rtl/>
          <w:lang w:bidi="ar-JO"/>
        </w:rPr>
        <w:t>معجم مقاييس اللغة،</w:t>
      </w:r>
      <w:r w:rsidRPr="002273BC">
        <w:rPr>
          <w:rFonts w:ascii="Arabic Transparent" w:hAnsi="Arabic Transparent" w:cs="Arabic Transparent" w:hint="cs"/>
          <w:sz w:val="24"/>
          <w:szCs w:val="24"/>
          <w:rtl/>
          <w:lang w:bidi="ar-JO"/>
        </w:rPr>
        <w:t xml:space="preserve"> مصدر سابق ج3،ص471، عمر، </w:t>
      </w:r>
      <w:r w:rsidRPr="002273BC">
        <w:rPr>
          <w:rFonts w:ascii="Arabic Transparent" w:hAnsi="Arabic Transparent" w:cs="Arabic Transparent" w:hint="cs"/>
          <w:b/>
          <w:bCs/>
          <w:sz w:val="24"/>
          <w:szCs w:val="24"/>
          <w:rtl/>
          <w:lang w:bidi="ar-JO"/>
        </w:rPr>
        <w:t>معجم اللغة العربية المعاصرة</w:t>
      </w:r>
      <w:r w:rsidRPr="002273BC">
        <w:rPr>
          <w:rFonts w:ascii="Arabic Transparent" w:hAnsi="Arabic Transparent" w:cs="Arabic Transparent" w:hint="cs"/>
          <w:sz w:val="24"/>
          <w:szCs w:val="24"/>
          <w:rtl/>
          <w:lang w:bidi="ar-JO"/>
        </w:rPr>
        <w:t>، مصدر سابق، ج2،ص1441.</w:t>
      </w:r>
    </w:p>
  </w:footnote>
  <w:footnote w:id="435">
    <w:p w14:paraId="417D2337"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الجرجاني، </w:t>
      </w:r>
      <w:r w:rsidRPr="002273BC">
        <w:rPr>
          <w:rFonts w:ascii="Arabic Transparent" w:hAnsi="Arabic Transparent" w:cs="Arabic Transparent" w:hint="cs"/>
          <w:b/>
          <w:bCs/>
          <w:sz w:val="24"/>
          <w:szCs w:val="24"/>
          <w:rtl/>
          <w:lang w:bidi="ar-JO"/>
        </w:rPr>
        <w:t>التعريفات،</w:t>
      </w:r>
      <w:r w:rsidRPr="002273BC">
        <w:rPr>
          <w:rFonts w:ascii="Arabic Transparent" w:hAnsi="Arabic Transparent" w:cs="Arabic Transparent" w:hint="cs"/>
          <w:sz w:val="24"/>
          <w:szCs w:val="24"/>
          <w:rtl/>
          <w:lang w:bidi="ar-JO"/>
        </w:rPr>
        <w:t xml:space="preserve"> مصدر سابق، ج1، ص143.</w:t>
      </w:r>
    </w:p>
  </w:footnote>
  <w:footnote w:id="436">
    <w:p w14:paraId="78BCCB38" w14:textId="77777777" w:rsidR="004E383D" w:rsidRPr="002273BC" w:rsidRDefault="004E383D" w:rsidP="00EA3738">
      <w:pPr>
        <w:pStyle w:val="FootnoteText"/>
        <w:spacing w:line="360" w:lineRule="auto"/>
        <w:jc w:val="both"/>
        <w:rPr>
          <w:rFonts w:ascii="Arabic Transparent" w:hAnsi="Arabic Transparent" w:cs="Arabic Transparent"/>
          <w:sz w:val="24"/>
          <w:szCs w:val="24"/>
          <w:rtl/>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البركتي، </w:t>
      </w:r>
      <w:r w:rsidRPr="002273BC">
        <w:rPr>
          <w:rFonts w:ascii="Arabic Transparent" w:hAnsi="Arabic Transparent" w:cs="Arabic Transparent" w:hint="cs"/>
          <w:b/>
          <w:bCs/>
          <w:sz w:val="24"/>
          <w:szCs w:val="24"/>
          <w:rtl/>
        </w:rPr>
        <w:t>التعريفات الفقهية</w:t>
      </w:r>
      <w:r w:rsidRPr="002273BC">
        <w:rPr>
          <w:rFonts w:ascii="Arabic Transparent" w:hAnsi="Arabic Transparent" w:cs="Arabic Transparent" w:hint="cs"/>
          <w:sz w:val="24"/>
          <w:szCs w:val="24"/>
          <w:rtl/>
        </w:rPr>
        <w:t>، مصدر سابق، ص139.</w:t>
      </w:r>
    </w:p>
  </w:footnote>
  <w:footnote w:id="437">
    <w:p w14:paraId="7DCD262A" w14:textId="4192767D"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على طريقة الحنفية يقسم اللفظ الواضح إلى أربعة أقسام، هي: الظاهر، والنص، والمفسر، والمحكم، انظر الدريني، </w:t>
      </w:r>
      <w:r w:rsidRPr="002273BC">
        <w:rPr>
          <w:rFonts w:ascii="Arabic Transparent" w:hAnsi="Arabic Transparent" w:cs="Arabic Transparent" w:hint="cs"/>
          <w:b/>
          <w:bCs/>
          <w:sz w:val="24"/>
          <w:szCs w:val="24"/>
          <w:rtl/>
          <w:lang w:bidi="ar-JO"/>
        </w:rPr>
        <w:t>المناهج الأصولية في الاجتهاد والرأي</w:t>
      </w:r>
      <w:r w:rsidRPr="002273BC">
        <w:rPr>
          <w:rFonts w:ascii="Arabic Transparent" w:hAnsi="Arabic Transparent" w:cs="Arabic Transparent" w:hint="cs"/>
          <w:sz w:val="24"/>
          <w:szCs w:val="24"/>
          <w:rtl/>
          <w:lang w:bidi="ar-JO"/>
        </w:rPr>
        <w:t>، مصدر سابق، ص45.</w:t>
      </w:r>
    </w:p>
  </w:footnote>
  <w:footnote w:id="438">
    <w:p w14:paraId="423E1F28"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عبد المنعم، محمود عبد الرحمن (1999م). </w:t>
      </w:r>
      <w:r w:rsidRPr="002273BC">
        <w:rPr>
          <w:rFonts w:ascii="Arabic Transparent" w:hAnsi="Arabic Transparent" w:cs="Arabic Transparent" w:hint="cs"/>
          <w:b/>
          <w:bCs/>
          <w:sz w:val="24"/>
          <w:szCs w:val="24"/>
          <w:rtl/>
          <w:lang w:bidi="ar-JO"/>
        </w:rPr>
        <w:t>معجم المصطلحات والألفاظ الفقهية،</w:t>
      </w:r>
      <w:r w:rsidRPr="002273BC">
        <w:rPr>
          <w:rFonts w:ascii="Arabic Transparent" w:hAnsi="Arabic Transparent" w:cs="Arabic Transparent" w:hint="cs"/>
          <w:sz w:val="24"/>
          <w:szCs w:val="24"/>
          <w:rtl/>
          <w:lang w:bidi="ar-JO"/>
        </w:rPr>
        <w:t xml:space="preserve"> ط1، ج2، ص445، دار الفضيلة، القاهرة</w:t>
      </w:r>
    </w:p>
  </w:footnote>
  <w:footnote w:id="439">
    <w:p w14:paraId="643E0BC9"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الدريني، </w:t>
      </w:r>
      <w:r w:rsidRPr="002273BC">
        <w:rPr>
          <w:rFonts w:ascii="Arabic Transparent" w:hAnsi="Arabic Transparent" w:cs="Arabic Transparent" w:hint="cs"/>
          <w:b/>
          <w:bCs/>
          <w:sz w:val="24"/>
          <w:szCs w:val="24"/>
          <w:rtl/>
          <w:lang w:bidi="ar-JO"/>
        </w:rPr>
        <w:t>المناهج الأصوليَّة في الاجتهاد بالرأي في التشريع الإسلامي</w:t>
      </w:r>
      <w:r w:rsidRPr="002273BC">
        <w:rPr>
          <w:rFonts w:ascii="Arabic Transparent" w:hAnsi="Arabic Transparent" w:cs="Arabic Transparent" w:hint="cs"/>
          <w:sz w:val="24"/>
          <w:szCs w:val="24"/>
          <w:rtl/>
          <w:lang w:bidi="ar-JO"/>
        </w:rPr>
        <w:t>، ص45.</w:t>
      </w:r>
    </w:p>
  </w:footnote>
  <w:footnote w:id="440">
    <w:p w14:paraId="3B56F815" w14:textId="3D04E961"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حكيم، محمد طاهر (2010). </w:t>
      </w:r>
      <w:r w:rsidRPr="002273BC">
        <w:rPr>
          <w:rFonts w:ascii="Arabic Transparent" w:hAnsi="Arabic Transparent" w:cs="Arabic Transparent" w:hint="cs"/>
          <w:b/>
          <w:bCs/>
          <w:sz w:val="24"/>
          <w:szCs w:val="24"/>
          <w:rtl/>
          <w:lang w:bidi="ar-JO"/>
        </w:rPr>
        <w:t>"منهج الجمع بين المقاصد والنصوص"،</w:t>
      </w:r>
      <w:r w:rsidRPr="002273BC">
        <w:rPr>
          <w:rFonts w:ascii="Arabic Transparent" w:hAnsi="Arabic Transparent" w:cs="Arabic Transparent" w:hint="cs"/>
          <w:sz w:val="24"/>
          <w:szCs w:val="24"/>
          <w:rtl/>
          <w:lang w:bidi="ar-JO"/>
        </w:rPr>
        <w:t xml:space="preserve"> بحث مقدم إلى ندوة: نحو منهج علمي أصيل لدراسة القضايا الفقهية المعاصرة، جامعة الإمام محمد بن سعود الإسلامية </w:t>
      </w:r>
      <w:r w:rsidR="00E5723D">
        <w:rPr>
          <w:rFonts w:ascii="Arabic Transparent" w:hAnsi="Arabic Transparent" w:cs="Arabic Transparent" w:hint="cs"/>
          <w:sz w:val="24"/>
          <w:szCs w:val="24"/>
          <w:rtl/>
          <w:lang w:bidi="ar-JO"/>
        </w:rPr>
        <w:t>ص34،</w:t>
      </w:r>
      <w:r w:rsidRPr="002273BC">
        <w:rPr>
          <w:rFonts w:ascii="Arabic Transparent" w:hAnsi="Arabic Transparent" w:cs="Arabic Transparent" w:hint="cs"/>
          <w:sz w:val="24"/>
          <w:szCs w:val="24"/>
          <w:rtl/>
          <w:lang w:bidi="ar-JO"/>
        </w:rPr>
        <w:t xml:space="preserve"> مركز التميز البحثي في فقه القضايا المعاصرة، الرياض.</w:t>
      </w:r>
    </w:p>
  </w:footnote>
  <w:footnote w:id="441">
    <w:p w14:paraId="12782435"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القرضاوي</w:t>
      </w:r>
      <w:r w:rsidRPr="002273BC">
        <w:rPr>
          <w:rFonts w:ascii="Arabic Transparent" w:hAnsi="Arabic Transparent" w:cs="Arabic Transparent" w:hint="cs"/>
          <w:b/>
          <w:bCs/>
          <w:sz w:val="24"/>
          <w:szCs w:val="24"/>
          <w:rtl/>
          <w:lang w:bidi="ar-JO"/>
        </w:rPr>
        <w:t>، دراسة في فقه مقاصد الشريعة بين المقاصد الكلية والنصوص الجزئية</w:t>
      </w:r>
      <w:r w:rsidRPr="002273BC">
        <w:rPr>
          <w:rFonts w:ascii="Arabic Transparent" w:hAnsi="Arabic Transparent" w:cs="Arabic Transparent" w:hint="cs"/>
          <w:sz w:val="24"/>
          <w:szCs w:val="24"/>
          <w:rtl/>
          <w:lang w:bidi="ar-JO"/>
        </w:rPr>
        <w:t>، مصدر سابق، ص39.</w:t>
      </w:r>
    </w:p>
  </w:footnote>
  <w:footnote w:id="442">
    <w:p w14:paraId="2611D248"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هناك فروق كثيرة بين المنهج والمذهب، أهمها أن المنهج عام يستعمل في كل الملل والنحل أما المذهب خاص بفكر الإمام وأتباعه، وليت الدعوى هنا إلى المذهب ذاته أو منهجه إنما إلى منهج معتبر في معالجة النصوص يشابه الظاهر من قسيم اللفظ الواضح والمعروف في الألفاظ الواضحة من علم الدلالات الأصوليَّة. انظر: البركت</w:t>
      </w:r>
      <w:r w:rsidRPr="002273BC">
        <w:rPr>
          <w:rFonts w:ascii="Arabic Transparent" w:hAnsi="Arabic Transparent" w:cs="Arabic Transparent" w:hint="eastAsia"/>
          <w:sz w:val="24"/>
          <w:szCs w:val="24"/>
          <w:rtl/>
          <w:lang w:bidi="ar-JO"/>
        </w:rPr>
        <w:t>ي</w:t>
      </w:r>
      <w:r w:rsidRPr="002273BC">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b/>
          <w:bCs/>
          <w:sz w:val="24"/>
          <w:szCs w:val="24"/>
          <w:rtl/>
          <w:lang w:bidi="ar-JO"/>
        </w:rPr>
        <w:t>التعريفات الفقهية</w:t>
      </w:r>
      <w:r w:rsidRPr="002273BC">
        <w:rPr>
          <w:rFonts w:ascii="Arabic Transparent" w:hAnsi="Arabic Transparent" w:cs="Arabic Transparent" w:hint="cs"/>
          <w:sz w:val="24"/>
          <w:szCs w:val="24"/>
          <w:rtl/>
          <w:lang w:bidi="ar-JO"/>
        </w:rPr>
        <w:t>، مصدر سابق، ص200.</w:t>
      </w:r>
    </w:p>
  </w:footnote>
  <w:footnote w:id="443">
    <w:p w14:paraId="14BCE382"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الدريني، </w:t>
      </w:r>
      <w:r w:rsidRPr="002273BC">
        <w:rPr>
          <w:rFonts w:ascii="Arabic Transparent" w:hAnsi="Arabic Transparent" w:cs="Arabic Transparent" w:hint="cs"/>
          <w:b/>
          <w:bCs/>
          <w:sz w:val="24"/>
          <w:szCs w:val="24"/>
          <w:rtl/>
          <w:lang w:bidi="ar-JO"/>
        </w:rPr>
        <w:t>المناهج الأصوليَّة في الاجتهاد بالرأي في الشريعة الإسلامية،</w:t>
      </w:r>
      <w:r w:rsidRPr="002273BC">
        <w:rPr>
          <w:rFonts w:ascii="Arabic Transparent" w:hAnsi="Arabic Transparent" w:cs="Arabic Transparent" w:hint="cs"/>
          <w:sz w:val="24"/>
          <w:szCs w:val="24"/>
          <w:rtl/>
          <w:lang w:bidi="ar-JO"/>
        </w:rPr>
        <w:t xml:space="preserve"> مصدر سابق، ص47.</w:t>
      </w:r>
    </w:p>
  </w:footnote>
  <w:footnote w:id="444">
    <w:p w14:paraId="2D70B36A"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القرضاوي، </w:t>
      </w:r>
      <w:r w:rsidRPr="002273BC">
        <w:rPr>
          <w:rFonts w:ascii="Arabic Transparent" w:hAnsi="Arabic Transparent" w:cs="Arabic Transparent" w:hint="cs"/>
          <w:b/>
          <w:bCs/>
          <w:sz w:val="24"/>
          <w:szCs w:val="24"/>
          <w:rtl/>
          <w:lang w:bidi="ar-JO"/>
        </w:rPr>
        <w:t>دراسة في فقه مقاصد الشريعة بين المقاصد الكلية والنصوص الجزئية</w:t>
      </w:r>
      <w:r w:rsidRPr="002273BC">
        <w:rPr>
          <w:rFonts w:ascii="Arabic Transparent" w:hAnsi="Arabic Transparent" w:cs="Arabic Transparent" w:hint="cs"/>
          <w:sz w:val="24"/>
          <w:szCs w:val="24"/>
          <w:rtl/>
          <w:lang w:bidi="ar-JO"/>
        </w:rPr>
        <w:t>، مصدر سابق، ص52.</w:t>
      </w:r>
    </w:p>
  </w:footnote>
  <w:footnote w:id="445">
    <w:p w14:paraId="579FC465"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شبير، محمد عثمان (2017). </w:t>
      </w:r>
      <w:r w:rsidRPr="002273BC">
        <w:rPr>
          <w:rFonts w:ascii="Arabic Transparent" w:hAnsi="Arabic Transparent" w:cs="Arabic Transparent" w:hint="cs"/>
          <w:b/>
          <w:bCs/>
          <w:sz w:val="24"/>
          <w:szCs w:val="24"/>
          <w:rtl/>
          <w:lang w:bidi="ar-JO"/>
        </w:rPr>
        <w:t>مناهج الفقهاء في استنباط الأحكام،</w:t>
      </w:r>
      <w:r w:rsidRPr="002273BC">
        <w:rPr>
          <w:rFonts w:ascii="Arabic Transparent" w:hAnsi="Arabic Transparent" w:cs="Arabic Transparent" w:hint="cs"/>
          <w:sz w:val="24"/>
          <w:szCs w:val="24"/>
          <w:rtl/>
          <w:lang w:bidi="ar-JO"/>
        </w:rPr>
        <w:t xml:space="preserve"> ط1، ص537، دار النفائس للنشر والتوزيع، عمان.</w:t>
      </w:r>
    </w:p>
  </w:footnote>
  <w:footnote w:id="446">
    <w:p w14:paraId="273E3D32"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مجموعة من العلماء بإشراف مجمع البحوث الإسلامية بالأزهر (1973-1993). </w:t>
      </w:r>
      <w:r w:rsidRPr="002273BC">
        <w:rPr>
          <w:rFonts w:ascii="Arabic Transparent" w:hAnsi="Arabic Transparent" w:cs="Arabic Transparent" w:hint="cs"/>
          <w:b/>
          <w:bCs/>
          <w:sz w:val="24"/>
          <w:szCs w:val="24"/>
          <w:rtl/>
          <w:lang w:bidi="ar-JO"/>
        </w:rPr>
        <w:t>التفسير الوسيط للقرآن الكريم،</w:t>
      </w:r>
      <w:r w:rsidRPr="002273BC">
        <w:rPr>
          <w:rFonts w:ascii="Arabic Transparent" w:hAnsi="Arabic Transparent" w:cs="Arabic Transparent" w:hint="cs"/>
          <w:sz w:val="24"/>
          <w:szCs w:val="24"/>
          <w:rtl/>
          <w:lang w:bidi="ar-JO"/>
        </w:rPr>
        <w:t xml:space="preserve"> ط1، ج1، ص517، الهيئة العامة لشؤون المطابع الأميرية، القاهرة.</w:t>
      </w:r>
    </w:p>
  </w:footnote>
  <w:footnote w:id="447">
    <w:p w14:paraId="19BE6D3A"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القرطبي، </w:t>
      </w:r>
      <w:r w:rsidRPr="002273BC">
        <w:rPr>
          <w:rFonts w:ascii="Arabic Transparent" w:hAnsi="Arabic Transparent" w:cs="Arabic Transparent" w:hint="cs"/>
          <w:b/>
          <w:bCs/>
          <w:sz w:val="24"/>
          <w:szCs w:val="24"/>
          <w:rtl/>
          <w:lang w:bidi="ar-JO"/>
        </w:rPr>
        <w:t>الجامع لأحكام القرآن</w:t>
      </w:r>
      <w:r w:rsidRPr="002273BC">
        <w:rPr>
          <w:rFonts w:ascii="Arabic Transparent" w:hAnsi="Arabic Transparent" w:cs="Arabic Transparent" w:hint="cs"/>
          <w:sz w:val="24"/>
          <w:szCs w:val="24"/>
          <w:rtl/>
          <w:lang w:bidi="ar-JO"/>
        </w:rPr>
        <w:t>، مصدر سابق، ج4، ص11.</w:t>
      </w:r>
    </w:p>
  </w:footnote>
  <w:footnote w:id="448">
    <w:p w14:paraId="3970F72E" w14:textId="68650E2D" w:rsidR="004E383D" w:rsidRPr="002273BC" w:rsidRDefault="004E383D" w:rsidP="00EA3738">
      <w:pPr>
        <w:pStyle w:val="FootnoteText"/>
        <w:spacing w:line="360" w:lineRule="auto"/>
        <w:ind w:left="-2"/>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tl/>
          <w:lang w:bidi="ar-JO"/>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tl/>
          <w:lang w:bidi="ar-JO"/>
        </w:rPr>
        <w:t>)</w:t>
      </w:r>
      <w:r w:rsidRPr="002273BC">
        <w:rPr>
          <w:rFonts w:ascii="Arabic Transparent" w:hAnsi="Arabic Transparent" w:cs="Arabic Transparent" w:hint="cs"/>
          <w:sz w:val="24"/>
          <w:szCs w:val="24"/>
          <w:rtl/>
        </w:rPr>
        <w:t xml:space="preserve"> أخرجه البخاري في صحيحه، </w:t>
      </w:r>
      <w:r w:rsidRPr="002273BC">
        <w:rPr>
          <w:rFonts w:ascii="Arabic Transparent" w:hAnsi="Arabic Transparent" w:cs="Arabic Transparent" w:hint="cs"/>
          <w:b/>
          <w:bCs/>
          <w:sz w:val="24"/>
          <w:szCs w:val="24"/>
          <w:rtl/>
          <w:lang w:bidi="ar-JO"/>
        </w:rPr>
        <w:t>صحيح البخاري</w:t>
      </w:r>
      <w:r w:rsidRPr="002273BC">
        <w:rPr>
          <w:rFonts w:ascii="Arabic Transparent" w:hAnsi="Arabic Transparent" w:cs="Arabic Transparent" w:hint="cs"/>
          <w:sz w:val="24"/>
          <w:szCs w:val="24"/>
          <w:rtl/>
          <w:lang w:bidi="ar-JO"/>
        </w:rPr>
        <w:t>، مصدر سابق، كتاب: الأحكام، باب: موعظة الإمام للخصوم، ج6، ص2622، ر6748.</w:t>
      </w:r>
    </w:p>
  </w:footnote>
  <w:footnote w:id="449">
    <w:p w14:paraId="3DC76086" w14:textId="594D5E3F" w:rsidR="004E383D" w:rsidRPr="002273BC" w:rsidRDefault="004E383D" w:rsidP="00EA3738">
      <w:pPr>
        <w:pStyle w:val="FootnoteText"/>
        <w:spacing w:line="360" w:lineRule="auto"/>
        <w:ind w:left="-2"/>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tl/>
          <w:lang w:bidi="ar-JO"/>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tl/>
          <w:lang w:bidi="ar-JO"/>
        </w:rPr>
        <w:t>)</w:t>
      </w:r>
      <w:r w:rsidRPr="002273BC">
        <w:rPr>
          <w:rFonts w:ascii="Arabic Transparent" w:hAnsi="Arabic Transparent" w:cs="Arabic Transparent" w:hint="cs"/>
          <w:sz w:val="24"/>
          <w:szCs w:val="24"/>
          <w:rtl/>
        </w:rPr>
        <w:t xml:space="preserve"> انظر زيدان، عبدالكريم، </w:t>
      </w:r>
      <w:r w:rsidRPr="002273BC">
        <w:rPr>
          <w:rFonts w:ascii="Arabic Transparent" w:hAnsi="Arabic Transparent" w:cs="Arabic Transparent" w:hint="cs"/>
          <w:b/>
          <w:bCs/>
          <w:sz w:val="24"/>
          <w:szCs w:val="24"/>
          <w:rtl/>
        </w:rPr>
        <w:t>نظام القضاء في الشريعة الإسلامية</w:t>
      </w:r>
      <w:r w:rsidRPr="002273BC">
        <w:rPr>
          <w:rFonts w:ascii="Arabic Transparent" w:hAnsi="Arabic Transparent" w:cs="Arabic Transparent" w:hint="cs"/>
          <w:sz w:val="24"/>
          <w:szCs w:val="24"/>
          <w:rtl/>
        </w:rPr>
        <w:t>، ط3،</w:t>
      </w:r>
      <w:r w:rsidR="00AB0CAA">
        <w:rPr>
          <w:rFonts w:ascii="Arabic Transparent" w:hAnsi="Arabic Transparent" w:cs="Arabic Transparent" w:hint="cs"/>
          <w:sz w:val="24"/>
          <w:szCs w:val="24"/>
          <w:rtl/>
        </w:rPr>
        <w:t xml:space="preserve"> ص133</w:t>
      </w:r>
      <w:r w:rsidRPr="002273BC">
        <w:rPr>
          <w:rFonts w:ascii="Arabic Transparent" w:hAnsi="Arabic Transparent" w:cs="Arabic Transparent" w:hint="cs"/>
          <w:sz w:val="24"/>
          <w:szCs w:val="24"/>
          <w:rtl/>
        </w:rPr>
        <w:t xml:space="preserve"> مؤسسة الرسالة ناشرون- دمشق</w:t>
      </w:r>
      <w:r w:rsidR="00AB0CAA">
        <w:rPr>
          <w:rFonts w:ascii="Arabic Transparent" w:hAnsi="Arabic Transparent" w:cs="Arabic Transparent" w:hint="cs"/>
          <w:sz w:val="24"/>
          <w:szCs w:val="24"/>
          <w:rtl/>
        </w:rPr>
        <w:t>.</w:t>
      </w:r>
    </w:p>
  </w:footnote>
  <w:footnote w:id="450">
    <w:p w14:paraId="24CED317" w14:textId="77777777" w:rsidR="004E383D" w:rsidRPr="002273BC" w:rsidRDefault="004E383D" w:rsidP="00EA3738">
      <w:pPr>
        <w:pStyle w:val="FootnoteText"/>
        <w:spacing w:line="360" w:lineRule="auto"/>
        <w:ind w:left="-2"/>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tl/>
          <w:lang w:bidi="ar-JO"/>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tl/>
          <w:lang w:bidi="ar-JO"/>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ابن الملقن، </w:t>
      </w:r>
      <w:r w:rsidRPr="002273BC">
        <w:rPr>
          <w:rFonts w:ascii="Arabic Transparent" w:hAnsi="Arabic Transparent" w:cs="Arabic Transparent" w:hint="cs"/>
          <w:b/>
          <w:bCs/>
          <w:sz w:val="24"/>
          <w:szCs w:val="24"/>
          <w:rtl/>
          <w:lang w:bidi="ar-JO"/>
        </w:rPr>
        <w:t>الأشباه والنظائر</w:t>
      </w:r>
      <w:r w:rsidRPr="002273BC">
        <w:rPr>
          <w:rFonts w:ascii="Arabic Transparent" w:hAnsi="Arabic Transparent" w:cs="Arabic Transparent" w:hint="cs"/>
          <w:sz w:val="24"/>
          <w:szCs w:val="24"/>
          <w:rtl/>
          <w:lang w:bidi="ar-JO"/>
        </w:rPr>
        <w:t>، مصدر سابق، ج1،ص40.</w:t>
      </w:r>
    </w:p>
  </w:footnote>
  <w:footnote w:id="451">
    <w:p w14:paraId="2D84EE1A" w14:textId="77777777" w:rsidR="004E383D" w:rsidRPr="002273BC" w:rsidRDefault="004E383D" w:rsidP="00EA3738">
      <w:pPr>
        <w:pStyle w:val="FootnoteText"/>
        <w:spacing w:line="360" w:lineRule="auto"/>
        <w:ind w:left="-2"/>
        <w:jc w:val="both"/>
        <w:rPr>
          <w:rFonts w:ascii="Arabic Transparent" w:hAnsi="Arabic Transparent" w:cs="Arabic Transparent"/>
          <w:sz w:val="24"/>
          <w:szCs w:val="24"/>
          <w:rtl/>
        </w:rPr>
      </w:pPr>
      <w:r w:rsidRPr="002273BC">
        <w:rPr>
          <w:rFonts w:ascii="Arabic Transparent" w:hAnsi="Arabic Transparent" w:cs="Arabic Transparent" w:hint="cs"/>
          <w:sz w:val="24"/>
          <w:szCs w:val="24"/>
          <w:rtl/>
          <w:lang w:bidi="ar-JO"/>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tl/>
          <w:lang w:bidi="ar-JO"/>
        </w:rPr>
        <w:t>)</w:t>
      </w:r>
      <w:r w:rsidRPr="002273BC">
        <w:rPr>
          <w:rFonts w:ascii="Arabic Transparent" w:hAnsi="Arabic Transparent" w:cs="Arabic Transparent" w:hint="cs"/>
          <w:sz w:val="24"/>
          <w:szCs w:val="24"/>
          <w:rtl/>
        </w:rPr>
        <w:t xml:space="preserve"> انظر: أبو زهرة، محمد (1997). </w:t>
      </w:r>
      <w:r w:rsidRPr="002273BC">
        <w:rPr>
          <w:rFonts w:ascii="Arabic Transparent" w:hAnsi="Arabic Transparent" w:cs="Arabic Transparent" w:hint="cs"/>
          <w:b/>
          <w:bCs/>
          <w:sz w:val="24"/>
          <w:szCs w:val="24"/>
          <w:rtl/>
        </w:rPr>
        <w:t>أصول الفقه</w:t>
      </w:r>
      <w:r w:rsidRPr="002273BC">
        <w:rPr>
          <w:rFonts w:ascii="Arabic Transparent" w:hAnsi="Arabic Transparent" w:cs="Arabic Transparent" w:hint="cs"/>
          <w:sz w:val="24"/>
          <w:szCs w:val="24"/>
          <w:rtl/>
        </w:rPr>
        <w:t>، ط1، ص114، دار الفكر العربي، القاهرة.</w:t>
      </w:r>
    </w:p>
  </w:footnote>
  <w:footnote w:id="452">
    <w:p w14:paraId="5FAF1FA1"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الروياني، </w:t>
      </w:r>
      <w:r w:rsidRPr="002273BC">
        <w:rPr>
          <w:rFonts w:ascii="Arabic Transparent" w:hAnsi="Arabic Transparent" w:cs="Arabic Transparent" w:hint="cs"/>
          <w:b/>
          <w:bCs/>
          <w:sz w:val="24"/>
          <w:szCs w:val="24"/>
          <w:rtl/>
          <w:lang w:bidi="ar-JO"/>
        </w:rPr>
        <w:t>بحر المذهب</w:t>
      </w:r>
      <w:r w:rsidRPr="002273BC">
        <w:rPr>
          <w:rFonts w:ascii="Arabic Transparent" w:hAnsi="Arabic Transparent" w:cs="Arabic Transparent" w:hint="cs"/>
          <w:sz w:val="24"/>
          <w:szCs w:val="24"/>
          <w:rtl/>
          <w:lang w:bidi="ar-JO"/>
        </w:rPr>
        <w:t>، مصدر سابق، ج4، ص574.</w:t>
      </w:r>
    </w:p>
  </w:footnote>
  <w:footnote w:id="453">
    <w:p w14:paraId="5C5D4891" w14:textId="03E11BF7" w:rsidR="004E383D" w:rsidRPr="002273BC" w:rsidRDefault="004E383D" w:rsidP="00EA3738">
      <w:pPr>
        <w:pStyle w:val="FootnoteText"/>
        <w:spacing w:line="360" w:lineRule="auto"/>
        <w:jc w:val="both"/>
        <w:rPr>
          <w:rFonts w:ascii="Arabic Transparent" w:hAnsi="Arabic Transparent" w:cs="Arabic Transparent"/>
          <w:sz w:val="24"/>
          <w:szCs w:val="24"/>
          <w:rtl/>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سبق تخريجه انظر ص</w:t>
      </w:r>
      <w:r w:rsidR="00E661D0">
        <w:rPr>
          <w:rFonts w:ascii="Arabic Transparent" w:hAnsi="Arabic Transparent" w:cs="Arabic Transparent" w:hint="cs"/>
          <w:sz w:val="24"/>
          <w:szCs w:val="24"/>
          <w:rtl/>
        </w:rPr>
        <w:t>68.</w:t>
      </w:r>
    </w:p>
  </w:footnote>
  <w:footnote w:id="454">
    <w:p w14:paraId="01B5BDCB" w14:textId="1AFA2C26"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بيع العينة: مكروه عند الحنفية، العيني، </w:t>
      </w:r>
      <w:r w:rsidRPr="002273BC">
        <w:rPr>
          <w:rFonts w:ascii="Arabic Transparent" w:hAnsi="Arabic Transparent" w:cs="Arabic Transparent" w:hint="cs"/>
          <w:b/>
          <w:bCs/>
          <w:sz w:val="24"/>
          <w:szCs w:val="24"/>
          <w:rtl/>
        </w:rPr>
        <w:t>البناية شرح الهداية</w:t>
      </w:r>
      <w:r w:rsidRPr="002273BC">
        <w:rPr>
          <w:rFonts w:ascii="Arabic Transparent" w:hAnsi="Arabic Transparent" w:cs="Arabic Transparent" w:hint="cs"/>
          <w:sz w:val="24"/>
          <w:szCs w:val="24"/>
          <w:rtl/>
        </w:rPr>
        <w:t>، مصدر سابق، ج8، ص462، و</w:t>
      </w:r>
      <w:r w:rsidRPr="002273BC">
        <w:rPr>
          <w:rFonts w:ascii="Arabic Transparent" w:hAnsi="Arabic Transparent" w:cs="Arabic Transparent" w:hint="cs"/>
          <w:sz w:val="24"/>
          <w:szCs w:val="24"/>
          <w:rtl/>
          <w:lang w:bidi="ar-JO"/>
        </w:rPr>
        <w:t>نُقل عن الشافعي أنه يجوز مع الكراهة وقيل في المذهب</w:t>
      </w:r>
      <w:r w:rsidR="00151AED" w:rsidRPr="002273BC">
        <w:rPr>
          <w:rFonts w:ascii="Arabic Transparent" w:hAnsi="Arabic Transparent" w:cs="Arabic Transparent" w:hint="cs"/>
          <w:sz w:val="24"/>
          <w:szCs w:val="24"/>
          <w:rtl/>
          <w:lang w:bidi="ar-JO"/>
        </w:rPr>
        <w:t xml:space="preserve"> </w:t>
      </w:r>
      <w:r w:rsidR="00151AED" w:rsidRPr="002273BC">
        <w:rPr>
          <w:rFonts w:ascii="Arabic Transparent" w:hAnsi="Arabic Transparent" w:cs="Arabic Transparent"/>
          <w:sz w:val="24"/>
          <w:szCs w:val="24"/>
          <w:rtl/>
          <w:lang w:bidi="ar-JO"/>
        </w:rPr>
        <w:t>"</w:t>
      </w:r>
      <w:r w:rsidRPr="002273BC">
        <w:rPr>
          <w:rFonts w:ascii="Arabic Transparent" w:hAnsi="Arabic Transparent" w:cs="Arabic Transparent" w:hint="cs"/>
          <w:sz w:val="24"/>
          <w:szCs w:val="24"/>
          <w:rtl/>
          <w:lang w:bidi="ar-JO"/>
        </w:rPr>
        <w:t xml:space="preserve">لَيْسَ مِنَ الْمَنَاهِي ‌بَيْعُ ‌الْعِينَةِ"، انظر: النووي، أبو زكريا محيي الدين يحيى بن شرف (1991). </w:t>
      </w:r>
      <w:r w:rsidRPr="002273BC">
        <w:rPr>
          <w:rFonts w:ascii="Arabic Transparent" w:hAnsi="Arabic Transparent" w:cs="Arabic Transparent" w:hint="cs"/>
          <w:b/>
          <w:bCs/>
          <w:sz w:val="24"/>
          <w:szCs w:val="24"/>
          <w:rtl/>
          <w:lang w:bidi="ar-JO"/>
        </w:rPr>
        <w:t>روضة الطالبين وعمدة المفتين</w:t>
      </w:r>
      <w:r w:rsidRPr="002273BC">
        <w:rPr>
          <w:rFonts w:ascii="Arabic Transparent" w:hAnsi="Arabic Transparent" w:cs="Arabic Transparent" w:hint="cs"/>
          <w:sz w:val="24"/>
          <w:szCs w:val="24"/>
          <w:rtl/>
          <w:lang w:bidi="ar-JO"/>
        </w:rPr>
        <w:t>، تحقيق: زهير الشاويش، ط3، ج3، ص418، المكتب الإسلامي، بيروت - دمشق - عمان،</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والروياني، </w:t>
      </w:r>
      <w:r w:rsidRPr="002273BC">
        <w:rPr>
          <w:rFonts w:ascii="Arabic Transparent" w:hAnsi="Arabic Transparent" w:cs="Arabic Transparent" w:hint="cs"/>
          <w:b/>
          <w:bCs/>
          <w:sz w:val="24"/>
          <w:szCs w:val="24"/>
          <w:rtl/>
          <w:lang w:bidi="ar-JO"/>
        </w:rPr>
        <w:t>بحر المذهب</w:t>
      </w:r>
      <w:r w:rsidRPr="002273BC">
        <w:rPr>
          <w:rFonts w:ascii="Arabic Transparent" w:hAnsi="Arabic Transparent" w:cs="Arabic Transparent" w:hint="cs"/>
          <w:sz w:val="24"/>
          <w:szCs w:val="24"/>
          <w:rtl/>
          <w:lang w:bidi="ar-JO"/>
        </w:rPr>
        <w:t xml:space="preserve">، مصدر سابق، ج4، ص574. ويجوز عند الظاهرية، ابن حزم، </w:t>
      </w:r>
      <w:r w:rsidRPr="002273BC">
        <w:rPr>
          <w:rFonts w:ascii="Arabic Transparent" w:hAnsi="Arabic Transparent" w:cs="Arabic Transparent" w:hint="cs"/>
          <w:b/>
          <w:bCs/>
          <w:sz w:val="24"/>
          <w:szCs w:val="24"/>
          <w:rtl/>
          <w:lang w:bidi="ar-JO"/>
        </w:rPr>
        <w:t>المحلى بالآثار</w:t>
      </w:r>
      <w:r w:rsidRPr="002273BC">
        <w:rPr>
          <w:rFonts w:ascii="Arabic Transparent" w:hAnsi="Arabic Transparent" w:cs="Arabic Transparent" w:hint="cs"/>
          <w:sz w:val="24"/>
          <w:szCs w:val="24"/>
          <w:rtl/>
          <w:lang w:bidi="ar-JO"/>
        </w:rPr>
        <w:t>، مصدر سابق، ج8، ص41.</w:t>
      </w:r>
    </w:p>
  </w:footnote>
  <w:footnote w:id="455">
    <w:p w14:paraId="343EC36D" w14:textId="77777777" w:rsidR="004E383D" w:rsidRPr="002273BC" w:rsidRDefault="004E383D" w:rsidP="00EA3738">
      <w:pPr>
        <w:pStyle w:val="FootnoteText"/>
        <w:spacing w:line="360" w:lineRule="auto"/>
        <w:ind w:left="-2"/>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tl/>
          <w:lang w:bidi="ar-JO"/>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tl/>
          <w:lang w:bidi="ar-JO"/>
        </w:rPr>
        <w:t>)</w:t>
      </w:r>
      <w:r w:rsidRPr="002273BC">
        <w:rPr>
          <w:rFonts w:ascii="Arabic Transparent" w:hAnsi="Arabic Transparent" w:cs="Arabic Transparent" w:hint="cs"/>
          <w:sz w:val="24"/>
          <w:szCs w:val="24"/>
          <w:rtl/>
        </w:rPr>
        <w:t xml:space="preserve"> انظر: </w:t>
      </w:r>
      <w:r w:rsidRPr="002273BC">
        <w:rPr>
          <w:rFonts w:ascii="Arabic Transparent" w:hAnsi="Arabic Transparent" w:cs="Arabic Transparent" w:hint="cs"/>
          <w:sz w:val="24"/>
          <w:szCs w:val="24"/>
          <w:rtl/>
          <w:lang w:bidi="ar-JO"/>
        </w:rPr>
        <w:t>الدريني، محمد فتحي (1986). "</w:t>
      </w:r>
      <w:r w:rsidRPr="002273BC">
        <w:rPr>
          <w:rFonts w:ascii="Arabic Transparent" w:hAnsi="Arabic Transparent" w:cs="Arabic Transparent" w:hint="cs"/>
          <w:b/>
          <w:bCs/>
          <w:sz w:val="24"/>
          <w:szCs w:val="24"/>
          <w:rtl/>
          <w:lang w:bidi="ar-JO"/>
        </w:rPr>
        <w:t>المنهج العلمي في الاجتهاد بالرأي في التشريع الإسلامي</w:t>
      </w:r>
      <w:r w:rsidRPr="002273BC">
        <w:rPr>
          <w:rFonts w:ascii="Arabic Transparent" w:hAnsi="Arabic Transparent" w:cs="Arabic Transparent" w:hint="cs"/>
          <w:sz w:val="24"/>
          <w:szCs w:val="24"/>
          <w:rtl/>
          <w:lang w:bidi="ar-JO"/>
        </w:rPr>
        <w:t>"، مجلة هدي الإسلام، مج30، ع4، ص16، وزارة الأوقاف والشؤون والمقدسات الإسلامية – الأردن.</w:t>
      </w:r>
    </w:p>
  </w:footnote>
  <w:footnote w:id="456">
    <w:p w14:paraId="66DC0CA8" w14:textId="62391418" w:rsidR="004E383D" w:rsidRPr="002273BC" w:rsidRDefault="004E383D" w:rsidP="00EA3738">
      <w:pPr>
        <w:pStyle w:val="FootnoteText"/>
        <w:spacing w:line="360" w:lineRule="auto"/>
        <w:ind w:left="-2"/>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tl/>
          <w:lang w:bidi="ar-JO"/>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tl/>
          <w:lang w:bidi="ar-JO"/>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الرازي، </w:t>
      </w:r>
      <w:r w:rsidRPr="002273BC">
        <w:rPr>
          <w:rFonts w:ascii="Arabic Transparent" w:hAnsi="Arabic Transparent" w:cs="Arabic Transparent" w:hint="cs"/>
          <w:b/>
          <w:bCs/>
          <w:sz w:val="24"/>
          <w:szCs w:val="24"/>
          <w:rtl/>
          <w:lang w:bidi="ar-JO"/>
        </w:rPr>
        <w:t>مختار الصحاح</w:t>
      </w:r>
      <w:r w:rsidRPr="002273BC">
        <w:rPr>
          <w:rFonts w:ascii="Arabic Transparent" w:hAnsi="Arabic Transparent" w:cs="Arabic Transparent" w:hint="cs"/>
          <w:sz w:val="24"/>
          <w:szCs w:val="24"/>
          <w:rtl/>
          <w:lang w:bidi="ar-JO"/>
        </w:rPr>
        <w:t>، مصدر سابق، ص254</w:t>
      </w:r>
      <w:r w:rsidR="00E5723D">
        <w:rPr>
          <w:rFonts w:ascii="Arabic Transparent" w:hAnsi="Arabic Transparent" w:cs="Arabic Transparent" w:hint="cs"/>
          <w:sz w:val="24"/>
          <w:szCs w:val="24"/>
          <w:rtl/>
          <w:lang w:bidi="ar-JO"/>
        </w:rPr>
        <w:t>،</w:t>
      </w:r>
      <w:r w:rsidRPr="002273BC">
        <w:rPr>
          <w:rFonts w:ascii="Arabic Transparent" w:hAnsi="Arabic Transparent" w:cs="Arabic Transparent" w:hint="cs"/>
          <w:sz w:val="24"/>
          <w:szCs w:val="24"/>
          <w:rtl/>
          <w:lang w:bidi="ar-JO"/>
        </w:rPr>
        <w:t xml:space="preserve"> وعمر، </w:t>
      </w:r>
      <w:r w:rsidRPr="002273BC">
        <w:rPr>
          <w:rFonts w:ascii="Arabic Transparent" w:hAnsi="Arabic Transparent" w:cs="Arabic Transparent" w:hint="cs"/>
          <w:b/>
          <w:bCs/>
          <w:sz w:val="24"/>
          <w:szCs w:val="24"/>
          <w:rtl/>
          <w:lang w:bidi="ar-JO"/>
        </w:rPr>
        <w:t>معجم اللغة العربية المعاصرة</w:t>
      </w:r>
      <w:r w:rsidRPr="002273BC">
        <w:rPr>
          <w:rFonts w:ascii="Arabic Transparent" w:hAnsi="Arabic Transparent" w:cs="Arabic Transparent" w:hint="cs"/>
          <w:sz w:val="24"/>
          <w:szCs w:val="24"/>
          <w:rtl/>
          <w:lang w:bidi="ar-JO"/>
        </w:rPr>
        <w:t>، مصدر سابق، ج3، ص1820.</w:t>
      </w:r>
    </w:p>
  </w:footnote>
  <w:footnote w:id="457">
    <w:p w14:paraId="22DE74A1" w14:textId="77777777" w:rsidR="004E383D" w:rsidRPr="002273BC" w:rsidRDefault="004E383D" w:rsidP="00EA3738">
      <w:pPr>
        <w:pStyle w:val="FootnoteText"/>
        <w:spacing w:line="360" w:lineRule="auto"/>
        <w:ind w:left="-2"/>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tl/>
          <w:lang w:bidi="ar-JO"/>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tl/>
          <w:lang w:bidi="ar-JO"/>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الزحيلي، وهبة (1986). </w:t>
      </w:r>
      <w:r w:rsidRPr="002273BC">
        <w:rPr>
          <w:rFonts w:ascii="Arabic Transparent" w:hAnsi="Arabic Transparent" w:cs="Arabic Transparent" w:hint="cs"/>
          <w:b/>
          <w:bCs/>
          <w:sz w:val="24"/>
          <w:szCs w:val="24"/>
          <w:rtl/>
          <w:lang w:bidi="ar-JO"/>
        </w:rPr>
        <w:t>أصول الفقه الإسلامي</w:t>
      </w:r>
      <w:r w:rsidRPr="002273BC">
        <w:rPr>
          <w:rFonts w:ascii="Arabic Transparent" w:hAnsi="Arabic Transparent" w:cs="Arabic Transparent" w:hint="cs"/>
          <w:sz w:val="24"/>
          <w:szCs w:val="24"/>
          <w:rtl/>
          <w:lang w:bidi="ar-JO"/>
        </w:rPr>
        <w:t xml:space="preserve">، ط1، ج2، ص1017، دار الفكر، دمشق. </w:t>
      </w:r>
    </w:p>
  </w:footnote>
  <w:footnote w:id="458">
    <w:p w14:paraId="4B2D1808" w14:textId="77777777" w:rsidR="004E383D" w:rsidRPr="002273BC" w:rsidRDefault="004E383D" w:rsidP="00EA3738">
      <w:pPr>
        <w:pStyle w:val="FootnoteText"/>
        <w:spacing w:line="360" w:lineRule="auto"/>
        <w:ind w:left="-2"/>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tl/>
          <w:lang w:bidi="ar-JO"/>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tl/>
          <w:lang w:bidi="ar-JO"/>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ابن عاشور، </w:t>
      </w:r>
      <w:r w:rsidRPr="002273BC">
        <w:rPr>
          <w:rFonts w:ascii="Arabic Transparent" w:hAnsi="Arabic Transparent" w:cs="Arabic Transparent" w:hint="cs"/>
          <w:b/>
          <w:bCs/>
          <w:sz w:val="24"/>
          <w:szCs w:val="24"/>
          <w:rtl/>
          <w:lang w:bidi="ar-JO"/>
        </w:rPr>
        <w:t>مقاصد الشريعة</w:t>
      </w:r>
      <w:r w:rsidRPr="002273BC">
        <w:rPr>
          <w:rFonts w:ascii="Arabic Transparent" w:hAnsi="Arabic Transparent" w:cs="Arabic Transparent" w:hint="cs"/>
          <w:sz w:val="24"/>
          <w:szCs w:val="24"/>
          <w:rtl/>
          <w:lang w:bidi="ar-JO"/>
        </w:rPr>
        <w:t>، مصدر سابق، ص49.</w:t>
      </w:r>
    </w:p>
  </w:footnote>
  <w:footnote w:id="459">
    <w:p w14:paraId="1BFFD90E" w14:textId="77777777" w:rsidR="004E383D" w:rsidRPr="002273BC" w:rsidRDefault="004E383D" w:rsidP="00EA3738">
      <w:pPr>
        <w:pStyle w:val="FootnoteText"/>
        <w:spacing w:line="360" w:lineRule="auto"/>
        <w:ind w:left="-2"/>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tl/>
          <w:lang w:bidi="ar-JO"/>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tl/>
          <w:lang w:bidi="ar-JO"/>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الفاسي، علال (1993). </w:t>
      </w:r>
      <w:r w:rsidRPr="002273BC">
        <w:rPr>
          <w:rFonts w:ascii="Arabic Transparent" w:hAnsi="Arabic Transparent" w:cs="Arabic Transparent" w:hint="cs"/>
          <w:b/>
          <w:bCs/>
          <w:sz w:val="24"/>
          <w:szCs w:val="24"/>
          <w:rtl/>
          <w:lang w:bidi="ar-JO"/>
        </w:rPr>
        <w:t>مقاصد الشريعة الإسلامية ومكارمها</w:t>
      </w:r>
      <w:r w:rsidRPr="002273BC">
        <w:rPr>
          <w:rFonts w:ascii="Arabic Transparent" w:hAnsi="Arabic Transparent" w:cs="Arabic Transparent" w:hint="cs"/>
          <w:sz w:val="24"/>
          <w:szCs w:val="24"/>
          <w:rtl/>
          <w:lang w:bidi="ar-JO"/>
        </w:rPr>
        <w:t>، ط5، ص3، دار الغرب الإسلامي، بيروت.</w:t>
      </w:r>
    </w:p>
  </w:footnote>
  <w:footnote w:id="460">
    <w:p w14:paraId="4136A203" w14:textId="77777777" w:rsidR="004E383D" w:rsidRPr="002273BC" w:rsidRDefault="004E383D" w:rsidP="00EA3738">
      <w:pPr>
        <w:spacing w:line="360" w:lineRule="auto"/>
        <w:ind w:left="-2"/>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tl/>
          <w:lang w:bidi="ar-JO"/>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tl/>
          <w:lang w:bidi="ar-JO"/>
        </w:rPr>
        <w:t xml:space="preserve">) الريسوني، أحمد، </w:t>
      </w:r>
      <w:r w:rsidRPr="002273BC">
        <w:rPr>
          <w:rFonts w:ascii="Arabic Transparent" w:hAnsi="Arabic Transparent" w:cs="Arabic Transparent" w:hint="cs"/>
          <w:b/>
          <w:bCs/>
          <w:sz w:val="24"/>
          <w:szCs w:val="24"/>
          <w:rtl/>
          <w:lang w:bidi="ar-JO"/>
        </w:rPr>
        <w:t>نظرية المقاصد عند الإمام الشاطبي</w:t>
      </w:r>
      <w:r w:rsidRPr="002273BC">
        <w:rPr>
          <w:rFonts w:ascii="Arabic Transparent" w:hAnsi="Arabic Transparent" w:cs="Arabic Transparent" w:hint="cs"/>
          <w:sz w:val="24"/>
          <w:szCs w:val="24"/>
          <w:rtl/>
          <w:lang w:bidi="ar-JO"/>
        </w:rPr>
        <w:t>، مصدر سابق، ص19.</w:t>
      </w:r>
    </w:p>
  </w:footnote>
  <w:footnote w:id="461">
    <w:p w14:paraId="67F22235" w14:textId="77777777" w:rsidR="004E383D" w:rsidRPr="002273BC" w:rsidRDefault="004E383D" w:rsidP="00EA3738">
      <w:pPr>
        <w:pStyle w:val="FootnoteText"/>
        <w:spacing w:line="360" w:lineRule="auto"/>
        <w:ind w:left="-2"/>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tl/>
          <w:lang w:bidi="ar-JO"/>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tl/>
          <w:lang w:bidi="ar-JO"/>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فقد سماه غير واحد بهذا الاسم والذي نراه أنه جامع لغيره وغيره لا يجمعه، فهو أقرب إلى المقصود من المنهج فمن الذين سموه، </w:t>
      </w:r>
      <w:r w:rsidRPr="002273BC">
        <w:rPr>
          <w:rFonts w:ascii="Arabic Transparent" w:hAnsi="Arabic Transparent" w:cs="Arabic Transparent" w:hint="cs"/>
          <w:b/>
          <w:bCs/>
          <w:sz w:val="24"/>
          <w:szCs w:val="24"/>
          <w:rtl/>
          <w:lang w:bidi="ar-JO"/>
        </w:rPr>
        <w:t xml:space="preserve">انظر: </w:t>
      </w:r>
      <w:r w:rsidRPr="002273BC">
        <w:rPr>
          <w:rFonts w:ascii="Arabic Transparent" w:hAnsi="Arabic Transparent" w:cs="Arabic Transparent" w:hint="cs"/>
          <w:sz w:val="24"/>
          <w:szCs w:val="24"/>
          <w:rtl/>
          <w:lang w:bidi="ar-JO"/>
        </w:rPr>
        <w:t xml:space="preserve">أوبك، محمد بن أحمد بن سيد، </w:t>
      </w:r>
      <w:r w:rsidRPr="002273BC">
        <w:rPr>
          <w:rFonts w:ascii="Arabic Transparent" w:hAnsi="Arabic Transparent" w:cs="Arabic Transparent" w:hint="cs"/>
          <w:b/>
          <w:bCs/>
          <w:sz w:val="24"/>
          <w:szCs w:val="24"/>
          <w:rtl/>
          <w:lang w:bidi="ar-JO"/>
        </w:rPr>
        <w:t>الاجتهاد الأصولي دراسة في المفهوم والمنهج</w:t>
      </w:r>
      <w:r w:rsidRPr="002273BC">
        <w:rPr>
          <w:rFonts w:ascii="Arabic Transparent" w:hAnsi="Arabic Transparent" w:cs="Arabic Transparent" w:hint="cs"/>
          <w:sz w:val="24"/>
          <w:szCs w:val="24"/>
          <w:rtl/>
          <w:lang w:bidi="ar-JO"/>
        </w:rPr>
        <w:t xml:space="preserve"> (2012م)، ط1، ص302، دار كنوز اشبيليا، الرياض</w:t>
      </w:r>
      <w:r w:rsidRPr="002273BC">
        <w:rPr>
          <w:rFonts w:ascii="Arabic Transparent" w:hAnsi="Arabic Transparent" w:cs="Arabic Transparent" w:hint="cs"/>
          <w:b/>
          <w:bCs/>
          <w:sz w:val="24"/>
          <w:szCs w:val="24"/>
          <w:rtl/>
          <w:lang w:bidi="ar-JO"/>
        </w:rPr>
        <w:t>.</w:t>
      </w:r>
    </w:p>
  </w:footnote>
  <w:footnote w:id="462">
    <w:p w14:paraId="4F173248" w14:textId="77777777" w:rsidR="004E383D" w:rsidRPr="002273BC" w:rsidRDefault="004E383D" w:rsidP="00EA3738">
      <w:pPr>
        <w:pStyle w:val="FootnoteText"/>
        <w:spacing w:line="360" w:lineRule="auto"/>
        <w:ind w:left="-2"/>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tl/>
          <w:lang w:bidi="ar-JO"/>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tl/>
          <w:lang w:bidi="ar-JO"/>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حسونة، عارف عز الدين حامد (2023). </w:t>
      </w:r>
      <w:r w:rsidRPr="002273BC">
        <w:rPr>
          <w:rFonts w:ascii="Arabic Transparent" w:hAnsi="Arabic Transparent" w:cs="Arabic Transparent" w:hint="cs"/>
          <w:b/>
          <w:bCs/>
          <w:sz w:val="24"/>
          <w:szCs w:val="24"/>
          <w:rtl/>
          <w:lang w:bidi="ar-JO"/>
        </w:rPr>
        <w:t>مناهج الاجتهاد الفقهي المعاصر</w:t>
      </w:r>
      <w:r w:rsidRPr="002273BC">
        <w:rPr>
          <w:rFonts w:ascii="Arabic Transparent" w:hAnsi="Arabic Transparent" w:cs="Arabic Transparent" w:hint="cs"/>
          <w:sz w:val="24"/>
          <w:szCs w:val="24"/>
          <w:rtl/>
          <w:lang w:bidi="ar-JO"/>
        </w:rPr>
        <w:t>، ط1، ص170، دار المرقاة للدراسات والنشر، عمّان.</w:t>
      </w:r>
    </w:p>
  </w:footnote>
  <w:footnote w:id="463">
    <w:p w14:paraId="47F0C4A1" w14:textId="77777777" w:rsidR="004E383D" w:rsidRPr="002273BC" w:rsidRDefault="004E383D" w:rsidP="00EA3738">
      <w:pPr>
        <w:pStyle w:val="FootnoteText"/>
        <w:spacing w:line="360" w:lineRule="auto"/>
        <w:ind w:left="-2"/>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tl/>
          <w:lang w:bidi="ar-JO"/>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tl/>
          <w:lang w:bidi="ar-JO"/>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الفكي، حسن أحمد حسن (2013). </w:t>
      </w:r>
      <w:r w:rsidRPr="002273BC">
        <w:rPr>
          <w:rFonts w:ascii="Arabic Transparent" w:hAnsi="Arabic Transparent" w:cs="Arabic Transparent" w:hint="cs"/>
          <w:b/>
          <w:bCs/>
          <w:sz w:val="24"/>
          <w:szCs w:val="24"/>
          <w:rtl/>
          <w:lang w:bidi="ar-JO"/>
        </w:rPr>
        <w:t>مناهج الفتوى في القضايا المعاصرة</w:t>
      </w:r>
      <w:r w:rsidRPr="002273BC">
        <w:rPr>
          <w:rFonts w:ascii="Arabic Transparent" w:hAnsi="Arabic Transparent" w:cs="Arabic Transparent" w:hint="cs"/>
          <w:sz w:val="24"/>
          <w:szCs w:val="24"/>
          <w:rtl/>
          <w:lang w:bidi="ar-JO"/>
        </w:rPr>
        <w:t>، ط1، ص1105، جامعة القصيم، بريدة.</w:t>
      </w:r>
    </w:p>
  </w:footnote>
  <w:footnote w:id="464">
    <w:p w14:paraId="7AB43179" w14:textId="37663523" w:rsidR="004E383D" w:rsidRPr="002273BC" w:rsidRDefault="004E383D" w:rsidP="00EA3738">
      <w:pPr>
        <w:pStyle w:val="FootnoteText"/>
        <w:spacing w:line="360" w:lineRule="auto"/>
        <w:ind w:left="-2"/>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tl/>
          <w:lang w:bidi="ar-JO"/>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tl/>
          <w:lang w:bidi="ar-JO"/>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عبر القرضاوي عنها بمدرسة الغلو في التوسع، وعرفها بأنها تتوسع بمقاصد النصوص على حساب الأحكام الثابتة ومثّل عليها بـ مدرسة الطوفية (إعلاء المصلحة) على (النص) وهي نسبة إلى نجم الدين الطوفي، حيث قدَّموا المصلحة على النص إذا تعارضا، ومدرسة تبرير الواقع، سواء الذي يريده العامة، أو الذي يريده طالب الاجتهاد، من خلال التماس تأويلات لكل ما يريدوا الحكم عليه بما يوافق مبتغاهم، انظر: القرضاوي، يوسف (1996). </w:t>
      </w:r>
      <w:r w:rsidRPr="002273BC">
        <w:rPr>
          <w:rFonts w:ascii="Arabic Transparent" w:hAnsi="Arabic Transparent" w:cs="Arabic Transparent" w:hint="cs"/>
          <w:b/>
          <w:bCs/>
          <w:sz w:val="24"/>
          <w:szCs w:val="24"/>
          <w:rtl/>
          <w:lang w:bidi="ar-JO"/>
        </w:rPr>
        <w:t>الاجتهاد في الشريعة الإسلامية مع نظرات تحليلية في الاجتهاد المعاصر</w:t>
      </w:r>
      <w:r w:rsidRPr="002273BC">
        <w:rPr>
          <w:rFonts w:ascii="Arabic Transparent" w:hAnsi="Arabic Transparent" w:cs="Arabic Transparent" w:hint="cs"/>
          <w:sz w:val="24"/>
          <w:szCs w:val="24"/>
          <w:rtl/>
          <w:lang w:bidi="ar-JO"/>
        </w:rPr>
        <w:t>، ط1، ص177، دار القلم للنشر والتوزيع، الكويت.</w:t>
      </w:r>
    </w:p>
  </w:footnote>
  <w:footnote w:id="465">
    <w:p w14:paraId="6DDAD8C1"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انظر: حسونة، </w:t>
      </w:r>
      <w:r w:rsidRPr="002273BC">
        <w:rPr>
          <w:rFonts w:ascii="Arabic Transparent" w:hAnsi="Arabic Transparent" w:cs="Arabic Transparent" w:hint="cs"/>
          <w:b/>
          <w:bCs/>
          <w:sz w:val="24"/>
          <w:szCs w:val="24"/>
          <w:rtl/>
          <w:lang w:bidi="ar-JO"/>
        </w:rPr>
        <w:t>مناهج الاجتهاد الفقهي المعاصر</w:t>
      </w:r>
      <w:r w:rsidRPr="002273BC">
        <w:rPr>
          <w:rFonts w:ascii="Arabic Transparent" w:hAnsi="Arabic Transparent" w:cs="Arabic Transparent" w:hint="cs"/>
          <w:sz w:val="24"/>
          <w:szCs w:val="24"/>
          <w:rtl/>
          <w:lang w:bidi="ar-JO"/>
        </w:rPr>
        <w:t>، مصدر سابق، ص170-175.</w:t>
      </w:r>
    </w:p>
  </w:footnote>
  <w:footnote w:id="466">
    <w:p w14:paraId="7FBA503B"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ابن منظور، </w:t>
      </w:r>
      <w:r w:rsidRPr="002273BC">
        <w:rPr>
          <w:rFonts w:ascii="Arabic Transparent" w:hAnsi="Arabic Transparent" w:cs="Arabic Transparent" w:hint="cs"/>
          <w:b/>
          <w:bCs/>
          <w:sz w:val="24"/>
          <w:szCs w:val="24"/>
          <w:rtl/>
          <w:lang w:bidi="ar-JO"/>
        </w:rPr>
        <w:t>لسان العرب</w:t>
      </w:r>
      <w:r w:rsidRPr="002273BC">
        <w:rPr>
          <w:rFonts w:ascii="Arabic Transparent" w:hAnsi="Arabic Transparent" w:cs="Arabic Transparent" w:hint="cs"/>
          <w:sz w:val="24"/>
          <w:szCs w:val="24"/>
          <w:rtl/>
          <w:lang w:bidi="ar-JO"/>
        </w:rPr>
        <w:t>، مصدر سابق، ج2، ص116.</w:t>
      </w:r>
    </w:p>
  </w:footnote>
  <w:footnote w:id="467">
    <w:p w14:paraId="29A4EBD5"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انظر: الآمدي، </w:t>
      </w:r>
      <w:r w:rsidRPr="002273BC">
        <w:rPr>
          <w:rFonts w:ascii="Arabic Transparent" w:hAnsi="Arabic Transparent" w:cs="Arabic Transparent" w:hint="cs"/>
          <w:b/>
          <w:bCs/>
          <w:sz w:val="24"/>
          <w:szCs w:val="24"/>
          <w:rtl/>
          <w:lang w:bidi="ar-JO"/>
        </w:rPr>
        <w:t>الإحكام</w:t>
      </w:r>
      <w:r w:rsidRPr="002273BC">
        <w:rPr>
          <w:rFonts w:ascii="Arabic Transparent" w:hAnsi="Arabic Transparent" w:cs="Arabic Transparent" w:hint="cs"/>
          <w:sz w:val="24"/>
          <w:szCs w:val="24"/>
          <w:rtl/>
          <w:lang w:bidi="ar-JO"/>
        </w:rPr>
        <w:t xml:space="preserve">، مصدر سابق، ج3، ص344-345، والغزالي، </w:t>
      </w:r>
      <w:r w:rsidRPr="002273BC">
        <w:rPr>
          <w:rFonts w:ascii="Arabic Transparent" w:hAnsi="Arabic Transparent" w:cs="Arabic Transparent" w:hint="cs"/>
          <w:b/>
          <w:bCs/>
          <w:sz w:val="24"/>
          <w:szCs w:val="24"/>
          <w:rtl/>
          <w:lang w:bidi="ar-JO"/>
        </w:rPr>
        <w:t>المستصفى</w:t>
      </w:r>
      <w:r w:rsidRPr="002273BC">
        <w:rPr>
          <w:rFonts w:ascii="Arabic Transparent" w:hAnsi="Arabic Transparent" w:cs="Arabic Transparent" w:hint="cs"/>
          <w:sz w:val="24"/>
          <w:szCs w:val="24"/>
          <w:rtl/>
          <w:lang w:bidi="ar-JO"/>
        </w:rPr>
        <w:t>، مصدر سابق، ج2، ص246.</w:t>
      </w:r>
    </w:p>
  </w:footnote>
  <w:footnote w:id="468">
    <w:p w14:paraId="36F822B8" w14:textId="7A2E1C65"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w:t>
      </w:r>
      <w:r w:rsidR="00CE388A" w:rsidRPr="002273BC">
        <w:rPr>
          <w:rFonts w:ascii="Arabic Transparent" w:hAnsi="Arabic Transparent" w:cs="Arabic Transparent"/>
          <w:sz w:val="24"/>
          <w:szCs w:val="24"/>
          <w:rtl/>
          <w:lang w:bidi="ar-JO"/>
        </w:rPr>
        <w:t>الكيلاني، عبدالله إبراهيم زيد (2001)،</w:t>
      </w:r>
      <w:r w:rsidR="00CE388A" w:rsidRPr="002273BC">
        <w:rPr>
          <w:rFonts w:ascii="Arabic Transparent" w:hAnsi="Arabic Transparent" w:cs="Arabic Transparent"/>
          <w:b/>
          <w:bCs/>
          <w:sz w:val="24"/>
          <w:szCs w:val="24"/>
          <w:rtl/>
          <w:lang w:bidi="ar-JO"/>
        </w:rPr>
        <w:t xml:space="preserve"> نظرية الباعث وأثرها في العقود والتصرفات في الفقه الإسلامي</w:t>
      </w:r>
      <w:r w:rsidR="00CE388A" w:rsidRPr="002273BC">
        <w:rPr>
          <w:rFonts w:ascii="Arabic Transparent" w:hAnsi="Arabic Transparent" w:cs="Arabic Transparent"/>
          <w:sz w:val="24"/>
          <w:szCs w:val="24"/>
          <w:rtl/>
          <w:lang w:bidi="ar-JO"/>
        </w:rPr>
        <w:t xml:space="preserve"> ،</w:t>
      </w:r>
      <w:r w:rsidR="00CE388A" w:rsidRPr="002273BC">
        <w:rPr>
          <w:rFonts w:ascii="Arabic Transparent" w:hAnsi="Arabic Transparent" w:cs="Arabic Transparent" w:hint="cs"/>
          <w:sz w:val="24"/>
          <w:szCs w:val="24"/>
          <w:rtl/>
          <w:lang w:bidi="ar-JO"/>
        </w:rPr>
        <w:t xml:space="preserve">  ط1، ص28،</w:t>
      </w:r>
      <w:r w:rsidR="00CE388A" w:rsidRPr="002273BC">
        <w:rPr>
          <w:rFonts w:ascii="Arabic Transparent" w:hAnsi="Arabic Transparent" w:cs="Arabic Transparent"/>
          <w:sz w:val="24"/>
          <w:szCs w:val="24"/>
          <w:rtl/>
          <w:lang w:bidi="ar-JO"/>
        </w:rPr>
        <w:t xml:space="preserve"> دار عمار للنشر والتوزيع، عمّان – الأردن.</w:t>
      </w:r>
    </w:p>
  </w:footnote>
  <w:footnote w:id="469">
    <w:p w14:paraId="6858CC9A"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أو حكمة التشريع أو باعث الشرع ومصلحة الحكم، ويمكن أن تكون ظاهرة أو خفية كما في العبادات، انظر، الغزالي،</w:t>
      </w:r>
      <w:r w:rsidRPr="002273BC">
        <w:rPr>
          <w:rFonts w:ascii="Arabic Transparent" w:hAnsi="Arabic Transparent" w:cs="Arabic Transparent" w:hint="cs"/>
          <w:b/>
          <w:bCs/>
          <w:sz w:val="24"/>
          <w:szCs w:val="24"/>
          <w:rtl/>
          <w:lang w:bidi="ar-JO"/>
        </w:rPr>
        <w:t xml:space="preserve"> المستصفى</w:t>
      </w:r>
      <w:r w:rsidRPr="002273BC">
        <w:rPr>
          <w:rFonts w:ascii="Arabic Transparent" w:hAnsi="Arabic Transparent" w:cs="Arabic Transparent" w:hint="cs"/>
          <w:sz w:val="24"/>
          <w:szCs w:val="24"/>
          <w:rtl/>
          <w:lang w:bidi="ar-JO"/>
        </w:rPr>
        <w:t>، مصدر سابق، ص339.</w:t>
      </w:r>
    </w:p>
  </w:footnote>
  <w:footnote w:id="470">
    <w:p w14:paraId="31AE0F08"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الدريني، فتحي، </w:t>
      </w:r>
      <w:r w:rsidRPr="002273BC">
        <w:rPr>
          <w:rFonts w:ascii="Arabic Transparent" w:hAnsi="Arabic Transparent" w:cs="Arabic Transparent" w:hint="cs"/>
          <w:b/>
          <w:bCs/>
          <w:sz w:val="24"/>
          <w:szCs w:val="24"/>
          <w:rtl/>
          <w:lang w:bidi="ar-JO"/>
        </w:rPr>
        <w:t>نظرية التعسف في استعمال الحق في الفقه الإسلامي</w:t>
      </w:r>
      <w:r w:rsidRPr="002273BC">
        <w:rPr>
          <w:rFonts w:ascii="Arabic Transparent" w:hAnsi="Arabic Transparent" w:cs="Arabic Transparent" w:hint="cs"/>
          <w:sz w:val="24"/>
          <w:szCs w:val="24"/>
          <w:rtl/>
          <w:lang w:bidi="ar-JO"/>
        </w:rPr>
        <w:t xml:space="preserve"> (1994)، ط4، ص207، مؤسسة الرسالة، بيروت.</w:t>
      </w:r>
    </w:p>
  </w:footnote>
  <w:footnote w:id="471">
    <w:p w14:paraId="7D836CA3"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الكيلاني، </w:t>
      </w:r>
      <w:r w:rsidRPr="002273BC">
        <w:rPr>
          <w:rFonts w:ascii="Arabic Transparent" w:hAnsi="Arabic Transparent" w:cs="Arabic Transparent" w:hint="cs"/>
          <w:b/>
          <w:bCs/>
          <w:sz w:val="24"/>
          <w:szCs w:val="24"/>
          <w:rtl/>
          <w:lang w:bidi="ar-JO"/>
        </w:rPr>
        <w:t>نظرية الباعث وأثرها في العقود والتصرفات في الفقه الإسلامي</w:t>
      </w:r>
      <w:r w:rsidRPr="002273BC">
        <w:rPr>
          <w:rFonts w:ascii="Arabic Transparent" w:hAnsi="Arabic Transparent" w:cs="Arabic Transparent" w:hint="cs"/>
          <w:sz w:val="24"/>
          <w:szCs w:val="24"/>
          <w:rtl/>
          <w:lang w:bidi="ar-JO"/>
        </w:rPr>
        <w:t>، مصدر سابق، ص30.</w:t>
      </w:r>
    </w:p>
  </w:footnote>
  <w:footnote w:id="472">
    <w:p w14:paraId="35EB950A"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انظر: المصدر السابق نفسه، ص28.</w:t>
      </w:r>
    </w:p>
  </w:footnote>
  <w:footnote w:id="473">
    <w:p w14:paraId="29C162CC" w14:textId="0BD9A73E"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000A2709">
        <w:rPr>
          <w:rFonts w:ascii="Arabic Transparent" w:hAnsi="Arabic Transparent" w:cs="Arabic Transparent" w:hint="cs"/>
          <w:sz w:val="24"/>
          <w:szCs w:val="24"/>
          <w:rtl/>
          <w:lang w:bidi="ar-JO"/>
        </w:rPr>
        <w:t xml:space="preserve">انظر: </w:t>
      </w:r>
      <w:r w:rsidRPr="002273BC">
        <w:rPr>
          <w:rFonts w:ascii="Arabic Transparent" w:hAnsi="Arabic Transparent" w:cs="Arabic Transparent" w:hint="cs"/>
          <w:sz w:val="24"/>
          <w:szCs w:val="24"/>
          <w:rtl/>
          <w:lang w:bidi="ar-JO"/>
        </w:rPr>
        <w:t xml:space="preserve">عبد الصمد عبد الناصر (2024). </w:t>
      </w:r>
      <w:r w:rsidRPr="002273BC">
        <w:rPr>
          <w:rFonts w:ascii="Arabic Transparent" w:hAnsi="Arabic Transparent" w:cs="Arabic Transparent" w:hint="cs"/>
          <w:b/>
          <w:bCs/>
          <w:sz w:val="24"/>
          <w:szCs w:val="24"/>
          <w:rtl/>
          <w:lang w:bidi="ar-JO"/>
        </w:rPr>
        <w:t>مسوغات نظرية الباعث على العقود في الشريعة الإسلامية في البيئة الرقمية</w:t>
      </w:r>
      <w:r w:rsidRPr="002273BC">
        <w:rPr>
          <w:rFonts w:ascii="Arabic Transparent" w:hAnsi="Arabic Transparent" w:cs="Arabic Transparent" w:hint="cs"/>
          <w:sz w:val="24"/>
          <w:szCs w:val="24"/>
          <w:rtl/>
          <w:lang w:bidi="ar-JO"/>
        </w:rPr>
        <w:t>، مجلة البيان للدراسات القانونية والسياسية، المجلد 9، العدد 1، ص154، جامعة أبو بكر بلقايد، تلمسان، الجزائر.</w:t>
      </w:r>
    </w:p>
  </w:footnote>
  <w:footnote w:id="474">
    <w:p w14:paraId="7AF7EE7E" w14:textId="162AF584"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المصدر السابق نفسه،</w:t>
      </w:r>
      <w:r w:rsidR="00CE388A" w:rsidRPr="002273BC">
        <w:rPr>
          <w:rFonts w:ascii="Arabic Transparent" w:hAnsi="Arabic Transparent" w:cs="Arabic Transparent" w:hint="cs"/>
          <w:sz w:val="24"/>
          <w:szCs w:val="24"/>
          <w:rtl/>
          <w:lang w:bidi="ar-JO"/>
        </w:rPr>
        <w:t xml:space="preserve"> </w:t>
      </w:r>
      <w:r w:rsidR="00CE388A" w:rsidRPr="002273BC">
        <w:rPr>
          <w:rFonts w:ascii="Arabic Transparent" w:hAnsi="Arabic Transparent" w:cs="Arabic Transparent"/>
          <w:sz w:val="24"/>
          <w:szCs w:val="24"/>
          <w:rtl/>
          <w:lang w:bidi="ar-JO"/>
        </w:rPr>
        <w:t>المجلد 9، العدد</w:t>
      </w:r>
      <w:r w:rsidR="00CE388A" w:rsidRPr="002273BC">
        <w:rPr>
          <w:rFonts w:ascii="Arabic Transparent" w:hAnsi="Arabic Transparent" w:cs="Arabic Transparent" w:hint="cs"/>
          <w:sz w:val="24"/>
          <w:szCs w:val="24"/>
          <w:rtl/>
          <w:lang w:bidi="ar-JO"/>
        </w:rPr>
        <w:t>1،</w:t>
      </w:r>
      <w:r w:rsidRPr="002273BC">
        <w:rPr>
          <w:rFonts w:ascii="Arabic Transparent" w:hAnsi="Arabic Transparent" w:cs="Arabic Transparent" w:hint="cs"/>
          <w:sz w:val="24"/>
          <w:szCs w:val="24"/>
          <w:rtl/>
          <w:lang w:bidi="ar-JO"/>
        </w:rPr>
        <w:t xml:space="preserve"> ص155.</w:t>
      </w:r>
    </w:p>
  </w:footnote>
  <w:footnote w:id="475">
    <w:p w14:paraId="1485556E" w14:textId="22CFE25D" w:rsidR="004E383D" w:rsidRPr="002273BC" w:rsidRDefault="004E383D" w:rsidP="00EA3738">
      <w:pPr>
        <w:pStyle w:val="FootnoteText"/>
        <w:spacing w:line="360" w:lineRule="auto"/>
        <w:jc w:val="both"/>
        <w:rPr>
          <w:rFonts w:ascii="Arabic Transparent" w:hAnsi="Arabic Transparent" w:cs="Arabic Transparent"/>
          <w:sz w:val="24"/>
          <w:szCs w:val="24"/>
          <w:rtl/>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000A2709">
        <w:rPr>
          <w:rFonts w:ascii="Arabic Transparent" w:hAnsi="Arabic Transparent" w:cs="Arabic Transparent" w:hint="cs"/>
          <w:sz w:val="24"/>
          <w:szCs w:val="24"/>
          <w:rtl/>
        </w:rPr>
        <w:t>سبق ذكره انظر: ص17.</w:t>
      </w:r>
    </w:p>
  </w:footnote>
  <w:footnote w:id="476">
    <w:p w14:paraId="5A2B27F6" w14:textId="70B60E26"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انظر: </w:t>
      </w:r>
      <w:r w:rsidR="00CE388A" w:rsidRPr="002273BC">
        <w:rPr>
          <w:rFonts w:ascii="Arabic Transparent" w:hAnsi="Arabic Transparent" w:cs="Arabic Transparent"/>
          <w:sz w:val="24"/>
          <w:szCs w:val="24"/>
          <w:rtl/>
          <w:lang w:bidi="ar-JO"/>
        </w:rPr>
        <w:t xml:space="preserve">القرافي، </w:t>
      </w:r>
      <w:r w:rsidR="00CE388A" w:rsidRPr="002273BC">
        <w:rPr>
          <w:rFonts w:ascii="Arabic Transparent" w:hAnsi="Arabic Transparent" w:cs="Arabic Transparent" w:hint="cs"/>
          <w:sz w:val="24"/>
          <w:szCs w:val="24"/>
          <w:rtl/>
          <w:lang w:bidi="ar-JO"/>
        </w:rPr>
        <w:t xml:space="preserve">أحمد (2004) </w:t>
      </w:r>
      <w:r w:rsidR="00CE388A" w:rsidRPr="002273BC">
        <w:rPr>
          <w:rFonts w:ascii="Arabic Transparent" w:hAnsi="Arabic Transparent" w:cs="Arabic Transparent"/>
          <w:b/>
          <w:bCs/>
          <w:sz w:val="24"/>
          <w:szCs w:val="24"/>
          <w:rtl/>
          <w:lang w:bidi="ar-JO"/>
        </w:rPr>
        <w:t>شرح تنقيح الفصول في اختصار المحصول في الأصول</w:t>
      </w:r>
      <w:r w:rsidR="00CE388A" w:rsidRPr="002273BC">
        <w:rPr>
          <w:rFonts w:ascii="Arabic Transparent" w:hAnsi="Arabic Transparent" w:cs="Arabic Transparent"/>
          <w:sz w:val="24"/>
          <w:szCs w:val="24"/>
          <w:rtl/>
          <w:lang w:bidi="ar-JO"/>
        </w:rPr>
        <w:t>،</w:t>
      </w:r>
      <w:r w:rsidR="00CE388A" w:rsidRPr="002273BC">
        <w:rPr>
          <w:rFonts w:ascii="Arabic Transparent" w:hAnsi="Arabic Transparent" w:cs="Arabic Transparent" w:hint="cs"/>
          <w:sz w:val="24"/>
          <w:szCs w:val="24"/>
          <w:rtl/>
          <w:lang w:bidi="ar-JO"/>
        </w:rPr>
        <w:t xml:space="preserve"> ط1، </w:t>
      </w:r>
      <w:r w:rsidR="00CE388A" w:rsidRPr="002273BC">
        <w:rPr>
          <w:rFonts w:ascii="Arabic Transparent" w:hAnsi="Arabic Transparent" w:cs="Arabic Transparent"/>
          <w:sz w:val="24"/>
          <w:szCs w:val="24"/>
          <w:rtl/>
          <w:lang w:bidi="ar-JO"/>
        </w:rPr>
        <w:t xml:space="preserve">ص167. تحقيق: مكتب البحوث والدراسات بدار الفكر، </w:t>
      </w:r>
      <w:r w:rsidR="00CE388A" w:rsidRPr="002273BC">
        <w:rPr>
          <w:rFonts w:ascii="Arabic Transparent" w:hAnsi="Arabic Transparent" w:cs="Arabic Transparent" w:hint="cs"/>
          <w:sz w:val="24"/>
          <w:szCs w:val="24"/>
          <w:rtl/>
          <w:lang w:bidi="ar-JO"/>
        </w:rPr>
        <w:t>بيروت.</w:t>
      </w:r>
    </w:p>
  </w:footnote>
  <w:footnote w:id="477">
    <w:p w14:paraId="44A901C0"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ابن النجار، </w:t>
      </w:r>
      <w:r w:rsidRPr="002273BC">
        <w:rPr>
          <w:rFonts w:ascii="Arabic Transparent" w:hAnsi="Arabic Transparent" w:cs="Arabic Transparent" w:hint="cs"/>
          <w:b/>
          <w:bCs/>
          <w:sz w:val="24"/>
          <w:szCs w:val="24"/>
          <w:rtl/>
          <w:lang w:bidi="ar-JO"/>
        </w:rPr>
        <w:t>شرح الكوكب المنير،</w:t>
      </w:r>
      <w:r w:rsidRPr="002273BC">
        <w:rPr>
          <w:rFonts w:ascii="Arabic Transparent" w:hAnsi="Arabic Transparent" w:cs="Arabic Transparent" w:hint="cs"/>
          <w:sz w:val="24"/>
          <w:szCs w:val="24"/>
          <w:rtl/>
          <w:lang w:bidi="ar-JO"/>
        </w:rPr>
        <w:t xml:space="preserve"> مصدر سابق، ج4، ص59.</w:t>
      </w:r>
    </w:p>
  </w:footnote>
  <w:footnote w:id="478">
    <w:p w14:paraId="22B5067B"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انظر: الزبيدي</w:t>
      </w:r>
      <w:r w:rsidRPr="002273BC">
        <w:rPr>
          <w:rFonts w:ascii="Arabic Transparent" w:hAnsi="Arabic Transparent" w:cs="Arabic Transparent" w:hint="cs"/>
          <w:b/>
          <w:bCs/>
          <w:sz w:val="24"/>
          <w:szCs w:val="24"/>
          <w:rtl/>
          <w:lang w:bidi="ar-JO"/>
        </w:rPr>
        <w:t>، كتاب الاجتهاد في مناط الحكم الشرعي دراسة تأصيلية تطبيقية</w:t>
      </w:r>
      <w:r w:rsidRPr="002273BC">
        <w:rPr>
          <w:rFonts w:ascii="Arabic Transparent" w:hAnsi="Arabic Transparent" w:cs="Arabic Transparent" w:hint="cs"/>
          <w:sz w:val="24"/>
          <w:szCs w:val="24"/>
          <w:rtl/>
          <w:lang w:bidi="ar-JO"/>
        </w:rPr>
        <w:t>، ص45.</w:t>
      </w:r>
    </w:p>
  </w:footnote>
  <w:footnote w:id="479">
    <w:p w14:paraId="15C66D76"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انظر: المناوي، </w:t>
      </w:r>
      <w:r w:rsidRPr="002273BC">
        <w:rPr>
          <w:rFonts w:ascii="Arabic Transparent" w:hAnsi="Arabic Transparent" w:cs="Arabic Transparent" w:hint="cs"/>
          <w:b/>
          <w:bCs/>
          <w:sz w:val="24"/>
          <w:szCs w:val="24"/>
          <w:rtl/>
          <w:lang w:bidi="ar-JO"/>
        </w:rPr>
        <w:t>فيض القدير شرح الجامع الصغير</w:t>
      </w:r>
      <w:r w:rsidRPr="002273BC">
        <w:rPr>
          <w:rFonts w:ascii="Arabic Transparent" w:hAnsi="Arabic Transparent" w:cs="Arabic Transparent" w:hint="cs"/>
          <w:sz w:val="24"/>
          <w:szCs w:val="24"/>
          <w:rtl/>
          <w:lang w:bidi="ar-JO"/>
        </w:rPr>
        <w:t>، مصدر سابق، ج6، ص313.</w:t>
      </w:r>
    </w:p>
  </w:footnote>
  <w:footnote w:id="480">
    <w:p w14:paraId="7861F3FF" w14:textId="07A9942F"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ابن </w:t>
      </w:r>
      <w:r w:rsidR="00CE388A" w:rsidRPr="002273BC">
        <w:rPr>
          <w:rFonts w:ascii="Arabic Transparent" w:hAnsi="Arabic Transparent" w:cs="Arabic Transparent" w:hint="cs"/>
          <w:sz w:val="24"/>
          <w:szCs w:val="24"/>
          <w:rtl/>
          <w:lang w:bidi="ar-JO"/>
        </w:rPr>
        <w:t>قدامة</w:t>
      </w:r>
      <w:r w:rsidRPr="002273BC">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b/>
          <w:bCs/>
          <w:sz w:val="24"/>
          <w:szCs w:val="24"/>
          <w:rtl/>
          <w:lang w:bidi="ar-JO"/>
        </w:rPr>
        <w:t>روضة الناظر وجنة المناظر</w:t>
      </w:r>
      <w:r w:rsidRPr="002273BC">
        <w:rPr>
          <w:rFonts w:ascii="Arabic Transparent" w:hAnsi="Arabic Transparent" w:cs="Arabic Transparent" w:hint="cs"/>
          <w:sz w:val="24"/>
          <w:szCs w:val="24"/>
          <w:rtl/>
          <w:lang w:bidi="ar-JO"/>
        </w:rPr>
        <w:t>، مصدر سابق، ج2، ص279-280.</w:t>
      </w:r>
    </w:p>
  </w:footnote>
  <w:footnote w:id="481">
    <w:p w14:paraId="60DA7D50"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المصدر السابق ذاته، ص280.</w:t>
      </w:r>
    </w:p>
  </w:footnote>
  <w:footnote w:id="482">
    <w:p w14:paraId="390653AF" w14:textId="77777777" w:rsidR="004E383D" w:rsidRPr="002273BC" w:rsidRDefault="004E383D" w:rsidP="00EA3738">
      <w:pPr>
        <w:pStyle w:val="FootnoteText"/>
        <w:spacing w:line="360" w:lineRule="auto"/>
        <w:jc w:val="both"/>
        <w:rPr>
          <w:rFonts w:ascii="Arabic Transparent" w:hAnsi="Arabic Transparent" w:cs="Arabic Transparent"/>
          <w:sz w:val="24"/>
          <w:szCs w:val="24"/>
          <w:rtl/>
        </w:rPr>
      </w:pP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انظر: الزحيلي، وهبة مصطفى (1985)، </w:t>
      </w:r>
      <w:r w:rsidRPr="002273BC">
        <w:rPr>
          <w:rFonts w:ascii="Arabic Transparent" w:hAnsi="Arabic Transparent" w:cs="Arabic Transparent" w:hint="cs"/>
          <w:b/>
          <w:bCs/>
          <w:sz w:val="24"/>
          <w:szCs w:val="24"/>
          <w:rtl/>
        </w:rPr>
        <w:t>النية والباعث في فقه العبادات والعقود والفسوخ والتروك</w:t>
      </w:r>
      <w:r w:rsidRPr="002273BC">
        <w:rPr>
          <w:rFonts w:ascii="Arabic Transparent" w:hAnsi="Arabic Transparent" w:cs="Arabic Transparent" w:hint="cs"/>
          <w:sz w:val="24"/>
          <w:szCs w:val="24"/>
          <w:rtl/>
        </w:rPr>
        <w:t>، مجلة الشريعة والدراسات الإسلامية، جامعة الكويت – مجلس النشر العلمي، م2، ع3، ص69–109</w:t>
      </w:r>
    </w:p>
  </w:footnote>
  <w:footnote w:id="483">
    <w:p w14:paraId="42C53073" w14:textId="728B25AB"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000A2709">
        <w:rPr>
          <w:rFonts w:ascii="Arabic Transparent" w:hAnsi="Arabic Transparent" w:cs="Arabic Transparent" w:hint="cs"/>
          <w:sz w:val="24"/>
          <w:szCs w:val="24"/>
          <w:rtl/>
          <w:lang w:bidi="ar-JO"/>
        </w:rPr>
        <w:t xml:space="preserve"> </w:t>
      </w:r>
      <w:r w:rsidR="00CE388A" w:rsidRPr="002273BC">
        <w:rPr>
          <w:rFonts w:ascii="Arabic Transparent" w:hAnsi="Arabic Transparent" w:cs="Arabic Transparent" w:hint="cs"/>
          <w:sz w:val="24"/>
          <w:szCs w:val="24"/>
          <w:rtl/>
          <w:lang w:bidi="ar-JO"/>
        </w:rPr>
        <w:t>الإمام مالك</w:t>
      </w:r>
      <w:r w:rsidR="00CE388A" w:rsidRPr="002273BC">
        <w:rPr>
          <w:rFonts w:ascii="Arabic Transparent" w:hAnsi="Arabic Transparent" w:cs="Arabic Transparent"/>
          <w:sz w:val="24"/>
          <w:szCs w:val="24"/>
          <w:rtl/>
          <w:lang w:bidi="ar-JO"/>
        </w:rPr>
        <w:t xml:space="preserve">، </w:t>
      </w:r>
      <w:r w:rsidR="00CE388A" w:rsidRPr="002273BC">
        <w:rPr>
          <w:rFonts w:ascii="Arabic Transparent" w:hAnsi="Arabic Transparent" w:cs="Arabic Transparent" w:hint="cs"/>
          <w:sz w:val="24"/>
          <w:szCs w:val="24"/>
          <w:rtl/>
          <w:lang w:bidi="ar-JO"/>
        </w:rPr>
        <w:t>بن أنس</w:t>
      </w:r>
      <w:r w:rsidR="00CE388A" w:rsidRPr="002273BC">
        <w:rPr>
          <w:rFonts w:ascii="Arabic Transparent" w:hAnsi="Arabic Transparent" w:cs="Arabic Transparent"/>
          <w:sz w:val="24"/>
          <w:szCs w:val="24"/>
          <w:rtl/>
          <w:lang w:bidi="ar-JO"/>
        </w:rPr>
        <w:t xml:space="preserve">(1994)، </w:t>
      </w:r>
      <w:r w:rsidR="00CE388A" w:rsidRPr="00E5723D">
        <w:rPr>
          <w:rFonts w:ascii="Arabic Transparent" w:hAnsi="Arabic Transparent" w:cs="Arabic Transparent"/>
          <w:b/>
          <w:bCs/>
          <w:sz w:val="24"/>
          <w:szCs w:val="24"/>
          <w:rtl/>
          <w:lang w:bidi="ar-JO"/>
        </w:rPr>
        <w:t>المدونة الكبرى</w:t>
      </w:r>
      <w:r w:rsidR="00CE388A" w:rsidRPr="002273BC">
        <w:rPr>
          <w:rFonts w:ascii="Arabic Transparent" w:hAnsi="Arabic Transparent" w:cs="Arabic Transparent"/>
          <w:sz w:val="24"/>
          <w:szCs w:val="24"/>
          <w:rtl/>
          <w:lang w:bidi="ar-JO"/>
        </w:rPr>
        <w:t xml:space="preserve">، شرحها ورتبها سحنون, ط1، </w:t>
      </w:r>
      <w:r w:rsidR="00320E74" w:rsidRPr="002273BC">
        <w:rPr>
          <w:rFonts w:ascii="Arabic Transparent" w:hAnsi="Arabic Transparent" w:cs="Arabic Transparent" w:hint="cs"/>
          <w:sz w:val="24"/>
          <w:szCs w:val="24"/>
          <w:rtl/>
          <w:lang w:bidi="ar-JO"/>
        </w:rPr>
        <w:t xml:space="preserve">ص212، </w:t>
      </w:r>
      <w:r w:rsidR="00CE388A" w:rsidRPr="002273BC">
        <w:rPr>
          <w:rFonts w:ascii="Arabic Transparent" w:hAnsi="Arabic Transparent" w:cs="Arabic Transparent"/>
          <w:sz w:val="24"/>
          <w:szCs w:val="24"/>
          <w:rtl/>
          <w:lang w:bidi="ar-JO"/>
        </w:rPr>
        <w:t>دار الكتب العلمية، بيروت.</w:t>
      </w:r>
    </w:p>
  </w:footnote>
  <w:footnote w:id="484">
    <w:p w14:paraId="21E07762" w14:textId="75984FBF"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000A2709">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sz w:val="24"/>
          <w:szCs w:val="24"/>
          <w:rtl/>
          <w:lang w:bidi="ar-JO"/>
        </w:rPr>
        <w:t>ابن تيمية</w:t>
      </w:r>
      <w:r w:rsidRPr="002273BC">
        <w:rPr>
          <w:rFonts w:ascii="Arabic Transparent" w:hAnsi="Arabic Transparent" w:cs="Arabic Transparent" w:hint="cs"/>
          <w:b/>
          <w:bCs/>
          <w:sz w:val="24"/>
          <w:szCs w:val="24"/>
          <w:rtl/>
          <w:lang w:bidi="ar-JO"/>
        </w:rPr>
        <w:t>، مجموع الفتاوى</w:t>
      </w:r>
      <w:r w:rsidRPr="002273BC">
        <w:rPr>
          <w:rFonts w:ascii="Arabic Transparent" w:hAnsi="Arabic Transparent" w:cs="Arabic Transparent" w:hint="cs"/>
          <w:sz w:val="24"/>
          <w:szCs w:val="24"/>
          <w:rtl/>
          <w:lang w:bidi="ar-JO"/>
        </w:rPr>
        <w:t>، مصدر سابق، ج30، ص223، وانظر: ابن القيم</w:t>
      </w:r>
      <w:r w:rsidRPr="002273BC">
        <w:rPr>
          <w:rFonts w:ascii="Arabic Transparent" w:hAnsi="Arabic Transparent" w:cs="Arabic Transparent" w:hint="cs"/>
          <w:b/>
          <w:bCs/>
          <w:sz w:val="24"/>
          <w:szCs w:val="24"/>
          <w:rtl/>
          <w:lang w:bidi="ar-JO"/>
        </w:rPr>
        <w:t>، إعلام الموقعين عن ربِّ العالمين</w:t>
      </w:r>
      <w:r w:rsidRPr="002273BC">
        <w:rPr>
          <w:rFonts w:ascii="Arabic Transparent" w:hAnsi="Arabic Transparent" w:cs="Arabic Transparent" w:hint="cs"/>
          <w:sz w:val="24"/>
          <w:szCs w:val="24"/>
          <w:rtl/>
          <w:lang w:bidi="ar-JO"/>
        </w:rPr>
        <w:t>، مصدر سابق، ج3، ص124.</w:t>
      </w:r>
    </w:p>
  </w:footnote>
  <w:footnote w:id="485">
    <w:p w14:paraId="3B50A8A5" w14:textId="5BA3409C"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000A2709">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sz w:val="24"/>
          <w:szCs w:val="24"/>
          <w:rtl/>
          <w:lang w:bidi="ar-JO"/>
        </w:rPr>
        <w:t xml:space="preserve">السرخسي، </w:t>
      </w:r>
      <w:r w:rsidRPr="002273BC">
        <w:rPr>
          <w:rFonts w:ascii="Arabic Transparent" w:hAnsi="Arabic Transparent" w:cs="Arabic Transparent" w:hint="cs"/>
          <w:b/>
          <w:bCs/>
          <w:sz w:val="24"/>
          <w:szCs w:val="24"/>
          <w:rtl/>
          <w:lang w:bidi="ar-JO"/>
        </w:rPr>
        <w:t xml:space="preserve">المبسوط، </w:t>
      </w:r>
      <w:r w:rsidRPr="002273BC">
        <w:rPr>
          <w:rFonts w:ascii="Arabic Transparent" w:hAnsi="Arabic Transparent" w:cs="Arabic Transparent" w:hint="cs"/>
          <w:sz w:val="24"/>
          <w:szCs w:val="24"/>
          <w:rtl/>
          <w:lang w:bidi="ar-JO"/>
        </w:rPr>
        <w:t xml:space="preserve">مصدر سابق، ج6، ص10، وانظر: </w:t>
      </w:r>
      <w:r w:rsidR="00320E74" w:rsidRPr="002273BC">
        <w:rPr>
          <w:rFonts w:ascii="Arabic Transparent" w:hAnsi="Arabic Transparent" w:cs="Arabic Transparent" w:hint="cs"/>
          <w:sz w:val="24"/>
          <w:szCs w:val="24"/>
          <w:rtl/>
          <w:lang w:bidi="ar-JO"/>
        </w:rPr>
        <w:t xml:space="preserve">ابن عابدين، </w:t>
      </w:r>
      <w:r w:rsidRPr="002273BC">
        <w:rPr>
          <w:rFonts w:ascii="Arabic Transparent" w:hAnsi="Arabic Transparent" w:cs="Arabic Transparent" w:hint="cs"/>
          <w:b/>
          <w:bCs/>
          <w:sz w:val="24"/>
          <w:szCs w:val="24"/>
          <w:rtl/>
          <w:lang w:bidi="ar-JO"/>
        </w:rPr>
        <w:t>حاشية ابن عابدين</w:t>
      </w:r>
      <w:r w:rsidRPr="002273BC">
        <w:rPr>
          <w:rFonts w:ascii="Arabic Transparent" w:hAnsi="Arabic Transparent" w:cs="Arabic Transparent" w:hint="cs"/>
          <w:sz w:val="24"/>
          <w:szCs w:val="24"/>
          <w:rtl/>
          <w:lang w:bidi="ar-JO"/>
        </w:rPr>
        <w:t>، مصدر سابق، ج3، ص415.</w:t>
      </w:r>
    </w:p>
  </w:footnote>
  <w:footnote w:id="486">
    <w:p w14:paraId="206284B4" w14:textId="111947DA"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000A2709">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sz w:val="24"/>
          <w:szCs w:val="24"/>
          <w:rtl/>
          <w:lang w:bidi="ar-JO"/>
        </w:rPr>
        <w:t xml:space="preserve">الماوردي، </w:t>
      </w:r>
      <w:r w:rsidRPr="002273BC">
        <w:rPr>
          <w:rFonts w:ascii="Arabic Transparent" w:hAnsi="Arabic Transparent" w:cs="Arabic Transparent" w:hint="cs"/>
          <w:b/>
          <w:bCs/>
          <w:sz w:val="24"/>
          <w:szCs w:val="24"/>
          <w:rtl/>
          <w:lang w:bidi="ar-JO"/>
        </w:rPr>
        <w:t>الحاوي الكبير،</w:t>
      </w:r>
      <w:r w:rsidRPr="002273BC">
        <w:rPr>
          <w:rFonts w:ascii="Arabic Transparent" w:hAnsi="Arabic Transparent" w:cs="Arabic Transparent" w:hint="cs"/>
          <w:sz w:val="24"/>
          <w:szCs w:val="24"/>
          <w:rtl/>
          <w:lang w:bidi="ar-JO"/>
        </w:rPr>
        <w:t xml:space="preserve"> مصدر سابق، ج10، ص331.</w:t>
      </w:r>
    </w:p>
  </w:footnote>
  <w:footnote w:id="487">
    <w:p w14:paraId="7E89C128"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الشافعي، ا</w:t>
      </w:r>
      <w:r w:rsidRPr="002273BC">
        <w:rPr>
          <w:rFonts w:ascii="Arabic Transparent" w:hAnsi="Arabic Transparent" w:cs="Arabic Transparent" w:hint="cs"/>
          <w:b/>
          <w:bCs/>
          <w:sz w:val="24"/>
          <w:szCs w:val="24"/>
          <w:rtl/>
          <w:lang w:bidi="ar-JO"/>
        </w:rPr>
        <w:t>لأم</w:t>
      </w:r>
      <w:r w:rsidRPr="002273BC">
        <w:rPr>
          <w:rFonts w:ascii="Arabic Transparent" w:hAnsi="Arabic Transparent" w:cs="Arabic Transparent" w:hint="cs"/>
          <w:sz w:val="24"/>
          <w:szCs w:val="24"/>
          <w:rtl/>
          <w:lang w:bidi="ar-JO"/>
        </w:rPr>
        <w:t xml:space="preserve">، مصدر سابق، ج3، ص75. وعند أبا حنيفة لا يعتبر القرائن على الباعث إلا أن تكون مصرح بها، انظر: الكاساني، </w:t>
      </w:r>
      <w:r w:rsidRPr="002273BC">
        <w:rPr>
          <w:rFonts w:ascii="Arabic Transparent" w:hAnsi="Arabic Transparent" w:cs="Arabic Transparent" w:hint="cs"/>
          <w:b/>
          <w:bCs/>
          <w:sz w:val="24"/>
          <w:szCs w:val="24"/>
          <w:rtl/>
          <w:lang w:bidi="ar-JO"/>
        </w:rPr>
        <w:t>بدائع الصنائع</w:t>
      </w:r>
      <w:r w:rsidRPr="002273BC">
        <w:rPr>
          <w:rFonts w:ascii="Arabic Transparent" w:hAnsi="Arabic Transparent" w:cs="Arabic Transparent" w:hint="cs"/>
          <w:sz w:val="24"/>
          <w:szCs w:val="24"/>
          <w:rtl/>
          <w:lang w:bidi="ar-JO"/>
        </w:rPr>
        <w:t>، مصدر سابق، ج4، ص190.</w:t>
      </w:r>
    </w:p>
  </w:footnote>
  <w:footnote w:id="488">
    <w:p w14:paraId="05C41E96"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حيث أفصح الشافعي على أن الباعث الظاهر يمنع المعاملة، فقال: "لو أظهرت (النية) كانت تفسد البيع،" الشافعي، </w:t>
      </w:r>
      <w:r w:rsidRPr="002273BC">
        <w:rPr>
          <w:rFonts w:ascii="Arabic Transparent" w:hAnsi="Arabic Transparent" w:cs="Arabic Transparent" w:hint="cs"/>
          <w:b/>
          <w:bCs/>
          <w:sz w:val="24"/>
          <w:szCs w:val="24"/>
          <w:rtl/>
          <w:lang w:bidi="ar-JO"/>
        </w:rPr>
        <w:t>الأم</w:t>
      </w:r>
      <w:r w:rsidRPr="002273BC">
        <w:rPr>
          <w:rFonts w:ascii="Arabic Transparent" w:hAnsi="Arabic Transparent" w:cs="Arabic Transparent" w:hint="cs"/>
          <w:sz w:val="24"/>
          <w:szCs w:val="24"/>
          <w:rtl/>
          <w:lang w:bidi="ar-JO"/>
        </w:rPr>
        <w:t>، المصدر السابق ج3، ص75.</w:t>
      </w:r>
    </w:p>
  </w:footnote>
  <w:footnote w:id="489">
    <w:p w14:paraId="4FD60821" w14:textId="0A3BD07C" w:rsidR="004E383D" w:rsidRPr="002273BC" w:rsidRDefault="004E383D" w:rsidP="00EA3738">
      <w:pPr>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انظر:</w:t>
      </w:r>
      <w:r w:rsidRPr="002273BC">
        <w:rPr>
          <w:rFonts w:ascii="Arabic Transparent" w:hAnsi="Arabic Transparent" w:cs="Arabic Transparent" w:hint="cs"/>
          <w:sz w:val="24"/>
          <w:szCs w:val="24"/>
          <w:rtl/>
        </w:rPr>
        <w:t xml:space="preserve"> ابن رشد، محمد بن أحمد بن رشد القرطبي، أبو الوليد (1988)، </w:t>
      </w:r>
      <w:r w:rsidRPr="002273BC">
        <w:rPr>
          <w:rFonts w:ascii="Arabic Transparent" w:hAnsi="Arabic Transparent" w:cs="Arabic Transparent" w:hint="cs"/>
          <w:b/>
          <w:bCs/>
          <w:sz w:val="24"/>
          <w:szCs w:val="24"/>
          <w:rtl/>
        </w:rPr>
        <w:t>البيان والتحصيل والشرح والتوجيه والتعليل لمسائل المستخرجة،</w:t>
      </w:r>
      <w:r w:rsidRPr="002273BC">
        <w:rPr>
          <w:rFonts w:ascii="Arabic Transparent" w:hAnsi="Arabic Transparent" w:cs="Arabic Transparent" w:hint="cs"/>
          <w:sz w:val="24"/>
          <w:szCs w:val="24"/>
          <w:rtl/>
        </w:rPr>
        <w:t xml:space="preserve"> تحقيق: محمد حجي وآخرون، ط2، ج9، ص395، دار الغرب الإسلامي، بيروت – لبنان، وانظر: المروزي، إسحاق بن منصور بن بهرام (2002)، </w:t>
      </w:r>
      <w:r w:rsidRPr="002273BC">
        <w:rPr>
          <w:rFonts w:ascii="Arabic Transparent" w:hAnsi="Arabic Transparent" w:cs="Arabic Transparent" w:hint="cs"/>
          <w:b/>
          <w:bCs/>
          <w:sz w:val="24"/>
          <w:szCs w:val="24"/>
          <w:rtl/>
        </w:rPr>
        <w:t>مسائل الإمام أحمد بن حنبل وإسحاق بن راهويه</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ط1،</w:t>
      </w:r>
      <w:r w:rsidR="00E5723D">
        <w:rPr>
          <w:rFonts w:ascii="Arabic Transparent" w:hAnsi="Arabic Transparent" w:cs="Arabic Transparent" w:hint="cs"/>
          <w:sz w:val="24"/>
          <w:szCs w:val="24"/>
          <w:rtl/>
          <w:lang w:bidi="ar-JO"/>
        </w:rPr>
        <w:t xml:space="preserve"> ص122،</w:t>
      </w:r>
      <w:r w:rsidRPr="002273BC">
        <w:rPr>
          <w:rFonts w:ascii="Arabic Transparent" w:hAnsi="Arabic Transparent" w:cs="Arabic Transparent" w:hint="cs"/>
          <w:sz w:val="24"/>
          <w:szCs w:val="24"/>
          <w:rtl/>
          <w:lang w:bidi="ar-JO"/>
        </w:rPr>
        <w:t xml:space="preserve"> عمادة البحث العلمي، الجامعة الإسلامية بالمدينة المنورة، المملكة العربية السعودية.</w:t>
      </w:r>
    </w:p>
  </w:footnote>
  <w:footnote w:id="490">
    <w:p w14:paraId="6102B733" w14:textId="337CDDA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انظر: الكيلاني، </w:t>
      </w:r>
      <w:r w:rsidRPr="002273BC">
        <w:rPr>
          <w:rFonts w:ascii="Arabic Transparent" w:hAnsi="Arabic Transparent" w:cs="Arabic Transparent" w:hint="cs"/>
          <w:b/>
          <w:bCs/>
          <w:sz w:val="24"/>
          <w:szCs w:val="24"/>
          <w:rtl/>
          <w:lang w:bidi="ar-JO"/>
        </w:rPr>
        <w:t>نظرية الباعث وأثرها في العقود والتصرفات في الفقه الإسلامي</w:t>
      </w:r>
      <w:r w:rsidR="005D7B91" w:rsidRPr="002273BC">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sz w:val="24"/>
          <w:szCs w:val="24"/>
          <w:rtl/>
          <w:lang w:bidi="ar-JO"/>
        </w:rPr>
        <w:t>مصدر سابق، ص35.</w:t>
      </w:r>
    </w:p>
  </w:footnote>
  <w:footnote w:id="491">
    <w:p w14:paraId="403AF7DE" w14:textId="77FE49B3"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الإمام مالك، </w:t>
      </w:r>
      <w:r w:rsidRPr="002273BC">
        <w:rPr>
          <w:rFonts w:ascii="Arabic Transparent" w:hAnsi="Arabic Transparent" w:cs="Arabic Transparent" w:hint="cs"/>
          <w:b/>
          <w:bCs/>
          <w:sz w:val="24"/>
          <w:szCs w:val="24"/>
          <w:rtl/>
          <w:lang w:bidi="ar-JO"/>
        </w:rPr>
        <w:t>المدونة</w:t>
      </w:r>
      <w:r w:rsidRPr="002273BC">
        <w:rPr>
          <w:rFonts w:ascii="Arabic Transparent" w:hAnsi="Arabic Transparent" w:cs="Arabic Transparent" w:hint="cs"/>
          <w:sz w:val="24"/>
          <w:szCs w:val="24"/>
          <w:rtl/>
          <w:lang w:bidi="ar-JO"/>
        </w:rPr>
        <w:t xml:space="preserve">، مصدر سابق، ج2، ص207، وانظر: </w:t>
      </w:r>
      <w:r w:rsidR="00320E74" w:rsidRPr="002273BC">
        <w:rPr>
          <w:rFonts w:ascii="Arabic Transparent" w:hAnsi="Arabic Transparent" w:cs="Arabic Transparent"/>
          <w:sz w:val="24"/>
          <w:szCs w:val="24"/>
          <w:rtl/>
          <w:lang w:bidi="ar-JO"/>
        </w:rPr>
        <w:t xml:space="preserve">القيرواني، ابن أبي زيد عبد الله بن عبد الرحمن (2021)، </w:t>
      </w:r>
      <w:r w:rsidR="00320E74" w:rsidRPr="002273BC">
        <w:rPr>
          <w:rFonts w:ascii="Arabic Transparent" w:hAnsi="Arabic Transparent" w:cs="Arabic Transparent"/>
          <w:b/>
          <w:bCs/>
          <w:sz w:val="24"/>
          <w:szCs w:val="24"/>
          <w:rtl/>
          <w:lang w:bidi="ar-JO"/>
        </w:rPr>
        <w:t>الرسالة لابن أبي زيد القيرواني</w:t>
      </w:r>
      <w:r w:rsidR="00320E74" w:rsidRPr="002273BC">
        <w:rPr>
          <w:rFonts w:ascii="Arabic Transparent" w:hAnsi="Arabic Transparent" w:cs="Arabic Transparent"/>
          <w:sz w:val="24"/>
          <w:szCs w:val="24"/>
          <w:rtl/>
          <w:lang w:bidi="ar-JO"/>
        </w:rPr>
        <w:t xml:space="preserve"> – نسخة التتائي، جمعها وحققها إبراهيم أحمد إبراهيم السناري، ط1،</w:t>
      </w:r>
      <w:r w:rsidR="00320E74" w:rsidRPr="002273BC">
        <w:rPr>
          <w:rFonts w:ascii="Arabic Transparent" w:hAnsi="Arabic Transparent" w:cs="Arabic Transparent" w:hint="cs"/>
          <w:sz w:val="24"/>
          <w:szCs w:val="24"/>
          <w:rtl/>
          <w:lang w:bidi="ar-JO"/>
        </w:rPr>
        <w:t xml:space="preserve"> ص212، </w:t>
      </w:r>
      <w:r w:rsidR="00320E74" w:rsidRPr="002273BC">
        <w:rPr>
          <w:rFonts w:ascii="Arabic Transparent" w:hAnsi="Arabic Transparent" w:cs="Arabic Transparent"/>
          <w:sz w:val="24"/>
          <w:szCs w:val="24"/>
          <w:rtl/>
          <w:lang w:bidi="ar-JO"/>
        </w:rPr>
        <w:t xml:space="preserve"> معهد المخطوطات العربية، القاهرة.</w:t>
      </w:r>
    </w:p>
  </w:footnote>
  <w:footnote w:id="492">
    <w:p w14:paraId="3143DF68" w14:textId="27F296F0" w:rsidR="004E383D" w:rsidRPr="002273BC" w:rsidRDefault="004E383D" w:rsidP="00EA3738">
      <w:pPr>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انظر: ابن تيمية، </w:t>
      </w:r>
      <w:r w:rsidRPr="002273BC">
        <w:rPr>
          <w:rFonts w:ascii="Arabic Transparent" w:hAnsi="Arabic Transparent" w:cs="Arabic Transparent" w:hint="cs"/>
          <w:b/>
          <w:bCs/>
          <w:sz w:val="24"/>
          <w:szCs w:val="24"/>
          <w:rtl/>
          <w:lang w:bidi="ar-JO"/>
        </w:rPr>
        <w:t>مجموع الفتاوى</w:t>
      </w:r>
      <w:r w:rsidRPr="002273BC">
        <w:rPr>
          <w:rFonts w:ascii="Arabic Transparent" w:hAnsi="Arabic Transparent" w:cs="Arabic Transparent" w:hint="cs"/>
          <w:sz w:val="24"/>
          <w:szCs w:val="24"/>
          <w:rtl/>
          <w:lang w:bidi="ar-JO"/>
        </w:rPr>
        <w:t xml:space="preserve">، مصدر سابق، ج30، ص223، وانظر: ابن القيم، </w:t>
      </w:r>
      <w:r w:rsidRPr="002273BC">
        <w:rPr>
          <w:rFonts w:ascii="Arabic Transparent" w:hAnsi="Arabic Transparent" w:cs="Arabic Transparent" w:hint="cs"/>
          <w:b/>
          <w:bCs/>
          <w:sz w:val="24"/>
          <w:szCs w:val="24"/>
          <w:rtl/>
          <w:lang w:bidi="ar-JO"/>
        </w:rPr>
        <w:t>إعلام الموقعين عن ربِّ العالمين</w:t>
      </w:r>
      <w:r w:rsidRPr="002273BC">
        <w:rPr>
          <w:rFonts w:ascii="Arabic Transparent" w:hAnsi="Arabic Transparent" w:cs="Arabic Transparent" w:hint="cs"/>
          <w:sz w:val="24"/>
          <w:szCs w:val="24"/>
          <w:rtl/>
          <w:lang w:bidi="ar-JO"/>
        </w:rPr>
        <w:t>، مصدر سابق، ج3، ص124.</w:t>
      </w:r>
    </w:p>
  </w:footnote>
  <w:footnote w:id="493">
    <w:p w14:paraId="13DE77DE" w14:textId="1280710B"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انظر: السرخسي، </w:t>
      </w:r>
      <w:r w:rsidRPr="002273BC">
        <w:rPr>
          <w:rFonts w:ascii="Arabic Transparent" w:hAnsi="Arabic Transparent" w:cs="Arabic Transparent" w:hint="cs"/>
          <w:b/>
          <w:bCs/>
          <w:sz w:val="24"/>
          <w:szCs w:val="24"/>
          <w:rtl/>
          <w:lang w:bidi="ar-JO"/>
        </w:rPr>
        <w:t>المبسوط</w:t>
      </w:r>
      <w:r w:rsidRPr="002273BC">
        <w:rPr>
          <w:rFonts w:ascii="Arabic Transparent" w:hAnsi="Arabic Transparent" w:cs="Arabic Transparent" w:hint="cs"/>
          <w:sz w:val="24"/>
          <w:szCs w:val="24"/>
          <w:rtl/>
          <w:lang w:bidi="ar-JO"/>
        </w:rPr>
        <w:t>، مصدر سابق، ج6، ص10، وانظر:</w:t>
      </w:r>
      <w:r w:rsidR="00320E74" w:rsidRPr="002273BC">
        <w:rPr>
          <w:rFonts w:ascii="Arabic Transparent" w:hAnsi="Arabic Transparent" w:cs="Arabic Transparent" w:hint="cs"/>
          <w:sz w:val="24"/>
          <w:szCs w:val="24"/>
          <w:rtl/>
          <w:lang w:bidi="ar-JO"/>
        </w:rPr>
        <w:t xml:space="preserve"> ابن عابدين،</w:t>
      </w:r>
      <w:r w:rsidRPr="002273BC">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b/>
          <w:bCs/>
          <w:sz w:val="24"/>
          <w:szCs w:val="24"/>
          <w:rtl/>
          <w:lang w:bidi="ar-JO"/>
        </w:rPr>
        <w:t>حاشية ابن عابدين</w:t>
      </w:r>
      <w:r w:rsidRPr="002273BC">
        <w:rPr>
          <w:rFonts w:ascii="Arabic Transparent" w:hAnsi="Arabic Transparent" w:cs="Arabic Transparent" w:hint="cs"/>
          <w:sz w:val="24"/>
          <w:szCs w:val="24"/>
          <w:rtl/>
          <w:lang w:bidi="ar-JO"/>
        </w:rPr>
        <w:t>، مصدر سابق، ج3، ص415.</w:t>
      </w:r>
    </w:p>
  </w:footnote>
  <w:footnote w:id="494">
    <w:p w14:paraId="58A94661" w14:textId="68DE3C01"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وانظر: </w:t>
      </w:r>
      <w:r w:rsidR="00320E74" w:rsidRPr="002273BC">
        <w:rPr>
          <w:rFonts w:ascii="Arabic Transparent" w:hAnsi="Arabic Transparent" w:cs="Arabic Transparent" w:hint="cs"/>
          <w:sz w:val="24"/>
          <w:szCs w:val="24"/>
          <w:rtl/>
          <w:lang w:bidi="ar-JO"/>
        </w:rPr>
        <w:t>الشافعي</w:t>
      </w:r>
      <w:r w:rsidRPr="002273BC">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b/>
          <w:bCs/>
          <w:sz w:val="24"/>
          <w:szCs w:val="24"/>
          <w:rtl/>
          <w:lang w:bidi="ar-JO"/>
        </w:rPr>
        <w:t>الأم</w:t>
      </w:r>
      <w:r w:rsidRPr="002273BC">
        <w:rPr>
          <w:rFonts w:ascii="Arabic Transparent" w:hAnsi="Arabic Transparent" w:cs="Arabic Transparent" w:hint="cs"/>
          <w:sz w:val="24"/>
          <w:szCs w:val="24"/>
          <w:rtl/>
          <w:lang w:bidi="ar-JO"/>
        </w:rPr>
        <w:t xml:space="preserve">، </w:t>
      </w:r>
      <w:r w:rsidR="00320E74" w:rsidRPr="002273BC">
        <w:rPr>
          <w:rFonts w:ascii="Arabic Transparent" w:hAnsi="Arabic Transparent" w:cs="Arabic Transparent" w:hint="cs"/>
          <w:sz w:val="24"/>
          <w:szCs w:val="24"/>
          <w:rtl/>
          <w:lang w:bidi="ar-JO"/>
        </w:rPr>
        <w:t>مصدر سابق،</w:t>
      </w:r>
      <w:r w:rsidRPr="002273BC">
        <w:rPr>
          <w:rFonts w:ascii="Arabic Transparent" w:hAnsi="Arabic Transparent" w:cs="Arabic Transparent" w:hint="cs"/>
          <w:sz w:val="24"/>
          <w:szCs w:val="24"/>
          <w:rtl/>
          <w:lang w:bidi="ar-JO"/>
        </w:rPr>
        <w:t xml:space="preserve"> ج5، ص85، وانظر الماوردي، </w:t>
      </w:r>
      <w:r w:rsidRPr="002273BC">
        <w:rPr>
          <w:rFonts w:ascii="Arabic Transparent" w:hAnsi="Arabic Transparent" w:cs="Arabic Transparent" w:hint="cs"/>
          <w:b/>
          <w:bCs/>
          <w:sz w:val="24"/>
          <w:szCs w:val="24"/>
          <w:rtl/>
          <w:lang w:bidi="ar-JO"/>
        </w:rPr>
        <w:t>الحاوي الكبير</w:t>
      </w:r>
      <w:r w:rsidRPr="002273BC">
        <w:rPr>
          <w:rFonts w:ascii="Arabic Transparent" w:hAnsi="Arabic Transparent" w:cs="Arabic Transparent" w:hint="cs"/>
          <w:sz w:val="24"/>
          <w:szCs w:val="24"/>
          <w:rtl/>
          <w:lang w:bidi="ar-JO"/>
        </w:rPr>
        <w:t>، مصدر سابق، ج10، ص331.</w:t>
      </w:r>
    </w:p>
  </w:footnote>
  <w:footnote w:id="495">
    <w:p w14:paraId="70FDE30F"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أخرجه الترمذي في السنن، </w:t>
      </w:r>
      <w:r w:rsidRPr="002273BC">
        <w:rPr>
          <w:rFonts w:ascii="Arabic Transparent" w:hAnsi="Arabic Transparent" w:cs="Arabic Transparent" w:hint="cs"/>
          <w:b/>
          <w:bCs/>
          <w:sz w:val="24"/>
          <w:szCs w:val="24"/>
          <w:rtl/>
          <w:lang w:bidi="ar-JO"/>
        </w:rPr>
        <w:t>سنن الترمذي</w:t>
      </w:r>
      <w:r w:rsidRPr="002273BC">
        <w:rPr>
          <w:rFonts w:ascii="Arabic Transparent" w:hAnsi="Arabic Transparent" w:cs="Arabic Transparent" w:hint="cs"/>
          <w:sz w:val="24"/>
          <w:szCs w:val="24"/>
          <w:rtl/>
          <w:lang w:bidi="ar-JO"/>
        </w:rPr>
        <w:t xml:space="preserve">، مصدر سابق، أبواب النكاح عن رسول الله </w:t>
      </w:r>
      <w:r w:rsidRPr="002273BC">
        <w:rPr>
          <w:rFonts w:ascii="AGA Arabesque" w:eastAsia="AGA Arabesque" w:hAnsi="AGA Arabesque" w:cs="AGA Arabesque"/>
          <w:sz w:val="24"/>
          <w:szCs w:val="24"/>
          <w:lang w:bidi="ar-JO"/>
        </w:rPr>
        <w:t></w:t>
      </w:r>
      <w:r w:rsidRPr="002273BC">
        <w:rPr>
          <w:rFonts w:ascii="Arabic Transparent" w:hAnsi="Arabic Transparent" w:cs="Arabic Transparent" w:hint="cs"/>
          <w:sz w:val="24"/>
          <w:szCs w:val="24"/>
          <w:rtl/>
          <w:lang w:bidi="ar-JO"/>
        </w:rPr>
        <w:t>، باب ما جاء في المُحِلِّ والمُحَلَّلِ لهُ، وحكم عليه الترمذي فقال: هذا حديثٌ حَسَنٌ صحيحٌ، ج2، ص590، ر1148.</w:t>
      </w:r>
    </w:p>
  </w:footnote>
  <w:footnote w:id="496">
    <w:p w14:paraId="780436E0" w14:textId="43B3370D" w:rsidR="002A05FD" w:rsidRPr="002273BC" w:rsidRDefault="002A05F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ابن الهمام، </w:t>
      </w:r>
      <w:r w:rsidRPr="002273BC">
        <w:rPr>
          <w:rFonts w:ascii="Arabic Transparent" w:hAnsi="Arabic Transparent" w:cs="Arabic Transparent" w:hint="cs"/>
          <w:b/>
          <w:bCs/>
          <w:sz w:val="24"/>
          <w:szCs w:val="24"/>
          <w:rtl/>
          <w:lang w:bidi="ar-JO"/>
        </w:rPr>
        <w:t>فتح القدير</w:t>
      </w:r>
      <w:r w:rsidRPr="002273BC">
        <w:rPr>
          <w:rFonts w:ascii="Arabic Transparent" w:hAnsi="Arabic Transparent" w:cs="Arabic Transparent" w:hint="cs"/>
          <w:sz w:val="24"/>
          <w:szCs w:val="24"/>
          <w:rtl/>
          <w:lang w:bidi="ar-JO"/>
        </w:rPr>
        <w:t>، مصدر سابق، ج4، ص183.</w:t>
      </w:r>
    </w:p>
  </w:footnote>
  <w:footnote w:id="497">
    <w:p w14:paraId="56FC9EE6"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lang w:bidi="ar-JO"/>
        </w:rPr>
        <w:footnoteRef/>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ابن عابدين، </w:t>
      </w:r>
      <w:r w:rsidRPr="002273BC">
        <w:rPr>
          <w:rFonts w:ascii="Arabic Transparent" w:hAnsi="Arabic Transparent" w:cs="Arabic Transparent" w:hint="cs"/>
          <w:b/>
          <w:bCs/>
          <w:sz w:val="24"/>
          <w:szCs w:val="24"/>
          <w:rtl/>
          <w:lang w:bidi="ar-JO"/>
        </w:rPr>
        <w:t>رد المحتار</w:t>
      </w:r>
      <w:r w:rsidRPr="002273BC">
        <w:rPr>
          <w:rFonts w:ascii="Arabic Transparent" w:hAnsi="Arabic Transparent" w:cs="Arabic Transparent" w:hint="cs"/>
          <w:sz w:val="24"/>
          <w:szCs w:val="24"/>
          <w:rtl/>
          <w:lang w:bidi="ar-JO"/>
        </w:rPr>
        <w:t>، مصدر سابق، ج3، ص415.</w:t>
      </w:r>
    </w:p>
  </w:footnote>
  <w:footnote w:id="498">
    <w:p w14:paraId="3468BF7D" w14:textId="77777777" w:rsidR="004E383D" w:rsidRPr="002273BC" w:rsidRDefault="004E383D" w:rsidP="00EA3738">
      <w:pPr>
        <w:pStyle w:val="FootnoteText"/>
        <w:spacing w:line="360" w:lineRule="auto"/>
        <w:ind w:left="-2"/>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tl/>
          <w:lang w:bidi="ar-JO"/>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tl/>
          <w:lang w:bidi="ar-JO"/>
        </w:rPr>
        <w:t>)</w:t>
      </w:r>
      <w:r w:rsidRPr="002273BC">
        <w:rPr>
          <w:rFonts w:ascii="Arabic Transparent" w:hAnsi="Arabic Transparent" w:cs="Arabic Transparent" w:hint="cs"/>
          <w:sz w:val="24"/>
          <w:szCs w:val="24"/>
          <w:rtl/>
        </w:rPr>
        <w:t xml:space="preserve"> ابن عبدالسلام، </w:t>
      </w:r>
      <w:r w:rsidRPr="002273BC">
        <w:rPr>
          <w:rFonts w:ascii="Arabic Transparent" w:hAnsi="Arabic Transparent" w:cs="Arabic Transparent" w:hint="cs"/>
          <w:b/>
          <w:bCs/>
          <w:sz w:val="24"/>
          <w:szCs w:val="24"/>
          <w:rtl/>
        </w:rPr>
        <w:t>قواعد الأحكام في مصالح الأنام</w:t>
      </w:r>
      <w:r w:rsidRPr="002273BC">
        <w:rPr>
          <w:rFonts w:ascii="Arabic Transparent" w:hAnsi="Arabic Transparent" w:cs="Arabic Transparent" w:hint="cs"/>
          <w:sz w:val="24"/>
          <w:szCs w:val="24"/>
          <w:rtl/>
        </w:rPr>
        <w:t>، مصدر سابق،</w:t>
      </w:r>
      <w:r w:rsidRPr="002273BC">
        <w:rPr>
          <w:rFonts w:ascii="Arabic Transparent" w:hAnsi="Arabic Transparent" w:cs="Arabic Transparent" w:hint="cs"/>
          <w:sz w:val="24"/>
          <w:szCs w:val="24"/>
          <w:rtl/>
          <w:lang w:bidi="ar-JO"/>
        </w:rPr>
        <w:t xml:space="preserve"> ج2،ص160.</w:t>
      </w:r>
    </w:p>
  </w:footnote>
  <w:footnote w:id="499">
    <w:p w14:paraId="3186E166" w14:textId="1D601B2E" w:rsidR="004E383D" w:rsidRPr="002273BC" w:rsidRDefault="004E383D" w:rsidP="00EA3738">
      <w:pPr>
        <w:pStyle w:val="FootnoteText"/>
        <w:spacing w:line="360" w:lineRule="auto"/>
        <w:ind w:left="-2"/>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tl/>
          <w:lang w:bidi="ar-JO"/>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tl/>
          <w:lang w:bidi="ar-JO"/>
        </w:rPr>
        <w:t>)</w:t>
      </w:r>
      <w:r w:rsidRPr="002273BC">
        <w:rPr>
          <w:rFonts w:ascii="Arabic Transparent" w:hAnsi="Arabic Transparent" w:cs="Arabic Transparent" w:hint="cs"/>
          <w:sz w:val="24"/>
          <w:szCs w:val="24"/>
          <w:rtl/>
        </w:rPr>
        <w:t xml:space="preserve"> أخرجه البخاري في صحيحه،</w:t>
      </w:r>
      <w:r w:rsidR="00E5723D">
        <w:rPr>
          <w:rFonts w:ascii="Arabic Transparent" w:hAnsi="Arabic Transparent" w:cs="Arabic Transparent" w:hint="cs"/>
          <w:sz w:val="24"/>
          <w:szCs w:val="24"/>
          <w:rtl/>
        </w:rPr>
        <w:t xml:space="preserve"> </w:t>
      </w:r>
      <w:r w:rsidR="00E5723D" w:rsidRPr="00E5723D">
        <w:rPr>
          <w:rFonts w:ascii="Arabic Transparent" w:hAnsi="Arabic Transparent" w:cs="Arabic Transparent" w:hint="cs"/>
          <w:b/>
          <w:bCs/>
          <w:sz w:val="24"/>
          <w:szCs w:val="24"/>
          <w:rtl/>
        </w:rPr>
        <w:t>صحيح البخاري</w:t>
      </w:r>
      <w:r w:rsidR="00E5723D">
        <w:rPr>
          <w:rFonts w:ascii="Arabic Transparent" w:hAnsi="Arabic Transparent" w:cs="Arabic Transparent" w:hint="cs"/>
          <w:sz w:val="24"/>
          <w:szCs w:val="24"/>
          <w:rtl/>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مصدر سابق، كتاب: الصوم، باب: من لم يدع قول الزور، والعمل به في الصوم، ج3/ص26/ر1903.</w:t>
      </w:r>
    </w:p>
  </w:footnote>
  <w:footnote w:id="500">
    <w:p w14:paraId="1E81C85E" w14:textId="3ADF8ADA"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006B3A6F">
        <w:rPr>
          <w:rFonts w:ascii="Arabic Transparent" w:hAnsi="Arabic Transparent" w:cs="Arabic Transparent" w:hint="cs"/>
          <w:sz w:val="24"/>
          <w:szCs w:val="24"/>
          <w:rtl/>
          <w:lang w:bidi="ar-JO"/>
        </w:rPr>
        <w:t xml:space="preserve">انظر: </w:t>
      </w:r>
      <w:r w:rsidRPr="002273BC">
        <w:rPr>
          <w:rFonts w:ascii="Arabic Transparent" w:hAnsi="Arabic Transparent" w:cs="Arabic Transparent" w:hint="cs"/>
          <w:sz w:val="24"/>
          <w:szCs w:val="24"/>
          <w:rtl/>
          <w:lang w:bidi="ar-JO"/>
        </w:rPr>
        <w:t xml:space="preserve">ابن حجر، </w:t>
      </w:r>
      <w:r w:rsidRPr="002273BC">
        <w:rPr>
          <w:rFonts w:ascii="Arabic Transparent" w:hAnsi="Arabic Transparent" w:cs="Arabic Transparent" w:hint="cs"/>
          <w:b/>
          <w:bCs/>
          <w:sz w:val="24"/>
          <w:szCs w:val="24"/>
          <w:rtl/>
          <w:lang w:bidi="ar-JO"/>
        </w:rPr>
        <w:t>فتح الباري بشرح البخاري</w:t>
      </w:r>
      <w:r w:rsidRPr="002273BC">
        <w:rPr>
          <w:rFonts w:ascii="Arabic Transparent" w:hAnsi="Arabic Transparent" w:cs="Arabic Transparent" w:hint="cs"/>
          <w:sz w:val="24"/>
          <w:szCs w:val="24"/>
          <w:rtl/>
          <w:lang w:bidi="ar-JO"/>
        </w:rPr>
        <w:t>، مصدر سابق، ج4، ص116، ر1902.</w:t>
      </w:r>
    </w:p>
  </w:footnote>
  <w:footnote w:id="501">
    <w:p w14:paraId="73F08E78" w14:textId="28EFD71B" w:rsidR="004E383D" w:rsidRPr="002273BC" w:rsidRDefault="004E383D" w:rsidP="00EA3738">
      <w:pPr>
        <w:pStyle w:val="FootnoteText"/>
        <w:spacing w:line="360" w:lineRule="auto"/>
        <w:ind w:left="-2"/>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tl/>
          <w:lang w:bidi="ar-JO"/>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tl/>
          <w:lang w:bidi="ar-JO"/>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الشاطبي، </w:t>
      </w:r>
      <w:r w:rsidRPr="002273BC">
        <w:rPr>
          <w:rFonts w:ascii="Arabic Transparent" w:hAnsi="Arabic Transparent" w:cs="Arabic Transparent" w:hint="cs"/>
          <w:b/>
          <w:bCs/>
          <w:sz w:val="24"/>
          <w:szCs w:val="24"/>
          <w:rtl/>
          <w:lang w:bidi="ar-JO"/>
        </w:rPr>
        <w:t>الموافقات</w:t>
      </w:r>
      <w:r w:rsidRPr="002273BC">
        <w:rPr>
          <w:rFonts w:ascii="Arabic Transparent" w:hAnsi="Arabic Transparent" w:cs="Arabic Transparent" w:hint="cs"/>
          <w:sz w:val="24"/>
          <w:szCs w:val="24"/>
          <w:rtl/>
          <w:lang w:bidi="ar-JO"/>
        </w:rPr>
        <w:t>، مصدر سابق، ج3،ص44.</w:t>
      </w:r>
    </w:p>
  </w:footnote>
  <w:footnote w:id="502">
    <w:p w14:paraId="6E968701"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انظر: المصدر السابق ذاته، ج3، ص44-45.</w:t>
      </w:r>
    </w:p>
  </w:footnote>
  <w:footnote w:id="503">
    <w:p w14:paraId="1FC6237B"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كناية عن معرفة الناس لأعمال البر والإثم، ظاهراً دون الباطن.</w:t>
      </w:r>
    </w:p>
  </w:footnote>
  <w:footnote w:id="504">
    <w:p w14:paraId="0F4BF1BD" w14:textId="77777777" w:rsidR="004E383D" w:rsidRPr="002273BC" w:rsidRDefault="004E383D" w:rsidP="00EA3738">
      <w:pPr>
        <w:pStyle w:val="FootnoteText"/>
        <w:spacing w:line="360" w:lineRule="auto"/>
        <w:ind w:left="-2"/>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tl/>
          <w:lang w:bidi="ar-JO"/>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tl/>
          <w:lang w:bidi="ar-JO"/>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الدهلوي، أحمد بن عبد الرحيم بن الشهيد وجيه الدين بن معظم بن منصور(2005م)،</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b/>
          <w:bCs/>
          <w:sz w:val="24"/>
          <w:szCs w:val="24"/>
          <w:rtl/>
          <w:lang w:bidi="ar-JO"/>
        </w:rPr>
        <w:t>حجة الله البالغة</w:t>
      </w:r>
      <w:r w:rsidRPr="002273BC">
        <w:rPr>
          <w:rFonts w:ascii="Arabic Transparent" w:hAnsi="Arabic Transparent" w:cs="Arabic Transparent" w:hint="cs"/>
          <w:sz w:val="24"/>
          <w:szCs w:val="24"/>
          <w:rtl/>
          <w:lang w:bidi="ar-JO"/>
        </w:rPr>
        <w:t>، ط1، ج1، ص209، دار الجيل- بيروت.</w:t>
      </w:r>
    </w:p>
  </w:footnote>
  <w:footnote w:id="505">
    <w:p w14:paraId="6F85A125" w14:textId="77777777" w:rsidR="004E383D" w:rsidRPr="002273BC" w:rsidRDefault="004E383D" w:rsidP="00EA3738">
      <w:pPr>
        <w:pStyle w:val="FootnoteText"/>
        <w:spacing w:line="360" w:lineRule="auto"/>
        <w:ind w:left="-2"/>
        <w:jc w:val="both"/>
        <w:rPr>
          <w:rFonts w:ascii="Arabic Transparent" w:hAnsi="Arabic Transparent" w:cs="Arabic Transparent"/>
          <w:sz w:val="24"/>
          <w:szCs w:val="24"/>
          <w:rtl/>
        </w:rPr>
      </w:pPr>
      <w:r w:rsidRPr="002273BC">
        <w:rPr>
          <w:rFonts w:ascii="Arabic Transparent" w:hAnsi="Arabic Transparent" w:cs="Arabic Transparent" w:hint="cs"/>
          <w:sz w:val="24"/>
          <w:szCs w:val="24"/>
          <w:rtl/>
          <w:lang w:bidi="ar-JO"/>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tl/>
          <w:lang w:bidi="ar-JO"/>
        </w:rPr>
        <w:t>)</w:t>
      </w:r>
      <w:r w:rsidRPr="002273BC">
        <w:rPr>
          <w:rFonts w:ascii="Arabic Transparent" w:hAnsi="Arabic Transparent" w:cs="Arabic Transparent" w:hint="cs"/>
          <w:sz w:val="24"/>
          <w:szCs w:val="24"/>
          <w:rtl/>
        </w:rPr>
        <w:t xml:space="preserve"> الريسوني، أحمد (2010). </w:t>
      </w:r>
      <w:r w:rsidRPr="002273BC">
        <w:rPr>
          <w:rFonts w:ascii="Arabic Transparent" w:hAnsi="Arabic Transparent" w:cs="Arabic Transparent" w:hint="cs"/>
          <w:b/>
          <w:bCs/>
          <w:sz w:val="24"/>
          <w:szCs w:val="24"/>
          <w:rtl/>
        </w:rPr>
        <w:t>مدخل إلى مقاصد الشريعة</w:t>
      </w:r>
      <w:r w:rsidRPr="002273BC">
        <w:rPr>
          <w:rFonts w:ascii="Arabic Transparent" w:hAnsi="Arabic Transparent" w:cs="Arabic Transparent" w:hint="cs"/>
          <w:sz w:val="24"/>
          <w:szCs w:val="24"/>
          <w:rtl/>
        </w:rPr>
        <w:t>، ط1، ص19، دار الكلمة للنشر والتوزيع، القاهرة.</w:t>
      </w:r>
    </w:p>
  </w:footnote>
  <w:footnote w:id="506">
    <w:p w14:paraId="7483FF33" w14:textId="77777777" w:rsidR="004E383D" w:rsidRPr="002273BC" w:rsidRDefault="004E383D" w:rsidP="00EA3738">
      <w:pPr>
        <w:pStyle w:val="FootnoteText"/>
        <w:spacing w:line="360" w:lineRule="auto"/>
        <w:ind w:left="-2"/>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tl/>
          <w:lang w:bidi="ar-JO"/>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tl/>
          <w:lang w:bidi="ar-JO"/>
        </w:rPr>
        <w:t xml:space="preserve">)مجموعة من المؤلفين (2014). </w:t>
      </w:r>
      <w:r w:rsidRPr="002273BC">
        <w:rPr>
          <w:rFonts w:ascii="Arabic Transparent" w:hAnsi="Arabic Transparent" w:cs="Arabic Transparent" w:hint="cs"/>
          <w:b/>
          <w:bCs/>
          <w:sz w:val="24"/>
          <w:szCs w:val="24"/>
          <w:rtl/>
          <w:lang w:bidi="ar-JO"/>
        </w:rPr>
        <w:t>الموسوعة الميسرة في فقه القضايا المعاصرة،</w:t>
      </w:r>
      <w:r w:rsidRPr="002273BC">
        <w:rPr>
          <w:rFonts w:ascii="Arabic Transparent" w:hAnsi="Arabic Transparent" w:cs="Arabic Transparent" w:hint="cs"/>
          <w:sz w:val="24"/>
          <w:szCs w:val="24"/>
          <w:rtl/>
          <w:lang w:bidi="ar-JO"/>
        </w:rPr>
        <w:t xml:space="preserve"> ط1، م14/ ج1/ص67، جامعة الإمام محمد بن سعود الإسلامية، الرياض.</w:t>
      </w:r>
    </w:p>
  </w:footnote>
  <w:footnote w:id="507">
    <w:p w14:paraId="06E243FD"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انظر الصفحة 150 من هذه الرسالة.</w:t>
      </w:r>
    </w:p>
  </w:footnote>
  <w:footnote w:id="508">
    <w:p w14:paraId="3156E926" w14:textId="77777777" w:rsidR="004E383D" w:rsidRPr="002273BC" w:rsidRDefault="004E383D" w:rsidP="00EA3738">
      <w:pPr>
        <w:pStyle w:val="FootnoteText"/>
        <w:spacing w:line="360" w:lineRule="auto"/>
        <w:ind w:left="-2"/>
        <w:jc w:val="both"/>
        <w:rPr>
          <w:rFonts w:ascii="Arabic Transparent" w:hAnsi="Arabic Transparent" w:cs="Arabic Transparent"/>
          <w:sz w:val="24"/>
          <w:szCs w:val="24"/>
          <w:rtl/>
        </w:rPr>
      </w:pPr>
      <w:r w:rsidRPr="002273BC">
        <w:rPr>
          <w:rFonts w:ascii="Arabic Transparent" w:hAnsi="Arabic Transparent" w:cs="Arabic Transparent" w:hint="cs"/>
          <w:sz w:val="24"/>
          <w:szCs w:val="24"/>
          <w:rtl/>
          <w:lang w:bidi="ar-JO"/>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tl/>
          <w:lang w:bidi="ar-JO"/>
        </w:rPr>
        <w:t>)</w:t>
      </w:r>
      <w:r w:rsidRPr="002273BC">
        <w:rPr>
          <w:rFonts w:ascii="Arabic Transparent" w:hAnsi="Arabic Transparent" w:cs="Arabic Transparent" w:hint="cs"/>
          <w:sz w:val="24"/>
          <w:szCs w:val="24"/>
          <w:rtl/>
        </w:rPr>
        <w:t xml:space="preserve"> انظر: شبير، محمد عثمان (2010). </w:t>
      </w:r>
      <w:r w:rsidRPr="002273BC">
        <w:rPr>
          <w:rFonts w:ascii="Arabic Transparent" w:hAnsi="Arabic Transparent" w:cs="Arabic Transparent" w:hint="cs"/>
          <w:b/>
          <w:bCs/>
          <w:sz w:val="24"/>
          <w:szCs w:val="24"/>
          <w:rtl/>
        </w:rPr>
        <w:t>"منهج الجمع بين النصوص الشرعية ومقاصدها في معالجة القضايا المستجدة"،</w:t>
      </w:r>
      <w:r w:rsidRPr="002273BC">
        <w:rPr>
          <w:rFonts w:ascii="Arabic Transparent" w:hAnsi="Arabic Transparent" w:cs="Arabic Transparent" w:hint="cs"/>
          <w:sz w:val="24"/>
          <w:szCs w:val="24"/>
          <w:rtl/>
        </w:rPr>
        <w:t xml:space="preserve"> بحث مقدم لمركز التميز البحثي في فقه القضايا المعاصرة، ص641، جامعة الإمام محمد بن سعود الإسلامية، الرياض.</w:t>
      </w:r>
    </w:p>
  </w:footnote>
  <w:footnote w:id="509">
    <w:p w14:paraId="6E3B1F08" w14:textId="36A105BD" w:rsidR="004E383D" w:rsidRPr="002273BC" w:rsidRDefault="004E383D" w:rsidP="00EA3738">
      <w:pPr>
        <w:pStyle w:val="FootnoteText"/>
        <w:spacing w:line="360" w:lineRule="auto"/>
        <w:ind w:left="-2"/>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tl/>
          <w:lang w:bidi="ar-JO"/>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tl/>
          <w:lang w:bidi="ar-JO"/>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ذهب إلى هذا الاصطلاح جمع من كبار العلماء وهم الدكتور محمد شبير، والدكتور عبد الستار الهيتي، والدكتور محمد حكيم، والدكتور حسن بخاري، والباحثة منى أبو لويبة، انظر: </w:t>
      </w:r>
      <w:r w:rsidRPr="002273BC">
        <w:rPr>
          <w:rFonts w:ascii="Arabic Transparent" w:hAnsi="Arabic Transparent" w:cs="Arabic Transparent" w:hint="cs"/>
          <w:b/>
          <w:bCs/>
          <w:sz w:val="24"/>
          <w:szCs w:val="24"/>
          <w:rtl/>
          <w:lang w:bidi="ar-JO"/>
        </w:rPr>
        <w:t>أبحاث مركز التميز البحثي</w:t>
      </w:r>
      <w:r w:rsidRPr="002273BC">
        <w:rPr>
          <w:rFonts w:ascii="Arabic Transparent" w:hAnsi="Arabic Transparent" w:cs="Arabic Transparent" w:hint="cs"/>
          <w:sz w:val="24"/>
          <w:szCs w:val="24"/>
          <w:rtl/>
          <w:lang w:bidi="ar-JO"/>
        </w:rPr>
        <w:t xml:space="preserve">، جامعة الأمير محمد – الرياض [2010م]، تاريخ الاطلاع 14/ 2/ 2026م، على الرابط: </w:t>
      </w:r>
      <w:r w:rsidRPr="002273BC">
        <w:rPr>
          <w:rFonts w:ascii="Arabic Transparent" w:hAnsi="Arabic Transparent" w:cs="Arabic Transparent" w:hint="cs"/>
          <w:sz w:val="24"/>
          <w:szCs w:val="24"/>
          <w:lang w:bidi="ar-JO"/>
        </w:rPr>
        <w:t>https://imamu.edu.sa/Pages/search.aspx#k</w:t>
      </w:r>
    </w:p>
  </w:footnote>
  <w:footnote w:id="510">
    <w:p w14:paraId="6D227A01" w14:textId="7BDB45F3" w:rsidR="004E383D" w:rsidRPr="002273BC" w:rsidRDefault="004E383D" w:rsidP="00EA3738">
      <w:pPr>
        <w:pStyle w:val="FootnoteText"/>
        <w:spacing w:line="360" w:lineRule="auto"/>
        <w:ind w:left="-2"/>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tl/>
          <w:lang w:bidi="ar-JO"/>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tl/>
          <w:lang w:bidi="ar-JO"/>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حيدر، مراد محمود (2014). </w:t>
      </w:r>
      <w:r w:rsidRPr="002273BC">
        <w:rPr>
          <w:rFonts w:ascii="Arabic Transparent" w:hAnsi="Arabic Transparent" w:cs="Arabic Transparent" w:hint="cs"/>
          <w:b/>
          <w:bCs/>
          <w:sz w:val="24"/>
          <w:szCs w:val="24"/>
          <w:rtl/>
          <w:lang w:bidi="ar-JO"/>
        </w:rPr>
        <w:t>مناهج الفتوى وضوابطها في القضايا المعاصرة: الأقليات المسلمة نموذجاً،</w:t>
      </w:r>
      <w:r w:rsidRPr="002273BC">
        <w:rPr>
          <w:rFonts w:ascii="Arabic Transparent" w:hAnsi="Arabic Transparent" w:cs="Arabic Transparent" w:hint="cs"/>
          <w:sz w:val="24"/>
          <w:szCs w:val="24"/>
          <w:rtl/>
          <w:lang w:bidi="ar-JO"/>
        </w:rPr>
        <w:t xml:space="preserve"> ع6، ص695، مجلة قطاع الشريعة والقانون، جامعة الأزهر، والفكي، </w:t>
      </w:r>
      <w:r w:rsidRPr="002273BC">
        <w:rPr>
          <w:rFonts w:ascii="Arabic Transparent" w:hAnsi="Arabic Transparent" w:cs="Arabic Transparent" w:hint="cs"/>
          <w:b/>
          <w:bCs/>
          <w:sz w:val="24"/>
          <w:szCs w:val="24"/>
          <w:rtl/>
          <w:lang w:bidi="ar-JO"/>
        </w:rPr>
        <w:t>مناهج الفتوى في القضايا المعاصرة</w:t>
      </w:r>
      <w:r w:rsidRPr="002273BC">
        <w:rPr>
          <w:rFonts w:ascii="Arabic Transparent" w:hAnsi="Arabic Transparent" w:cs="Arabic Transparent" w:hint="cs"/>
          <w:sz w:val="24"/>
          <w:szCs w:val="24"/>
          <w:rtl/>
          <w:lang w:bidi="ar-JO"/>
        </w:rPr>
        <w:t>، مصدر سابق، ص1112</w:t>
      </w:r>
    </w:p>
  </w:footnote>
  <w:footnote w:id="511">
    <w:p w14:paraId="5EAF5B31" w14:textId="77777777" w:rsidR="004E383D" w:rsidRPr="002273BC" w:rsidRDefault="004E383D" w:rsidP="00EA3738">
      <w:pPr>
        <w:pStyle w:val="FootnoteText"/>
        <w:spacing w:line="360" w:lineRule="auto"/>
        <w:ind w:left="-2"/>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tl/>
          <w:lang w:bidi="ar-JO"/>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tl/>
          <w:lang w:bidi="ar-JO"/>
        </w:rPr>
        <w:t xml:space="preserve">) الرازي، مختار </w:t>
      </w:r>
      <w:r w:rsidRPr="002273BC">
        <w:rPr>
          <w:rFonts w:ascii="Arabic Transparent" w:hAnsi="Arabic Transparent" w:cs="Arabic Transparent" w:hint="cs"/>
          <w:b/>
          <w:bCs/>
          <w:sz w:val="24"/>
          <w:szCs w:val="24"/>
          <w:rtl/>
          <w:lang w:bidi="ar-JO"/>
        </w:rPr>
        <w:t>الصحاح،</w:t>
      </w:r>
      <w:r w:rsidRPr="002273BC">
        <w:rPr>
          <w:rFonts w:ascii="Arabic Transparent" w:hAnsi="Arabic Transparent" w:cs="Arabic Transparent" w:hint="cs"/>
          <w:sz w:val="24"/>
          <w:szCs w:val="24"/>
          <w:rtl/>
          <w:lang w:bidi="ar-JO"/>
        </w:rPr>
        <w:t xml:space="preserve"> مصدر سابق، ص60 وعمر، </w:t>
      </w:r>
      <w:r w:rsidRPr="002273BC">
        <w:rPr>
          <w:rFonts w:ascii="Arabic Transparent" w:hAnsi="Arabic Transparent" w:cs="Arabic Transparent" w:hint="cs"/>
          <w:b/>
          <w:bCs/>
          <w:sz w:val="24"/>
          <w:szCs w:val="24"/>
          <w:rtl/>
          <w:lang w:bidi="ar-JO"/>
        </w:rPr>
        <w:t>معجم اللغة العربية المعاصرة</w:t>
      </w:r>
      <w:r w:rsidRPr="002273BC">
        <w:rPr>
          <w:rFonts w:ascii="Arabic Transparent" w:hAnsi="Arabic Transparent" w:cs="Arabic Transparent" w:hint="cs"/>
          <w:sz w:val="24"/>
          <w:szCs w:val="24"/>
          <w:rtl/>
          <w:lang w:bidi="ar-JO"/>
        </w:rPr>
        <w:t>، مصدر سابق، ج1، ص393.</w:t>
      </w:r>
    </w:p>
  </w:footnote>
  <w:footnote w:id="512">
    <w:p w14:paraId="084A571F" w14:textId="77777777" w:rsidR="004E383D" w:rsidRPr="002273BC" w:rsidRDefault="004E383D" w:rsidP="00EA3738">
      <w:pPr>
        <w:pStyle w:val="FootnoteText"/>
        <w:spacing w:line="360" w:lineRule="auto"/>
        <w:ind w:left="-2"/>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tl/>
          <w:lang w:bidi="ar-JO"/>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tl/>
          <w:lang w:bidi="ar-JO"/>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الزبيدي، </w:t>
      </w:r>
      <w:r w:rsidRPr="002273BC">
        <w:rPr>
          <w:rFonts w:ascii="Arabic Transparent" w:hAnsi="Arabic Transparent" w:cs="Arabic Transparent" w:hint="cs"/>
          <w:b/>
          <w:bCs/>
          <w:sz w:val="24"/>
          <w:szCs w:val="24"/>
          <w:rtl/>
          <w:lang w:bidi="ar-JO"/>
        </w:rPr>
        <w:t>تاج العروس من جواهر القاموس</w:t>
      </w:r>
      <w:r w:rsidRPr="002273BC">
        <w:rPr>
          <w:rFonts w:ascii="Arabic Transparent" w:hAnsi="Arabic Transparent" w:cs="Arabic Transparent" w:hint="cs"/>
          <w:sz w:val="24"/>
          <w:szCs w:val="24"/>
          <w:rtl/>
          <w:lang w:bidi="ar-JO"/>
        </w:rPr>
        <w:t>، مصدر سابق، ج20، ص451.</w:t>
      </w:r>
    </w:p>
  </w:footnote>
  <w:footnote w:id="513">
    <w:p w14:paraId="26FCFE74" w14:textId="77777777" w:rsidR="004E383D" w:rsidRPr="002273BC" w:rsidRDefault="004E383D" w:rsidP="00EA3738">
      <w:pPr>
        <w:pStyle w:val="FootnoteText"/>
        <w:spacing w:line="360" w:lineRule="auto"/>
        <w:ind w:left="-2"/>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tl/>
          <w:lang w:bidi="ar-JO"/>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tl/>
          <w:lang w:bidi="ar-JO"/>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القرضاوي، </w:t>
      </w:r>
      <w:r w:rsidRPr="002273BC">
        <w:rPr>
          <w:rFonts w:ascii="Arabic Transparent" w:hAnsi="Arabic Transparent" w:cs="Arabic Transparent" w:hint="cs"/>
          <w:b/>
          <w:bCs/>
          <w:sz w:val="24"/>
          <w:szCs w:val="24"/>
          <w:rtl/>
          <w:lang w:bidi="ar-JO"/>
        </w:rPr>
        <w:t>دراسة في فقه مقاصد الشريعة بين المقاصد الكلية والنصوص الجزئية</w:t>
      </w:r>
      <w:r w:rsidRPr="002273BC">
        <w:rPr>
          <w:rFonts w:ascii="Arabic Transparent" w:hAnsi="Arabic Transparent" w:cs="Arabic Transparent" w:hint="cs"/>
          <w:sz w:val="24"/>
          <w:szCs w:val="24"/>
          <w:rtl/>
          <w:lang w:bidi="ar-JO"/>
        </w:rPr>
        <w:t>، مصدر سابق، ص137.</w:t>
      </w:r>
    </w:p>
  </w:footnote>
  <w:footnote w:id="514">
    <w:p w14:paraId="52BA78D6" w14:textId="77777777" w:rsidR="004E383D" w:rsidRPr="002273BC" w:rsidRDefault="004E383D" w:rsidP="00EA3738">
      <w:pPr>
        <w:pStyle w:val="FootnoteText"/>
        <w:spacing w:line="360" w:lineRule="auto"/>
        <w:ind w:left="-2"/>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tl/>
          <w:lang w:bidi="ar-JO"/>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tl/>
          <w:lang w:bidi="ar-JO"/>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شبير، </w:t>
      </w:r>
      <w:r w:rsidRPr="002273BC">
        <w:rPr>
          <w:rFonts w:ascii="Arabic Transparent" w:hAnsi="Arabic Transparent" w:cs="Arabic Transparent" w:hint="cs"/>
          <w:b/>
          <w:bCs/>
          <w:sz w:val="24"/>
          <w:szCs w:val="24"/>
          <w:rtl/>
          <w:lang w:bidi="ar-JO"/>
        </w:rPr>
        <w:t>منهج الجمع بين النصوص الشرعية ومقاصدها في معالجة القضايا المستجدة</w:t>
      </w:r>
      <w:r w:rsidRPr="002273BC">
        <w:rPr>
          <w:rFonts w:ascii="Arabic Transparent" w:hAnsi="Arabic Transparent" w:cs="Arabic Transparent" w:hint="cs"/>
          <w:sz w:val="24"/>
          <w:szCs w:val="24"/>
          <w:rtl/>
          <w:lang w:bidi="ar-JO"/>
        </w:rPr>
        <w:t>، مصدر سابق، ص641.</w:t>
      </w:r>
    </w:p>
  </w:footnote>
  <w:footnote w:id="515">
    <w:p w14:paraId="56BA9BA2" w14:textId="77777777" w:rsidR="004E383D" w:rsidRPr="002273BC" w:rsidRDefault="004E383D" w:rsidP="00EA3738">
      <w:pPr>
        <w:pStyle w:val="FootnoteText"/>
        <w:spacing w:line="360" w:lineRule="auto"/>
        <w:ind w:left="-2"/>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tl/>
          <w:lang w:bidi="ar-JO"/>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tl/>
          <w:lang w:bidi="ar-JO"/>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الجيزاني، محمد بن حسين (2010). "</w:t>
      </w:r>
      <w:r w:rsidRPr="002273BC">
        <w:rPr>
          <w:rFonts w:ascii="Arabic Transparent" w:hAnsi="Arabic Transparent" w:cs="Arabic Transparent" w:hint="cs"/>
          <w:b/>
          <w:bCs/>
          <w:sz w:val="24"/>
          <w:szCs w:val="24"/>
          <w:rtl/>
          <w:lang w:bidi="ar-JO"/>
        </w:rPr>
        <w:t>منهج السلف في الجمع بين النصوص والمقاصد وتطبيقاته المعاصرة"</w:t>
      </w:r>
      <w:r w:rsidRPr="002273BC">
        <w:rPr>
          <w:rFonts w:ascii="Arabic Transparent" w:hAnsi="Arabic Transparent" w:cs="Arabic Transparent" w:hint="cs"/>
          <w:sz w:val="24"/>
          <w:szCs w:val="24"/>
          <w:rtl/>
          <w:lang w:bidi="ar-JO"/>
        </w:rPr>
        <w:t>، بحث مقدم لندوة نحو منهج علمي أصيل لدراسة القضايا الفقهية المعاصرة، مركز التميز البحثي في فقه القضايا المعاصرة، ص42، جامعة الإمام محمد بن سعود الإسلامية، الرياض.</w:t>
      </w:r>
    </w:p>
  </w:footnote>
  <w:footnote w:id="516">
    <w:p w14:paraId="4FF17349" w14:textId="77777777" w:rsidR="004E383D" w:rsidRPr="002273BC" w:rsidRDefault="004E383D" w:rsidP="00EA3738">
      <w:pPr>
        <w:pStyle w:val="FootnoteText"/>
        <w:spacing w:line="360" w:lineRule="auto"/>
        <w:ind w:left="-2"/>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tl/>
          <w:lang w:bidi="ar-JO"/>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tl/>
          <w:lang w:bidi="ar-JO"/>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حكيم، "</w:t>
      </w:r>
      <w:r w:rsidRPr="002273BC">
        <w:rPr>
          <w:rFonts w:ascii="Arabic Transparent" w:hAnsi="Arabic Transparent" w:cs="Arabic Transparent" w:hint="cs"/>
          <w:b/>
          <w:bCs/>
          <w:sz w:val="24"/>
          <w:szCs w:val="24"/>
          <w:rtl/>
          <w:lang w:bidi="ar-JO"/>
        </w:rPr>
        <w:t>منهج الجمع بين المقاصد والنصوص</w:t>
      </w:r>
      <w:r w:rsidRPr="002273BC">
        <w:rPr>
          <w:rFonts w:ascii="Arabic Transparent" w:hAnsi="Arabic Transparent" w:cs="Arabic Transparent" w:hint="cs"/>
          <w:sz w:val="24"/>
          <w:szCs w:val="24"/>
          <w:rtl/>
          <w:lang w:bidi="ar-JO"/>
        </w:rPr>
        <w:t>"، مصدر سابق، ص583.</w:t>
      </w:r>
    </w:p>
  </w:footnote>
  <w:footnote w:id="517">
    <w:p w14:paraId="511DC699" w14:textId="77777777" w:rsidR="004E383D" w:rsidRPr="002273BC" w:rsidRDefault="004E383D" w:rsidP="00EA3738">
      <w:pPr>
        <w:pStyle w:val="FootnoteText"/>
        <w:spacing w:line="360" w:lineRule="auto"/>
        <w:ind w:left="-2"/>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tl/>
          <w:lang w:bidi="ar-JO"/>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tl/>
          <w:lang w:bidi="ar-JO"/>
        </w:rPr>
        <w:t>)</w:t>
      </w:r>
      <w:r w:rsidRPr="002273BC">
        <w:rPr>
          <w:rFonts w:ascii="Arabic Transparent" w:hAnsi="Arabic Transparent" w:cs="Arabic Transparent" w:hint="cs"/>
          <w:sz w:val="24"/>
          <w:szCs w:val="24"/>
          <w:rtl/>
        </w:rPr>
        <w:t xml:space="preserve"> انظر: </w:t>
      </w:r>
      <w:r w:rsidRPr="002273BC">
        <w:rPr>
          <w:rFonts w:ascii="Arabic Transparent" w:hAnsi="Arabic Transparent" w:cs="Arabic Transparent" w:hint="cs"/>
          <w:sz w:val="24"/>
          <w:szCs w:val="24"/>
          <w:rtl/>
          <w:lang w:bidi="ar-JO"/>
        </w:rPr>
        <w:t xml:space="preserve">شبير، </w:t>
      </w:r>
      <w:r w:rsidRPr="002273BC">
        <w:rPr>
          <w:rFonts w:ascii="Arabic Transparent" w:hAnsi="Arabic Transparent" w:cs="Arabic Transparent" w:hint="cs"/>
          <w:b/>
          <w:bCs/>
          <w:sz w:val="24"/>
          <w:szCs w:val="24"/>
          <w:rtl/>
          <w:lang w:bidi="ar-JO"/>
        </w:rPr>
        <w:t>منهج الجمع بين النصوص الشرعية ومقاصدها</w:t>
      </w:r>
      <w:r w:rsidRPr="002273BC">
        <w:rPr>
          <w:rFonts w:ascii="Arabic Transparent" w:hAnsi="Arabic Transparent" w:cs="Arabic Transparent" w:hint="cs"/>
          <w:sz w:val="24"/>
          <w:szCs w:val="24"/>
          <w:rtl/>
          <w:lang w:bidi="ar-JO"/>
        </w:rPr>
        <w:t>، مصدر سابق، ص641، وانظر الجيزاني،</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b/>
          <w:bCs/>
          <w:sz w:val="24"/>
          <w:szCs w:val="24"/>
          <w:rtl/>
          <w:lang w:bidi="ar-JO"/>
        </w:rPr>
        <w:t>منهج السلف في الجمع بين النصوص والمقاصد وتطبيقاتها</w:t>
      </w:r>
      <w:r w:rsidRPr="002273BC">
        <w:rPr>
          <w:rFonts w:ascii="Arabic Transparent" w:hAnsi="Arabic Transparent" w:cs="Arabic Transparent" w:hint="cs"/>
          <w:sz w:val="24"/>
          <w:szCs w:val="24"/>
          <w:rtl/>
          <w:lang w:bidi="ar-JO"/>
        </w:rPr>
        <w:t>، مصدر سابق، ص43.</w:t>
      </w:r>
    </w:p>
  </w:footnote>
  <w:footnote w:id="518">
    <w:p w14:paraId="7E58BBDD" w14:textId="77777777" w:rsidR="004E383D" w:rsidRPr="002273BC" w:rsidRDefault="004E383D" w:rsidP="00EA3738">
      <w:pPr>
        <w:pStyle w:val="FootnoteText"/>
        <w:spacing w:line="360" w:lineRule="auto"/>
        <w:ind w:left="-2"/>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tl/>
          <w:lang w:bidi="ar-JO"/>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tl/>
          <w:lang w:bidi="ar-JO"/>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انظر: سيدأوبك، </w:t>
      </w:r>
      <w:r w:rsidRPr="002273BC">
        <w:rPr>
          <w:rFonts w:ascii="Arabic Transparent" w:hAnsi="Arabic Transparent" w:cs="Arabic Transparent" w:hint="cs"/>
          <w:b/>
          <w:bCs/>
          <w:sz w:val="24"/>
          <w:szCs w:val="24"/>
          <w:rtl/>
          <w:lang w:bidi="ar-JO"/>
        </w:rPr>
        <w:t>الاجتهاد الأصولي دراسة في المفهوم والمنهج</w:t>
      </w:r>
      <w:r w:rsidRPr="002273BC">
        <w:rPr>
          <w:rFonts w:ascii="Arabic Transparent" w:hAnsi="Arabic Transparent" w:cs="Arabic Transparent" w:hint="cs"/>
          <w:sz w:val="24"/>
          <w:szCs w:val="24"/>
          <w:rtl/>
          <w:lang w:bidi="ar-JO"/>
        </w:rPr>
        <w:t>، مصدر سابق، ص177.</w:t>
      </w:r>
    </w:p>
  </w:footnote>
  <w:footnote w:id="519">
    <w:p w14:paraId="2D2BF6C9" w14:textId="31908809"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00320E74" w:rsidRPr="002273BC">
        <w:rPr>
          <w:rFonts w:ascii="Arabic Transparent" w:hAnsi="Arabic Transparent" w:cs="Arabic Transparent"/>
          <w:sz w:val="24"/>
          <w:szCs w:val="24"/>
          <w:rtl/>
          <w:lang w:bidi="ar-JO"/>
        </w:rPr>
        <w:t xml:space="preserve">البغوي، أبو محمد الحسين بن مسعود بن محمد بن الفراء (د.ت). </w:t>
      </w:r>
      <w:r w:rsidR="00320E74" w:rsidRPr="002273BC">
        <w:rPr>
          <w:rFonts w:ascii="Arabic Transparent" w:hAnsi="Arabic Transparent" w:cs="Arabic Transparent"/>
          <w:b/>
          <w:bCs/>
          <w:sz w:val="24"/>
          <w:szCs w:val="24"/>
          <w:rtl/>
          <w:lang w:bidi="ar-JO"/>
        </w:rPr>
        <w:t xml:space="preserve">معالم التنزيل في تفسير القرآن = تفسير البغوي، </w:t>
      </w:r>
      <w:r w:rsidR="00320E74" w:rsidRPr="002273BC">
        <w:rPr>
          <w:rFonts w:ascii="Arabic Transparent" w:hAnsi="Arabic Transparent" w:cs="Arabic Transparent"/>
          <w:sz w:val="24"/>
          <w:szCs w:val="24"/>
          <w:rtl/>
          <w:lang w:bidi="ar-JO"/>
        </w:rPr>
        <w:t>تحقيق عبد الرزاق المهدي. ط1</w:t>
      </w:r>
      <w:r w:rsidR="00320E74" w:rsidRPr="002273BC">
        <w:rPr>
          <w:rFonts w:ascii="Arabic Transparent" w:hAnsi="Arabic Transparent" w:cs="Arabic Transparent" w:hint="cs"/>
          <w:sz w:val="24"/>
          <w:szCs w:val="24"/>
          <w:rtl/>
          <w:lang w:bidi="ar-JO"/>
        </w:rPr>
        <w:t xml:space="preserve">، </w:t>
      </w:r>
      <w:r w:rsidR="00320E74" w:rsidRPr="002273BC">
        <w:rPr>
          <w:rFonts w:ascii="Arabic Transparent" w:hAnsi="Arabic Transparent" w:cs="Arabic Transparent"/>
          <w:sz w:val="24"/>
          <w:szCs w:val="24"/>
          <w:rtl/>
          <w:lang w:bidi="ar-JO"/>
        </w:rPr>
        <w:t>ج1، ص175. دار إحياء التراث العربي، بيروت.</w:t>
      </w:r>
    </w:p>
  </w:footnote>
  <w:footnote w:id="520">
    <w:p w14:paraId="0AA74D45" w14:textId="7A42C874"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أخرجه أبو داود في السنن، </w:t>
      </w:r>
      <w:r w:rsidRPr="002273BC">
        <w:rPr>
          <w:rFonts w:ascii="Arabic Transparent" w:hAnsi="Arabic Transparent" w:cs="Arabic Transparent" w:hint="cs"/>
          <w:b/>
          <w:bCs/>
          <w:sz w:val="24"/>
          <w:szCs w:val="24"/>
          <w:rtl/>
          <w:lang w:bidi="ar-JO"/>
        </w:rPr>
        <w:t>سنن أبي داود</w:t>
      </w:r>
      <w:r w:rsidRPr="002273BC">
        <w:rPr>
          <w:rFonts w:ascii="Arabic Transparent" w:hAnsi="Arabic Transparent" w:cs="Arabic Transparent" w:hint="cs"/>
          <w:sz w:val="24"/>
          <w:szCs w:val="24"/>
          <w:rtl/>
          <w:lang w:bidi="ar-JO"/>
        </w:rPr>
        <w:t>، مصدر سابق، كتاب: الطهارة، باب: المجدور يتيمم، رقم: 336، ص132، ج1، حكم الحديث، ضعيف، ابن حجر</w:t>
      </w:r>
      <w:r w:rsidR="004241DD" w:rsidRPr="002273BC">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b/>
          <w:bCs/>
          <w:sz w:val="24"/>
          <w:szCs w:val="24"/>
          <w:rtl/>
          <w:lang w:bidi="ar-JO"/>
        </w:rPr>
        <w:t>التلخيص الحبير في تخريج أحاديث الرافعي الكبير</w:t>
      </w:r>
      <w:r w:rsidRPr="002273BC">
        <w:rPr>
          <w:rFonts w:ascii="Arabic Transparent" w:hAnsi="Arabic Transparent" w:cs="Arabic Transparent" w:hint="cs"/>
          <w:sz w:val="24"/>
          <w:szCs w:val="24"/>
          <w:rtl/>
          <w:lang w:bidi="ar-JO"/>
        </w:rPr>
        <w:t xml:space="preserve">، </w:t>
      </w:r>
      <w:r w:rsidR="004241DD" w:rsidRPr="002273BC">
        <w:rPr>
          <w:rFonts w:ascii="Arabic Transparent" w:hAnsi="Arabic Transparent" w:cs="Arabic Transparent" w:hint="cs"/>
          <w:sz w:val="24"/>
          <w:szCs w:val="24"/>
          <w:rtl/>
          <w:lang w:bidi="ar-JO"/>
        </w:rPr>
        <w:t>مصدر سابق،</w:t>
      </w:r>
      <w:r w:rsidRPr="002273BC">
        <w:rPr>
          <w:rFonts w:ascii="Arabic Transparent" w:hAnsi="Arabic Transparent" w:cs="Arabic Transparent" w:hint="cs"/>
          <w:sz w:val="24"/>
          <w:szCs w:val="24"/>
          <w:rtl/>
          <w:lang w:bidi="ar-JO"/>
        </w:rPr>
        <w:t xml:space="preserve"> ج1، ص147</w:t>
      </w:r>
      <w:r w:rsidR="004241DD" w:rsidRPr="002273BC">
        <w:rPr>
          <w:rFonts w:ascii="Arabic Transparent" w:hAnsi="Arabic Transparent" w:cs="Arabic Transparent" w:hint="cs"/>
          <w:sz w:val="24"/>
          <w:szCs w:val="24"/>
          <w:rtl/>
          <w:lang w:bidi="ar-JO"/>
        </w:rPr>
        <w:t>.</w:t>
      </w:r>
    </w:p>
  </w:footnote>
  <w:footnote w:id="521">
    <w:p w14:paraId="4F4C1826" w14:textId="77777777" w:rsidR="004E383D" w:rsidRPr="002273BC" w:rsidRDefault="004E383D" w:rsidP="00EA3738">
      <w:pPr>
        <w:pStyle w:val="FootnoteText"/>
        <w:spacing w:line="360" w:lineRule="auto"/>
        <w:ind w:left="-2"/>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tl/>
          <w:lang w:bidi="ar-JO"/>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tl/>
          <w:lang w:bidi="ar-JO"/>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الشاطبي، ا</w:t>
      </w:r>
      <w:r w:rsidRPr="002273BC">
        <w:rPr>
          <w:rFonts w:ascii="Arabic Transparent" w:hAnsi="Arabic Transparent" w:cs="Arabic Transparent" w:hint="cs"/>
          <w:b/>
          <w:bCs/>
          <w:sz w:val="24"/>
          <w:szCs w:val="24"/>
          <w:rtl/>
          <w:lang w:bidi="ar-JO"/>
        </w:rPr>
        <w:t>لموافقات</w:t>
      </w:r>
      <w:r w:rsidRPr="002273BC">
        <w:rPr>
          <w:rFonts w:ascii="Arabic Transparent" w:hAnsi="Arabic Transparent" w:cs="Arabic Transparent" w:hint="cs"/>
          <w:sz w:val="24"/>
          <w:szCs w:val="24"/>
          <w:rtl/>
          <w:lang w:bidi="ar-JO"/>
        </w:rPr>
        <w:t>، مصدر سابق، ج2، ص9.</w:t>
      </w:r>
    </w:p>
  </w:footnote>
  <w:footnote w:id="522">
    <w:p w14:paraId="3547399B" w14:textId="77777777" w:rsidR="004E383D" w:rsidRPr="002273BC" w:rsidRDefault="004E383D" w:rsidP="00EA3738">
      <w:pPr>
        <w:pStyle w:val="FootnoteText"/>
        <w:spacing w:line="360" w:lineRule="auto"/>
        <w:ind w:left="-2"/>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tl/>
          <w:lang w:bidi="ar-JO"/>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tl/>
          <w:lang w:bidi="ar-JO"/>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ابن عاشور، محمد الطاهر (2004)، </w:t>
      </w:r>
      <w:r w:rsidRPr="002273BC">
        <w:rPr>
          <w:rFonts w:ascii="Arabic Transparent" w:hAnsi="Arabic Transparent" w:cs="Arabic Transparent" w:hint="cs"/>
          <w:b/>
          <w:bCs/>
          <w:sz w:val="24"/>
          <w:szCs w:val="24"/>
          <w:rtl/>
          <w:lang w:bidi="ar-JO"/>
        </w:rPr>
        <w:t>مقاصد الشريعة الإسلامية،</w:t>
      </w:r>
      <w:r w:rsidRPr="002273BC">
        <w:rPr>
          <w:rFonts w:ascii="Arabic Transparent" w:hAnsi="Arabic Transparent" w:cs="Arabic Transparent" w:hint="cs"/>
          <w:sz w:val="24"/>
          <w:szCs w:val="24"/>
          <w:rtl/>
          <w:lang w:bidi="ar-JO"/>
        </w:rPr>
        <w:t xml:space="preserve"> مصدر سابق، ط1، ص27.</w:t>
      </w:r>
    </w:p>
  </w:footnote>
  <w:footnote w:id="523">
    <w:p w14:paraId="0879B3F2" w14:textId="77777777" w:rsidR="004E383D" w:rsidRPr="002273BC" w:rsidRDefault="004E383D" w:rsidP="00EA3738">
      <w:pPr>
        <w:pStyle w:val="FootnoteText"/>
        <w:spacing w:line="360" w:lineRule="auto"/>
        <w:ind w:left="-2"/>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tl/>
          <w:lang w:bidi="ar-JO"/>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tl/>
          <w:lang w:bidi="ar-JO"/>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الريسوني، </w:t>
      </w:r>
      <w:r w:rsidRPr="002273BC">
        <w:rPr>
          <w:rFonts w:ascii="Arabic Transparent" w:hAnsi="Arabic Transparent" w:cs="Arabic Transparent" w:hint="cs"/>
          <w:b/>
          <w:bCs/>
          <w:sz w:val="24"/>
          <w:szCs w:val="24"/>
          <w:rtl/>
          <w:lang w:bidi="ar-JO"/>
        </w:rPr>
        <w:t>نظرية المقاصد عند الإمام الشاطبي</w:t>
      </w:r>
      <w:r w:rsidRPr="002273BC">
        <w:rPr>
          <w:rFonts w:ascii="Arabic Transparent" w:hAnsi="Arabic Transparent" w:cs="Arabic Transparent" w:hint="cs"/>
          <w:sz w:val="24"/>
          <w:szCs w:val="24"/>
          <w:rtl/>
          <w:lang w:bidi="ar-JO"/>
        </w:rPr>
        <w:t>، مصدر سابق، ص360.</w:t>
      </w:r>
    </w:p>
  </w:footnote>
  <w:footnote w:id="524">
    <w:p w14:paraId="3FF90D13" w14:textId="77777777" w:rsidR="004E383D" w:rsidRPr="002273BC" w:rsidRDefault="004E383D" w:rsidP="00EA3738">
      <w:pPr>
        <w:pStyle w:val="FootnoteText"/>
        <w:spacing w:line="360" w:lineRule="auto"/>
        <w:ind w:left="-2"/>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tl/>
          <w:lang w:bidi="ar-JO"/>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tl/>
          <w:lang w:bidi="ar-JO"/>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مجموعة من المشاركين (2010</w:t>
      </w:r>
      <w:r w:rsidRPr="002273BC">
        <w:rPr>
          <w:rFonts w:ascii="Arabic Transparent" w:hAnsi="Arabic Transparent" w:cs="Arabic Transparent" w:hint="cs"/>
          <w:b/>
          <w:bCs/>
          <w:sz w:val="24"/>
          <w:szCs w:val="24"/>
          <w:rtl/>
          <w:lang w:bidi="ar-JO"/>
        </w:rPr>
        <w:t>)، توصيات</w:t>
      </w:r>
      <w:r w:rsidRPr="002273BC">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b/>
          <w:bCs/>
          <w:sz w:val="24"/>
          <w:szCs w:val="24"/>
          <w:rtl/>
          <w:lang w:bidi="ar-JO"/>
        </w:rPr>
        <w:t>ندوة فقه القضايا المعاصرة</w:t>
      </w:r>
      <w:r w:rsidRPr="002273BC">
        <w:rPr>
          <w:rFonts w:ascii="Arabic Transparent" w:hAnsi="Arabic Transparent" w:cs="Arabic Transparent" w:hint="cs"/>
          <w:sz w:val="24"/>
          <w:szCs w:val="24"/>
          <w:rtl/>
          <w:lang w:bidi="ar-JO"/>
        </w:rPr>
        <w:t>، ص485، مركز التمييز البحثي في– جامعة الإمام محمد بن سعود الإسلامية – الرياض.</w:t>
      </w:r>
    </w:p>
  </w:footnote>
  <w:footnote w:id="525">
    <w:p w14:paraId="50777AA7" w14:textId="77777777" w:rsidR="004E383D" w:rsidRPr="002273BC" w:rsidRDefault="004E383D" w:rsidP="00EA3738">
      <w:pPr>
        <w:pStyle w:val="FootnoteText"/>
        <w:spacing w:line="360" w:lineRule="auto"/>
        <w:ind w:left="-2"/>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tl/>
          <w:lang w:bidi="ar-JO"/>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tl/>
          <w:lang w:bidi="ar-JO"/>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القرضاوي، </w:t>
      </w:r>
      <w:r w:rsidRPr="002273BC">
        <w:rPr>
          <w:rFonts w:ascii="Arabic Transparent" w:hAnsi="Arabic Transparent" w:cs="Arabic Transparent" w:hint="cs"/>
          <w:b/>
          <w:bCs/>
          <w:sz w:val="24"/>
          <w:szCs w:val="24"/>
          <w:rtl/>
          <w:lang w:bidi="ar-JO"/>
        </w:rPr>
        <w:t>دراسة في فقه مقاصد الشريعة بين المقاصد الكلية والنصوص الجزئية</w:t>
      </w:r>
      <w:r w:rsidRPr="002273BC">
        <w:rPr>
          <w:rFonts w:ascii="Arabic Transparent" w:hAnsi="Arabic Transparent" w:cs="Arabic Transparent" w:hint="cs"/>
          <w:sz w:val="24"/>
          <w:szCs w:val="24"/>
          <w:rtl/>
          <w:lang w:bidi="ar-JO"/>
        </w:rPr>
        <w:t>، مصدر سابق، ص139.</w:t>
      </w:r>
    </w:p>
  </w:footnote>
  <w:footnote w:id="526">
    <w:p w14:paraId="12A92FF6"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انظر: مجمع الفقه الإسلامي الدولي (1990). </w:t>
      </w:r>
      <w:r w:rsidRPr="002273BC">
        <w:rPr>
          <w:rFonts w:ascii="Arabic Transparent" w:hAnsi="Arabic Transparent" w:cs="Arabic Transparent" w:hint="cs"/>
          <w:b/>
          <w:bCs/>
          <w:sz w:val="24"/>
          <w:szCs w:val="24"/>
          <w:rtl/>
          <w:lang w:bidi="ar-JO"/>
        </w:rPr>
        <w:t>مجلة مجمع الفقه الإسلامي الدولي</w:t>
      </w:r>
      <w:r w:rsidRPr="002273BC">
        <w:rPr>
          <w:rFonts w:ascii="Arabic Transparent" w:hAnsi="Arabic Transparent" w:cs="Arabic Transparent" w:hint="cs"/>
          <w:sz w:val="24"/>
          <w:szCs w:val="24"/>
          <w:rtl/>
          <w:lang w:bidi="ar-JO"/>
        </w:rPr>
        <w:t>، العدد السادس، قرار رقم 51 (2/6) بشأن البيع بالتقسيط، منظمة التعاون الإسلامي – جدة.</w:t>
      </w:r>
    </w:p>
  </w:footnote>
  <w:footnote w:id="527">
    <w:p w14:paraId="7FA1BB4B" w14:textId="7E2C6087" w:rsidR="004E383D" w:rsidRPr="002273BC" w:rsidRDefault="004E383D" w:rsidP="00EA3738">
      <w:pPr>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tl/>
          <w:lang w:bidi="ar-JO"/>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tl/>
          <w:lang w:bidi="ar-JO"/>
        </w:rPr>
        <w:t xml:space="preserve">)انظر: دائر الإفتاء الأردنية (2009). فتوى رقم 258: </w:t>
      </w:r>
      <w:r w:rsidRPr="002273BC">
        <w:rPr>
          <w:rFonts w:ascii="Arabic Transparent" w:hAnsi="Arabic Transparent" w:cs="Arabic Transparent" w:hint="cs"/>
          <w:b/>
          <w:bCs/>
          <w:sz w:val="24"/>
          <w:szCs w:val="24"/>
          <w:rtl/>
          <w:lang w:bidi="ar-JO"/>
        </w:rPr>
        <w:t>هل يجوز فرض غرامة على الأقساط التي يتأخر سدادها</w:t>
      </w:r>
      <w:r w:rsidRPr="002273BC">
        <w:rPr>
          <w:rFonts w:ascii="Arabic Transparent" w:hAnsi="Arabic Transparent" w:cs="Arabic Transparent" w:hint="cs"/>
          <w:sz w:val="24"/>
          <w:szCs w:val="24"/>
          <w:rtl/>
          <w:lang w:bidi="ar-JO"/>
        </w:rPr>
        <w:t>؟، دائر الإفتاء الأردنية – عمّان.</w:t>
      </w:r>
      <w:r w:rsidR="00FC366F" w:rsidRPr="002273BC">
        <w:rPr>
          <w:rFonts w:ascii="Arabic Transparent" w:hAnsi="Arabic Transparent" w:cs="Arabic Transparent" w:hint="cs"/>
          <w:sz w:val="24"/>
          <w:szCs w:val="24"/>
          <w:rtl/>
          <w:lang w:bidi="ar-JO"/>
        </w:rPr>
        <w:t xml:space="preserve"> على الرابط: </w:t>
      </w:r>
      <w:r w:rsidR="00FC366F" w:rsidRPr="002273BC">
        <w:rPr>
          <w:rFonts w:ascii="Arabic Transparent" w:hAnsi="Arabic Transparent" w:cs="Arabic Transparent"/>
          <w:sz w:val="24"/>
          <w:szCs w:val="24"/>
          <w:lang w:bidi="ar-JO"/>
        </w:rPr>
        <w:t>https://www.aliftaa.jo/research-fatwas/258</w:t>
      </w:r>
      <w:r w:rsidR="00FC366F" w:rsidRPr="002273BC">
        <w:rPr>
          <w:rFonts w:ascii="Arabic Transparent" w:hAnsi="Arabic Transparent" w:cs="Arabic Transparent"/>
          <w:sz w:val="24"/>
          <w:szCs w:val="24"/>
          <w:rtl/>
          <w:lang w:bidi="ar-JO"/>
        </w:rPr>
        <w:t xml:space="preserve"> تاريخ الاطلاع: 17/ 4/2026م.</w:t>
      </w:r>
    </w:p>
  </w:footnote>
  <w:footnote w:id="528">
    <w:p w14:paraId="63AAFC96" w14:textId="42BCB509" w:rsidR="004C210D" w:rsidRPr="004C210D" w:rsidRDefault="004C210D" w:rsidP="00EA3738">
      <w:pPr>
        <w:pStyle w:val="FootnoteText"/>
        <w:spacing w:line="360" w:lineRule="auto"/>
        <w:jc w:val="both"/>
        <w:rPr>
          <w:rFonts w:ascii="Arabic Transparent" w:hAnsi="Arabic Transparent" w:cs="Arabic Transparent"/>
          <w:sz w:val="24"/>
          <w:szCs w:val="24"/>
          <w:rtl/>
          <w:lang w:bidi="ar-JO"/>
        </w:rPr>
      </w:pPr>
      <w:r w:rsidRPr="004C210D">
        <w:rPr>
          <w:rFonts w:ascii="Arabic Transparent" w:hAnsi="Arabic Transparent" w:cs="Arabic Transparent" w:hint="cs"/>
          <w:sz w:val="24"/>
          <w:szCs w:val="24"/>
        </w:rPr>
        <w:t>(</w:t>
      </w:r>
      <w:r w:rsidRPr="004C210D">
        <w:rPr>
          <w:rStyle w:val="FootnoteReference"/>
          <w:rFonts w:ascii="Arabic Transparent" w:hAnsi="Arabic Transparent" w:cs="Arabic Transparent" w:hint="cs"/>
          <w:sz w:val="24"/>
          <w:szCs w:val="24"/>
          <w:vertAlign w:val="baseline"/>
        </w:rPr>
        <w:footnoteRef/>
      </w:r>
      <w:r w:rsidRPr="004C210D">
        <w:rPr>
          <w:rFonts w:ascii="Arabic Transparent" w:hAnsi="Arabic Transparent" w:cs="Arabic Transparent" w:hint="cs"/>
          <w:sz w:val="24"/>
          <w:szCs w:val="24"/>
        </w:rPr>
        <w:t>)</w:t>
      </w:r>
      <w:r w:rsidRPr="004C210D">
        <w:rPr>
          <w:rFonts w:ascii="Arabic Transparent" w:hAnsi="Arabic Transparent" w:cs="Arabic Transparent" w:hint="cs"/>
          <w:sz w:val="24"/>
          <w:szCs w:val="24"/>
          <w:rtl/>
        </w:rPr>
        <w:t xml:space="preserve"> </w:t>
      </w:r>
      <w:r w:rsidRPr="004C210D">
        <w:rPr>
          <w:rFonts w:ascii="Arabic Transparent" w:hAnsi="Arabic Transparent" w:cs="Arabic Transparent" w:hint="cs"/>
          <w:sz w:val="24"/>
          <w:szCs w:val="24"/>
          <w:rtl/>
          <w:lang w:bidi="ar-JO"/>
        </w:rPr>
        <w:t xml:space="preserve">المصدر السابق ذاته، </w:t>
      </w:r>
      <w:r w:rsidRPr="004C210D">
        <w:rPr>
          <w:rFonts w:ascii="Arabic Transparent" w:hAnsi="Arabic Transparent" w:cs="Arabic Transparent"/>
          <w:sz w:val="24"/>
          <w:szCs w:val="24"/>
          <w:rtl/>
          <w:lang w:bidi="ar-JO"/>
        </w:rPr>
        <w:t>فتوى رقم 258</w:t>
      </w:r>
      <w:r>
        <w:rPr>
          <w:rFonts w:ascii="Arabic Transparent" w:hAnsi="Arabic Transparent" w:cs="Arabic Transparent" w:hint="cs"/>
          <w:sz w:val="24"/>
          <w:szCs w:val="24"/>
          <w:rtl/>
          <w:lang w:bidi="ar-JO"/>
        </w:rPr>
        <w:t>.</w:t>
      </w:r>
    </w:p>
  </w:footnote>
  <w:footnote w:id="529">
    <w:p w14:paraId="7A9B1EA9" w14:textId="77777777" w:rsidR="004E383D" w:rsidRPr="002273BC" w:rsidRDefault="004E383D" w:rsidP="00EA3738">
      <w:pPr>
        <w:pStyle w:val="FootnoteText"/>
        <w:spacing w:line="360" w:lineRule="auto"/>
        <w:ind w:left="-2"/>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tl/>
          <w:lang w:bidi="ar-JO"/>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tl/>
          <w:lang w:bidi="ar-JO"/>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مجلس المجمع الفقهي الإسلامي لرابطة العالم الإسلامي (1989). قرارات مجلس المجمع الفقهي الإسلامي، الدورة الحادية عشرة، </w:t>
      </w:r>
      <w:r w:rsidRPr="002273BC">
        <w:rPr>
          <w:rFonts w:ascii="Arabic Transparent" w:hAnsi="Arabic Transparent" w:cs="Arabic Transparent" w:hint="cs"/>
          <w:b/>
          <w:bCs/>
          <w:sz w:val="24"/>
          <w:szCs w:val="24"/>
          <w:rtl/>
          <w:lang w:bidi="ar-JO"/>
        </w:rPr>
        <w:t>بشأن فرض الغرامة على المدين المتأخر في السداد</w:t>
      </w:r>
      <w:r w:rsidRPr="002273BC">
        <w:rPr>
          <w:rFonts w:ascii="Arabic Transparent" w:hAnsi="Arabic Transparent" w:cs="Arabic Transparent" w:hint="cs"/>
          <w:sz w:val="24"/>
          <w:szCs w:val="24"/>
          <w:rtl/>
          <w:lang w:bidi="ar-JO"/>
        </w:rPr>
        <w:t>، القرار رقم 8، رابطة العالم الإسلامي – مكة المكرمة.</w:t>
      </w:r>
    </w:p>
  </w:footnote>
  <w:footnote w:id="530">
    <w:p w14:paraId="2BF42152" w14:textId="149F9026" w:rsidR="004E383D" w:rsidRPr="002273BC" w:rsidRDefault="004E383D" w:rsidP="00EA3738">
      <w:pPr>
        <w:pStyle w:val="FootnoteText"/>
        <w:spacing w:line="360" w:lineRule="auto"/>
        <w:ind w:left="-2"/>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tl/>
          <w:lang w:bidi="ar-JO"/>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tl/>
          <w:lang w:bidi="ar-JO"/>
        </w:rPr>
        <w:t>)</w:t>
      </w:r>
      <w:r w:rsidRPr="002273BC">
        <w:rPr>
          <w:rFonts w:ascii="Arabic Transparent" w:hAnsi="Arabic Transparent" w:cs="Arabic Transparent" w:hint="cs"/>
          <w:sz w:val="24"/>
          <w:szCs w:val="24"/>
          <w:rtl/>
        </w:rPr>
        <w:t xml:space="preserve">أخرجه البخاري في صحيحه،، </w:t>
      </w:r>
      <w:r w:rsidRPr="002273BC">
        <w:rPr>
          <w:rFonts w:ascii="Arabic Transparent" w:hAnsi="Arabic Transparent" w:cs="Arabic Transparent" w:hint="cs"/>
          <w:b/>
          <w:bCs/>
          <w:sz w:val="24"/>
          <w:szCs w:val="24"/>
          <w:rtl/>
        </w:rPr>
        <w:t>صحيح البخاري</w:t>
      </w:r>
      <w:r w:rsidRPr="002273BC">
        <w:rPr>
          <w:rFonts w:ascii="Arabic Transparent" w:hAnsi="Arabic Transparent" w:cs="Arabic Transparent" w:hint="cs"/>
          <w:sz w:val="24"/>
          <w:szCs w:val="24"/>
          <w:rtl/>
        </w:rPr>
        <w:t>، مصدر سابق، كتاب: الحوالات، باب: إذا أحال على ملي فليس له رد، ج3/ص94/ر(</w:t>
      </w:r>
      <w:r w:rsidRPr="002273BC">
        <w:rPr>
          <w:rFonts w:ascii="Arabic Transparent" w:hAnsi="Arabic Transparent" w:cs="Arabic Transparent" w:hint="cs"/>
          <w:sz w:val="24"/>
          <w:szCs w:val="24"/>
          <w:rtl/>
          <w:lang w:bidi="ar-JO"/>
        </w:rPr>
        <w:t>2400/2288/2287)</w:t>
      </w:r>
    </w:p>
  </w:footnote>
  <w:footnote w:id="531">
    <w:p w14:paraId="4FAF1E3B" w14:textId="77777777" w:rsidR="004E383D" w:rsidRPr="002273BC" w:rsidRDefault="004E383D" w:rsidP="00EA3738">
      <w:pPr>
        <w:pStyle w:val="FootnoteText"/>
        <w:spacing w:line="360" w:lineRule="auto"/>
        <w:ind w:left="-2"/>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tl/>
          <w:lang w:bidi="ar-JO"/>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tl/>
          <w:lang w:bidi="ar-JO"/>
        </w:rPr>
        <w:t xml:space="preserve">) الزرقا، مصطفى وآخرون (1985). </w:t>
      </w:r>
      <w:r w:rsidRPr="002273BC">
        <w:rPr>
          <w:rFonts w:ascii="Arabic Transparent" w:hAnsi="Arabic Transparent" w:cs="Arabic Transparent" w:hint="cs"/>
          <w:b/>
          <w:bCs/>
          <w:sz w:val="24"/>
          <w:szCs w:val="24"/>
          <w:rtl/>
          <w:lang w:bidi="ar-JO"/>
        </w:rPr>
        <w:t>الفتوى حول المدين المماطل</w:t>
      </w:r>
      <w:r w:rsidRPr="002273BC">
        <w:rPr>
          <w:rFonts w:ascii="Arabic Transparent" w:hAnsi="Arabic Transparent" w:cs="Arabic Transparent" w:hint="cs"/>
          <w:sz w:val="24"/>
          <w:szCs w:val="24"/>
          <w:rtl/>
          <w:lang w:bidi="ar-JO"/>
        </w:rPr>
        <w:t>، ندوة البركة الثالثة للاقتصاد الإسلامي، فتوى رقم (2/3)، مجموعة البركة المصرفية، استطنبول.</w:t>
      </w:r>
    </w:p>
  </w:footnote>
  <w:footnote w:id="532">
    <w:p w14:paraId="0C27964D" w14:textId="2D43C2E1" w:rsidR="004E383D" w:rsidRPr="002273BC" w:rsidRDefault="004E383D" w:rsidP="00EA3738">
      <w:pPr>
        <w:pStyle w:val="FootnoteText"/>
        <w:spacing w:line="360" w:lineRule="auto"/>
        <w:ind w:left="-2"/>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tl/>
          <w:lang w:bidi="ar-JO"/>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sz w:val="24"/>
          <w:szCs w:val="24"/>
          <w:rtl/>
        </w:rPr>
        <w:t>سبق تخريجه في هذه الصفحة</w:t>
      </w:r>
      <w:r w:rsidR="004C210D">
        <w:rPr>
          <w:rFonts w:ascii="Arabic Transparent" w:hAnsi="Arabic Transparent" w:cs="Arabic Transparent" w:hint="cs"/>
          <w:sz w:val="24"/>
          <w:szCs w:val="24"/>
          <w:rtl/>
        </w:rPr>
        <w:t>، هامش رقم 1.</w:t>
      </w:r>
    </w:p>
  </w:footnote>
  <w:footnote w:id="533">
    <w:p w14:paraId="65BDCBC8" w14:textId="140811A5"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الزركشي، </w:t>
      </w:r>
      <w:r w:rsidRPr="002273BC">
        <w:rPr>
          <w:rFonts w:ascii="Arabic Transparent" w:hAnsi="Arabic Transparent" w:cs="Arabic Transparent"/>
          <w:b/>
          <w:bCs/>
          <w:sz w:val="24"/>
          <w:szCs w:val="24"/>
          <w:rtl/>
          <w:lang w:bidi="ar-JO"/>
        </w:rPr>
        <w:t>تشنيف المسامع بجمع الجوامع</w:t>
      </w:r>
      <w:r w:rsidRPr="002273BC">
        <w:rPr>
          <w:rFonts w:ascii="Arabic Transparent" w:hAnsi="Arabic Transparent" w:cs="Arabic Transparent" w:hint="cs"/>
          <w:sz w:val="24"/>
          <w:szCs w:val="24"/>
          <w:rtl/>
          <w:lang w:bidi="ar-JO"/>
        </w:rPr>
        <w:t xml:space="preserve">، </w:t>
      </w:r>
      <w:r w:rsidR="00FC366F" w:rsidRPr="002273BC">
        <w:rPr>
          <w:rFonts w:ascii="Arabic Transparent" w:hAnsi="Arabic Transparent" w:cs="Arabic Transparent" w:hint="cs"/>
          <w:sz w:val="24"/>
          <w:szCs w:val="24"/>
          <w:rtl/>
          <w:lang w:bidi="ar-JO"/>
        </w:rPr>
        <w:t>مصدر سابق،</w:t>
      </w:r>
      <w:r w:rsidRPr="002273BC">
        <w:rPr>
          <w:rFonts w:ascii="Arabic Transparent" w:hAnsi="Arabic Transparent" w:cs="Arabic Transparent" w:hint="cs"/>
          <w:sz w:val="24"/>
          <w:szCs w:val="24"/>
          <w:rtl/>
          <w:lang w:bidi="ar-JO"/>
        </w:rPr>
        <w:t xml:space="preserve"> ج3، ص53</w:t>
      </w:r>
      <w:r w:rsidR="00FC366F" w:rsidRPr="002273BC">
        <w:rPr>
          <w:rFonts w:ascii="Arabic Transparent" w:hAnsi="Arabic Transparent" w:cs="Arabic Transparent" w:hint="cs"/>
          <w:sz w:val="24"/>
          <w:szCs w:val="24"/>
          <w:rtl/>
          <w:lang w:bidi="ar-JO"/>
        </w:rPr>
        <w:t>.</w:t>
      </w:r>
    </w:p>
  </w:footnote>
  <w:footnote w:id="534">
    <w:p w14:paraId="3D3FA042" w14:textId="02B5CCA6"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00FC366F" w:rsidRPr="002273BC">
        <w:rPr>
          <w:rFonts w:ascii="Arabic Transparent" w:hAnsi="Arabic Transparent" w:cs="Arabic Transparent"/>
          <w:sz w:val="24"/>
          <w:szCs w:val="24"/>
          <w:rtl/>
          <w:lang w:bidi="ar-JO"/>
        </w:rPr>
        <w:t xml:space="preserve">زيدان، عبد الكريم (2006). </w:t>
      </w:r>
      <w:r w:rsidR="00FC366F" w:rsidRPr="002273BC">
        <w:rPr>
          <w:rFonts w:ascii="Arabic Transparent" w:hAnsi="Arabic Transparent" w:cs="Arabic Transparent"/>
          <w:b/>
          <w:bCs/>
          <w:sz w:val="24"/>
          <w:szCs w:val="24"/>
          <w:rtl/>
          <w:lang w:bidi="ar-JO"/>
        </w:rPr>
        <w:t>الوجيز في شرح القواعد الفقهية</w:t>
      </w:r>
      <w:r w:rsidR="00FC366F" w:rsidRPr="002273BC">
        <w:rPr>
          <w:rFonts w:ascii="Arabic Transparent" w:hAnsi="Arabic Transparent" w:cs="Arabic Transparent"/>
          <w:sz w:val="24"/>
          <w:szCs w:val="24"/>
          <w:rtl/>
          <w:lang w:bidi="ar-JO"/>
        </w:rPr>
        <w:t>، ط1،</w:t>
      </w:r>
      <w:r w:rsidR="00FC366F" w:rsidRPr="002273BC">
        <w:rPr>
          <w:rFonts w:ascii="Arabic Transparent" w:hAnsi="Arabic Transparent" w:cs="Arabic Transparent" w:hint="cs"/>
          <w:sz w:val="24"/>
          <w:szCs w:val="24"/>
          <w:rtl/>
          <w:lang w:bidi="ar-JO"/>
        </w:rPr>
        <w:t xml:space="preserve"> ص233،</w:t>
      </w:r>
      <w:r w:rsidR="00FC366F" w:rsidRPr="002273BC">
        <w:rPr>
          <w:rFonts w:ascii="Arabic Transparent" w:hAnsi="Arabic Transparent" w:cs="Arabic Transparent"/>
          <w:sz w:val="24"/>
          <w:szCs w:val="24"/>
          <w:rtl/>
          <w:lang w:bidi="ar-JO"/>
        </w:rPr>
        <w:t xml:space="preserve"> مؤسسة الرسالة ناشرون، دمشق.</w:t>
      </w:r>
    </w:p>
  </w:footnote>
  <w:footnote w:id="535">
    <w:p w14:paraId="4CF3CD55" w14:textId="14C2C402" w:rsidR="004E383D" w:rsidRPr="002273BC" w:rsidRDefault="004E383D" w:rsidP="00EA3738">
      <w:pPr>
        <w:pStyle w:val="FootnoteText"/>
        <w:spacing w:line="360" w:lineRule="auto"/>
        <w:ind w:left="-2"/>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tl/>
          <w:lang w:bidi="ar-JO"/>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tl/>
          <w:lang w:bidi="ar-JO"/>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بايندر، عبد العزيز (2008). </w:t>
      </w:r>
      <w:r w:rsidRPr="002273BC">
        <w:rPr>
          <w:rFonts w:ascii="Arabic Transparent" w:hAnsi="Arabic Transparent" w:cs="Arabic Transparent" w:hint="cs"/>
          <w:b/>
          <w:bCs/>
          <w:sz w:val="24"/>
          <w:szCs w:val="24"/>
          <w:rtl/>
          <w:lang w:bidi="ar-JO"/>
        </w:rPr>
        <w:t>التجارة والربا</w:t>
      </w:r>
      <w:r w:rsidRPr="002273BC">
        <w:rPr>
          <w:rFonts w:ascii="Arabic Transparent" w:hAnsi="Arabic Transparent" w:cs="Arabic Transparent" w:hint="cs"/>
          <w:sz w:val="24"/>
          <w:szCs w:val="24"/>
          <w:rtl/>
          <w:lang w:bidi="ar-JO"/>
        </w:rPr>
        <w:t>، (د.ط)</w:t>
      </w:r>
      <w:r w:rsidR="005D7B91" w:rsidRPr="002273BC">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sz w:val="24"/>
          <w:szCs w:val="24"/>
          <w:rtl/>
          <w:lang w:bidi="ar-JO"/>
        </w:rPr>
        <w:t>ص225، وقف السليمانية، إستانبول.</w:t>
      </w:r>
    </w:p>
  </w:footnote>
  <w:footnote w:id="536">
    <w:p w14:paraId="4019090D" w14:textId="5052667F"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004C2621">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sz w:val="24"/>
          <w:szCs w:val="24"/>
          <w:rtl/>
          <w:lang w:bidi="ar-JO"/>
        </w:rPr>
        <w:t xml:space="preserve">الطبري، </w:t>
      </w:r>
      <w:r w:rsidRPr="002273BC">
        <w:rPr>
          <w:rFonts w:ascii="Arabic Transparent" w:hAnsi="Arabic Transparent" w:cs="Arabic Transparent" w:hint="cs"/>
          <w:b/>
          <w:bCs/>
          <w:sz w:val="24"/>
          <w:szCs w:val="24"/>
          <w:rtl/>
          <w:lang w:bidi="ar-JO"/>
        </w:rPr>
        <w:t>جامع البيان</w:t>
      </w:r>
      <w:r w:rsidRPr="002273BC">
        <w:rPr>
          <w:rFonts w:ascii="Arabic Transparent" w:hAnsi="Arabic Transparent" w:cs="Arabic Transparent" w:hint="cs"/>
          <w:sz w:val="24"/>
          <w:szCs w:val="24"/>
          <w:rtl/>
          <w:lang w:bidi="ar-JO"/>
        </w:rPr>
        <w:t>، مصدر سابق، ج5، ص380.</w:t>
      </w:r>
    </w:p>
  </w:footnote>
  <w:footnote w:id="537">
    <w:p w14:paraId="1B7D0307" w14:textId="56BE37AE"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انظر: ابن قدامة، </w:t>
      </w:r>
      <w:r w:rsidRPr="002273BC">
        <w:rPr>
          <w:rFonts w:ascii="Arabic Transparent" w:hAnsi="Arabic Transparent" w:cs="Arabic Transparent" w:hint="cs"/>
          <w:b/>
          <w:bCs/>
          <w:sz w:val="24"/>
          <w:szCs w:val="24"/>
          <w:rtl/>
          <w:lang w:bidi="ar-JO"/>
        </w:rPr>
        <w:t>روضة الناظر وجنة المناظر</w:t>
      </w:r>
      <w:r w:rsidRPr="002273BC">
        <w:rPr>
          <w:rFonts w:ascii="Arabic Transparent" w:hAnsi="Arabic Transparent" w:cs="Arabic Transparent" w:hint="cs"/>
          <w:sz w:val="24"/>
          <w:szCs w:val="24"/>
          <w:rtl/>
          <w:lang w:bidi="ar-JO"/>
        </w:rPr>
        <w:t xml:space="preserve">، مصدر سابق، ج2، ص214، الآمدي، </w:t>
      </w:r>
      <w:r w:rsidRPr="002273BC">
        <w:rPr>
          <w:rFonts w:ascii="Arabic Transparent" w:hAnsi="Arabic Transparent" w:cs="Arabic Transparent" w:hint="cs"/>
          <w:b/>
          <w:bCs/>
          <w:sz w:val="24"/>
          <w:szCs w:val="24"/>
          <w:rtl/>
          <w:lang w:bidi="ar-JO"/>
        </w:rPr>
        <w:t>الإحكام في أصول الأحكام،</w:t>
      </w:r>
      <w:r w:rsidRPr="002273BC">
        <w:rPr>
          <w:rFonts w:ascii="Arabic Transparent" w:hAnsi="Arabic Transparent" w:cs="Arabic Transparent" w:hint="cs"/>
          <w:sz w:val="24"/>
          <w:szCs w:val="24"/>
          <w:rtl/>
          <w:lang w:bidi="ar-JO"/>
        </w:rPr>
        <w:t xml:space="preserve"> مصدر سابق، ج3، ص244، والطوفي، </w:t>
      </w:r>
      <w:r w:rsidRPr="002273BC">
        <w:rPr>
          <w:rFonts w:ascii="Arabic Transparent" w:hAnsi="Arabic Transparent" w:cs="Arabic Transparent" w:hint="cs"/>
          <w:b/>
          <w:bCs/>
          <w:sz w:val="24"/>
          <w:szCs w:val="24"/>
          <w:rtl/>
          <w:lang w:bidi="ar-JO"/>
        </w:rPr>
        <w:t>شرح مختصر الروضة</w:t>
      </w:r>
      <w:r w:rsidRPr="002273BC">
        <w:rPr>
          <w:rFonts w:ascii="Arabic Transparent" w:hAnsi="Arabic Transparent" w:cs="Arabic Transparent" w:hint="cs"/>
          <w:sz w:val="24"/>
          <w:szCs w:val="24"/>
          <w:rtl/>
          <w:lang w:bidi="ar-JO"/>
        </w:rPr>
        <w:t xml:space="preserve">، مصدر سابق، ج3، </w:t>
      </w:r>
      <w:r w:rsidR="00E5723D">
        <w:rPr>
          <w:rFonts w:ascii="Arabic Transparent" w:hAnsi="Arabic Transparent" w:cs="Arabic Transparent" w:hint="cs"/>
          <w:sz w:val="24"/>
          <w:szCs w:val="24"/>
          <w:rtl/>
          <w:lang w:bidi="ar-JO"/>
        </w:rPr>
        <w:t>ص</w:t>
      </w:r>
      <w:r w:rsidRPr="002273BC">
        <w:rPr>
          <w:rFonts w:ascii="Arabic Transparent" w:hAnsi="Arabic Transparent" w:cs="Arabic Transparent" w:hint="cs"/>
          <w:sz w:val="24"/>
          <w:szCs w:val="24"/>
          <w:rtl/>
          <w:lang w:bidi="ar-JO"/>
        </w:rPr>
        <w:t xml:space="preserve">516، والزركشي، </w:t>
      </w:r>
      <w:r w:rsidRPr="002273BC">
        <w:rPr>
          <w:rFonts w:ascii="Arabic Transparent" w:hAnsi="Arabic Transparent" w:cs="Arabic Transparent" w:hint="cs"/>
          <w:b/>
          <w:bCs/>
          <w:sz w:val="24"/>
          <w:szCs w:val="24"/>
          <w:rtl/>
          <w:lang w:bidi="ar-JO"/>
        </w:rPr>
        <w:t>البحر المحيط</w:t>
      </w:r>
      <w:r w:rsidRPr="002273BC">
        <w:rPr>
          <w:rFonts w:ascii="Arabic Transparent" w:hAnsi="Arabic Transparent" w:cs="Arabic Transparent" w:hint="cs"/>
          <w:sz w:val="24"/>
          <w:szCs w:val="24"/>
          <w:rtl/>
          <w:lang w:bidi="ar-JO"/>
        </w:rPr>
        <w:t>، مصدر سابق، ج7، ص314.</w:t>
      </w:r>
    </w:p>
  </w:footnote>
  <w:footnote w:id="538">
    <w:p w14:paraId="25E9EC13" w14:textId="7B99C53D" w:rsidR="004E383D" w:rsidRPr="002273BC" w:rsidRDefault="004E383D" w:rsidP="00EA3738">
      <w:pPr>
        <w:pStyle w:val="FootnoteText"/>
        <w:spacing w:line="360" w:lineRule="auto"/>
        <w:jc w:val="both"/>
        <w:rPr>
          <w:rFonts w:ascii="Arabic Transparent" w:hAnsi="Arabic Transparent" w:cs="Arabic Transparent"/>
          <w:sz w:val="24"/>
          <w:szCs w:val="24"/>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جاء في قرار مجمع الفقه الإسلامي الدولي في دورته الخامسة: "ليس هناك تحديد لنسبة معينة للربح يتقيد بها التجار في معاملاتهم، بل ذلك متروك لظروف التجارة عامة وظروف التجار والسلع، مع مراعاة ما تقضي به الآداب الشرعية من الرفق والقناعة والسماحة والتيسير"، مجمع الفقه الإسلامي الدولي</w:t>
      </w:r>
      <w:r w:rsidRPr="002273BC">
        <w:rPr>
          <w:rFonts w:ascii="Arabic Transparent" w:hAnsi="Arabic Transparent" w:cs="Arabic Transparent" w:hint="cs"/>
          <w:b/>
          <w:bCs/>
          <w:sz w:val="24"/>
          <w:szCs w:val="24"/>
          <w:rtl/>
        </w:rPr>
        <w:t>، قرار رقم 46 (5/8) بشأن تحديد أرباح التجار</w:t>
      </w:r>
      <w:r w:rsidRPr="002273BC">
        <w:rPr>
          <w:rFonts w:ascii="Arabic Transparent" w:hAnsi="Arabic Transparent" w:cs="Arabic Transparent" w:hint="cs"/>
          <w:sz w:val="24"/>
          <w:szCs w:val="24"/>
          <w:rtl/>
        </w:rPr>
        <w:t>، الدورة الخامسة، الكويت، 10-15 ديسمبر 1988م، منشور على الموقع الرسمي لمجمع الفقه الإسلامي الدولي، تاريخ الاطلاع: 2/2/2026م</w:t>
      </w:r>
      <w:r w:rsidR="005D7B91" w:rsidRPr="002273BC">
        <w:rPr>
          <w:rFonts w:ascii="Arabic Transparent" w:hAnsi="Arabic Transparent" w:cs="Arabic Transparent" w:hint="cs"/>
          <w:sz w:val="24"/>
          <w:szCs w:val="24"/>
          <w:rtl/>
        </w:rPr>
        <w:t>:</w:t>
      </w:r>
      <w:r w:rsidR="00FC366F" w:rsidRPr="002273BC">
        <w:rPr>
          <w:rFonts w:ascii="Arabic Transparent" w:hAnsi="Arabic Transparent" w:cs="Arabic Transparent" w:hint="cs"/>
          <w:sz w:val="24"/>
          <w:szCs w:val="24"/>
          <w:rtl/>
        </w:rPr>
        <w:t xml:space="preserve"> على الرابط:</w:t>
      </w:r>
      <w:r w:rsidR="005D7B91"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Pr>
        <w:t>https://iifa-aifi.org/ar/1766.html</w:t>
      </w:r>
    </w:p>
  </w:footnote>
  <w:footnote w:id="539">
    <w:p w14:paraId="1A126826" w14:textId="7456AD1E"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E5723D">
        <w:rPr>
          <w:rFonts w:ascii="Arabic Transparent" w:hAnsi="Arabic Transparent" w:cs="Arabic Transparent" w:hint="cs"/>
          <w:sz w:val="24"/>
          <w:szCs w:val="24"/>
          <w:rtl/>
          <w:lang w:bidi="ar-JO"/>
        </w:rPr>
        <w:t>أخرجه البخاري في صحيحه،</w:t>
      </w:r>
      <w:r w:rsidRPr="002273BC">
        <w:rPr>
          <w:rFonts w:ascii="Arabic Transparent" w:hAnsi="Arabic Transparent" w:cs="Arabic Transparent" w:hint="cs"/>
          <w:sz w:val="24"/>
          <w:szCs w:val="24"/>
          <w:rtl/>
          <w:lang w:bidi="ar-JO"/>
        </w:rPr>
        <w:t xml:space="preserve"> </w:t>
      </w:r>
      <w:r w:rsidR="00E5723D" w:rsidRPr="00E5723D">
        <w:rPr>
          <w:rFonts w:ascii="Arabic Transparent" w:hAnsi="Arabic Transparent" w:cs="Arabic Transparent"/>
          <w:b/>
          <w:bCs/>
          <w:sz w:val="24"/>
          <w:szCs w:val="24"/>
          <w:rtl/>
          <w:lang w:bidi="ar-JO"/>
        </w:rPr>
        <w:t>صحيح البخاري</w:t>
      </w:r>
      <w:r w:rsidR="00E5723D">
        <w:rPr>
          <w:rFonts w:ascii="Arabic Transparent" w:hAnsi="Arabic Transparent" w:cs="Arabic Transparent" w:hint="cs"/>
          <w:b/>
          <w:bCs/>
          <w:sz w:val="24"/>
          <w:szCs w:val="24"/>
          <w:rtl/>
          <w:lang w:bidi="ar-JO"/>
        </w:rPr>
        <w:t>،</w:t>
      </w:r>
      <w:r w:rsidR="00E5723D" w:rsidRPr="00E5723D">
        <w:rPr>
          <w:rFonts w:ascii="Arabic Transparent" w:hAnsi="Arabic Transparent" w:cs="Arabic Transparent"/>
          <w:sz w:val="24"/>
          <w:szCs w:val="24"/>
          <w:rtl/>
          <w:lang w:bidi="ar-JO"/>
        </w:rPr>
        <w:t xml:space="preserve"> </w:t>
      </w:r>
      <w:r w:rsidRPr="002273BC">
        <w:rPr>
          <w:rFonts w:ascii="Arabic Transparent" w:hAnsi="Arabic Transparent" w:cs="Arabic Transparent" w:hint="cs"/>
          <w:sz w:val="24"/>
          <w:szCs w:val="24"/>
          <w:rtl/>
          <w:lang w:bidi="ar-JO"/>
        </w:rPr>
        <w:t xml:space="preserve">مصدر سابق، كتاب المناقب، ‌‌بَاب: سُؤَالِ الْمُشْرِكِينَ أَنْ يُرِيَهُمُ النَّبِيُّ </w:t>
      </w:r>
      <w:r w:rsidR="005224A0" w:rsidRPr="002273BC">
        <w:rPr>
          <w:rFonts w:ascii="AGA Arabesque" w:eastAsia="AGA Arabesque" w:hAnsi="AGA Arabesque" w:cs="AGA Arabesque"/>
          <w:sz w:val="24"/>
          <w:szCs w:val="24"/>
          <w:lang w:bidi="ar-JO"/>
        </w:rPr>
        <w:t></w:t>
      </w:r>
      <w:r w:rsidRPr="002273BC">
        <w:rPr>
          <w:rFonts w:ascii="Arabic Transparent" w:hAnsi="Arabic Transparent" w:cs="Arabic Transparent" w:hint="cs"/>
          <w:sz w:val="24"/>
          <w:szCs w:val="24"/>
          <w:rtl/>
          <w:lang w:bidi="ar-JO"/>
        </w:rPr>
        <w:t xml:space="preserve"> آيَةً، فَأَرَاهُمُ انْشِقَاقَ الْقَمَرِ، ر</w:t>
      </w:r>
      <w:r w:rsidR="00FC366F" w:rsidRPr="002273BC">
        <w:rPr>
          <w:rFonts w:ascii="Arabic Transparent" w:hAnsi="Arabic Transparent" w:cs="Arabic Transparent" w:hint="cs"/>
          <w:sz w:val="24"/>
          <w:szCs w:val="24"/>
          <w:rtl/>
          <w:lang w:bidi="ar-JO"/>
        </w:rPr>
        <w:t>3443</w:t>
      </w:r>
      <w:r w:rsidRPr="002273BC">
        <w:rPr>
          <w:rFonts w:ascii="Arabic Transparent" w:hAnsi="Arabic Transparent" w:cs="Arabic Transparent" w:hint="cs"/>
          <w:sz w:val="24"/>
          <w:szCs w:val="24"/>
          <w:rtl/>
          <w:lang w:bidi="ar-JO"/>
        </w:rPr>
        <w:t>، ج</w:t>
      </w:r>
      <w:r w:rsidR="00FC366F" w:rsidRPr="002273BC">
        <w:rPr>
          <w:rFonts w:ascii="Arabic Transparent" w:hAnsi="Arabic Transparent" w:cs="Arabic Transparent" w:hint="cs"/>
          <w:sz w:val="24"/>
          <w:szCs w:val="24"/>
          <w:rtl/>
          <w:lang w:bidi="ar-JO"/>
        </w:rPr>
        <w:t>3</w:t>
      </w:r>
      <w:r w:rsidRPr="002273BC">
        <w:rPr>
          <w:rFonts w:ascii="Arabic Transparent" w:hAnsi="Arabic Transparent" w:cs="Arabic Transparent" w:hint="cs"/>
          <w:sz w:val="24"/>
          <w:szCs w:val="24"/>
          <w:rtl/>
          <w:lang w:bidi="ar-JO"/>
        </w:rPr>
        <w:t>، ص</w:t>
      </w:r>
      <w:r w:rsidR="00FC366F" w:rsidRPr="002273BC">
        <w:rPr>
          <w:rFonts w:ascii="Arabic Transparent" w:hAnsi="Arabic Transparent" w:cs="Arabic Transparent" w:hint="cs"/>
          <w:sz w:val="24"/>
          <w:szCs w:val="24"/>
          <w:rtl/>
          <w:lang w:bidi="ar-JO"/>
        </w:rPr>
        <w:t>1332</w:t>
      </w:r>
      <w:r w:rsidRPr="002273BC">
        <w:rPr>
          <w:rFonts w:ascii="Arabic Transparent" w:hAnsi="Arabic Transparent" w:cs="Arabic Transparent" w:hint="cs"/>
          <w:sz w:val="24"/>
          <w:szCs w:val="24"/>
          <w:rtl/>
          <w:lang w:bidi="ar-JO"/>
        </w:rPr>
        <w:t>.</w:t>
      </w:r>
    </w:p>
  </w:footnote>
  <w:footnote w:id="540">
    <w:p w14:paraId="4F324C13" w14:textId="720AC98E" w:rsidR="004E383D" w:rsidRPr="002273BC" w:rsidRDefault="004E383D" w:rsidP="00EA3738">
      <w:pPr>
        <w:pStyle w:val="FootnoteText"/>
        <w:spacing w:line="360" w:lineRule="auto"/>
        <w:jc w:val="both"/>
        <w:rPr>
          <w:rFonts w:ascii="Arabic Transparent" w:hAnsi="Arabic Transparent" w:cs="Arabic Transparent"/>
          <w:sz w:val="24"/>
          <w:szCs w:val="24"/>
          <w:rtl/>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E5723D">
        <w:rPr>
          <w:rFonts w:ascii="Arabic Transparent" w:hAnsi="Arabic Transparent" w:cs="Arabic Transparent" w:hint="cs"/>
          <w:sz w:val="24"/>
          <w:szCs w:val="24"/>
          <w:rtl/>
        </w:rPr>
        <w:t>أخرجه البخاري في صحيحه</w:t>
      </w:r>
      <w:r w:rsidRPr="002273BC">
        <w:rPr>
          <w:rFonts w:ascii="Arabic Transparent" w:hAnsi="Arabic Transparent" w:cs="Arabic Transparent" w:hint="cs"/>
          <w:sz w:val="24"/>
          <w:szCs w:val="24"/>
          <w:rtl/>
        </w:rPr>
        <w:t>،</w:t>
      </w:r>
      <w:r w:rsidR="00E5723D">
        <w:rPr>
          <w:rFonts w:ascii="Arabic Transparent" w:hAnsi="Arabic Transparent" w:cs="Arabic Transparent" w:hint="cs"/>
          <w:sz w:val="24"/>
          <w:szCs w:val="24"/>
          <w:rtl/>
        </w:rPr>
        <w:t xml:space="preserve"> </w:t>
      </w:r>
      <w:r w:rsidR="00E5723D" w:rsidRPr="00E5723D">
        <w:rPr>
          <w:rFonts w:ascii="Arabic Transparent" w:hAnsi="Arabic Transparent" w:cs="Arabic Transparent" w:hint="cs"/>
          <w:b/>
          <w:bCs/>
          <w:sz w:val="24"/>
          <w:szCs w:val="24"/>
          <w:rtl/>
        </w:rPr>
        <w:t>صحيح البخاري</w:t>
      </w:r>
      <w:r w:rsidR="00E5723D">
        <w:rPr>
          <w:rFonts w:ascii="Arabic Transparent" w:hAnsi="Arabic Transparent" w:cs="Arabic Transparent" w:hint="cs"/>
          <w:sz w:val="24"/>
          <w:szCs w:val="24"/>
          <w:rtl/>
        </w:rPr>
        <w:t>،</w:t>
      </w:r>
      <w:r w:rsidRPr="002273BC">
        <w:rPr>
          <w:rFonts w:ascii="Arabic Transparent" w:hAnsi="Arabic Transparent" w:cs="Arabic Transparent" w:hint="cs"/>
          <w:sz w:val="24"/>
          <w:szCs w:val="24"/>
          <w:rtl/>
        </w:rPr>
        <w:t xml:space="preserve"> مصدر سابق، كتاب فرض الخمس، باب: بركة الغازي في ماله حياً وميتاً، ج3، ص1138، ر2961.</w:t>
      </w:r>
    </w:p>
  </w:footnote>
  <w:footnote w:id="541">
    <w:p w14:paraId="579D5FAD"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انظر: الكاساني، </w:t>
      </w:r>
      <w:r w:rsidRPr="002273BC">
        <w:rPr>
          <w:rFonts w:ascii="Arabic Transparent" w:hAnsi="Arabic Transparent" w:cs="Arabic Transparent" w:hint="cs"/>
          <w:b/>
          <w:bCs/>
          <w:sz w:val="24"/>
          <w:szCs w:val="24"/>
          <w:rtl/>
          <w:lang w:bidi="ar-JO"/>
        </w:rPr>
        <w:t>بدائع الصنائع،</w:t>
      </w:r>
      <w:r w:rsidRPr="002273BC">
        <w:rPr>
          <w:rFonts w:ascii="Arabic Transparent" w:hAnsi="Arabic Transparent" w:cs="Arabic Transparent" w:hint="cs"/>
          <w:sz w:val="24"/>
          <w:szCs w:val="24"/>
          <w:rtl/>
          <w:lang w:bidi="ar-JO"/>
        </w:rPr>
        <w:t xml:space="preserve"> مصدر سابق، ج7، ص153، والنووي، </w:t>
      </w:r>
      <w:r w:rsidRPr="002273BC">
        <w:rPr>
          <w:rFonts w:ascii="Arabic Transparent" w:hAnsi="Arabic Transparent" w:cs="Arabic Transparent" w:hint="cs"/>
          <w:b/>
          <w:bCs/>
          <w:sz w:val="24"/>
          <w:szCs w:val="24"/>
          <w:rtl/>
          <w:lang w:bidi="ar-JO"/>
        </w:rPr>
        <w:t>المجموع شرح المهذب</w:t>
      </w:r>
      <w:r w:rsidRPr="002273BC">
        <w:rPr>
          <w:rFonts w:ascii="Arabic Transparent" w:hAnsi="Arabic Transparent" w:cs="Arabic Transparent" w:hint="cs"/>
          <w:sz w:val="24"/>
          <w:szCs w:val="24"/>
          <w:rtl/>
          <w:lang w:bidi="ar-JO"/>
        </w:rPr>
        <w:t xml:space="preserve">، مصدر سابق، ج9، ص262، وابن قدامة، </w:t>
      </w:r>
      <w:r w:rsidRPr="002273BC">
        <w:rPr>
          <w:rFonts w:ascii="Arabic Transparent" w:hAnsi="Arabic Transparent" w:cs="Arabic Transparent" w:hint="cs"/>
          <w:b/>
          <w:bCs/>
          <w:sz w:val="24"/>
          <w:szCs w:val="24"/>
          <w:rtl/>
          <w:lang w:bidi="ar-JO"/>
        </w:rPr>
        <w:t>المغني</w:t>
      </w:r>
      <w:r w:rsidRPr="002273BC">
        <w:rPr>
          <w:rFonts w:ascii="Arabic Transparent" w:hAnsi="Arabic Transparent" w:cs="Arabic Transparent" w:hint="cs"/>
          <w:sz w:val="24"/>
          <w:szCs w:val="24"/>
          <w:rtl/>
          <w:lang w:bidi="ar-JO"/>
        </w:rPr>
        <w:t>، مصدر سابق، ج4، ص446.</w:t>
      </w:r>
    </w:p>
  </w:footnote>
  <w:footnote w:id="542">
    <w:p w14:paraId="4B6C4378"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أخرجه البخاري في صحيحه، </w:t>
      </w:r>
      <w:r w:rsidRPr="002273BC">
        <w:rPr>
          <w:rFonts w:ascii="Arabic Transparent" w:hAnsi="Arabic Transparent" w:cs="Arabic Transparent" w:hint="cs"/>
          <w:b/>
          <w:bCs/>
          <w:sz w:val="24"/>
          <w:szCs w:val="24"/>
          <w:rtl/>
          <w:lang w:bidi="ar-JO"/>
        </w:rPr>
        <w:t>صحيح البخاري،</w:t>
      </w:r>
      <w:r w:rsidRPr="002273BC">
        <w:rPr>
          <w:rFonts w:ascii="Arabic Transparent" w:hAnsi="Arabic Transparent" w:cs="Arabic Transparent" w:hint="cs"/>
          <w:sz w:val="24"/>
          <w:szCs w:val="24"/>
          <w:rtl/>
          <w:lang w:bidi="ar-JO"/>
        </w:rPr>
        <w:t xml:space="preserve"> مصدر سابق، كتاب: البيوع، بَاب: بَيْعِ الثِّمَارِ قَبْلَ أَنْ يَبْدُوَ صَلاحُهَا، رقم: 2082، ج2، ص776.</w:t>
      </w:r>
    </w:p>
  </w:footnote>
  <w:footnote w:id="543">
    <w:p w14:paraId="13652159"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sz w:val="24"/>
          <w:szCs w:val="24"/>
          <w:rtl/>
          <w:lang w:bidi="ar-JO"/>
        </w:rPr>
        <w:t xml:space="preserve">أخرجه البخاري في صحيحه، </w:t>
      </w:r>
      <w:r w:rsidRPr="002273BC">
        <w:rPr>
          <w:rFonts w:ascii="Arabic Transparent" w:hAnsi="Arabic Transparent" w:cs="Arabic Transparent"/>
          <w:b/>
          <w:bCs/>
          <w:sz w:val="24"/>
          <w:szCs w:val="24"/>
          <w:rtl/>
          <w:lang w:bidi="ar-JO"/>
        </w:rPr>
        <w:t>صحيح البخاري</w:t>
      </w:r>
      <w:r w:rsidRPr="002273BC">
        <w:rPr>
          <w:rFonts w:ascii="Arabic Transparent" w:hAnsi="Arabic Transparent" w:cs="Arabic Transparent"/>
          <w:sz w:val="24"/>
          <w:szCs w:val="24"/>
          <w:rtl/>
          <w:lang w:bidi="ar-JO"/>
        </w:rPr>
        <w:t>، كتاب الزكاة، باب وجوب الزكاة، ج2، ص661، حديث رقم: 1486.</w:t>
      </w:r>
    </w:p>
  </w:footnote>
  <w:footnote w:id="544">
    <w:p w14:paraId="29BD0323"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انظر: العيني، </w:t>
      </w:r>
      <w:r w:rsidRPr="002273BC">
        <w:rPr>
          <w:rFonts w:ascii="Arabic Transparent" w:hAnsi="Arabic Transparent" w:cs="Arabic Transparent" w:hint="cs"/>
          <w:b/>
          <w:bCs/>
          <w:sz w:val="24"/>
          <w:szCs w:val="24"/>
          <w:rtl/>
          <w:lang w:bidi="ar-JO"/>
        </w:rPr>
        <w:t xml:space="preserve">البناية شرح الهداية، </w:t>
      </w:r>
      <w:r w:rsidRPr="002273BC">
        <w:rPr>
          <w:rFonts w:ascii="Arabic Transparent" w:hAnsi="Arabic Transparent" w:cs="Arabic Transparent" w:hint="cs"/>
          <w:sz w:val="24"/>
          <w:szCs w:val="24"/>
          <w:rtl/>
          <w:lang w:bidi="ar-JO"/>
        </w:rPr>
        <w:t>مصدر سابق، ج8، ص38.</w:t>
      </w:r>
    </w:p>
  </w:footnote>
  <w:footnote w:id="545">
    <w:p w14:paraId="532E2B35" w14:textId="550A4554"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عند المالكية والشافعية والحنابلة، انظر</w:t>
      </w:r>
      <w:r w:rsidR="00FC366F" w:rsidRPr="002273BC">
        <w:rPr>
          <w:rFonts w:ascii="Arabic Transparent" w:hAnsi="Arabic Transparent" w:cs="Arabic Transparent"/>
          <w:sz w:val="24"/>
          <w:szCs w:val="24"/>
          <w:rtl/>
          <w:lang w:bidi="ar-JO"/>
        </w:rPr>
        <w:t>البغدادي، القاضي عبد الوهاب (د.ت</w:t>
      </w:r>
      <w:r w:rsidR="00FC366F" w:rsidRPr="002273BC">
        <w:rPr>
          <w:rFonts w:ascii="Arabic Transparent" w:hAnsi="Arabic Transparent" w:cs="Arabic Transparent"/>
          <w:b/>
          <w:bCs/>
          <w:sz w:val="24"/>
          <w:szCs w:val="24"/>
          <w:rtl/>
          <w:lang w:bidi="ar-JO"/>
        </w:rPr>
        <w:t>). المعونة على مذهب عالم المدينة «الإمام مالك بن أنس»</w:t>
      </w:r>
      <w:r w:rsidR="00FC366F" w:rsidRPr="002273BC">
        <w:rPr>
          <w:rFonts w:ascii="Arabic Transparent" w:hAnsi="Arabic Transparent" w:cs="Arabic Transparent"/>
          <w:sz w:val="24"/>
          <w:szCs w:val="24"/>
          <w:rtl/>
          <w:lang w:bidi="ar-JO"/>
        </w:rPr>
        <w:t>. تحقيق ودراسة: حميش عبد الحق.ط1،</w:t>
      </w:r>
      <w:r w:rsidR="00FC366F" w:rsidRPr="002273BC">
        <w:rPr>
          <w:rFonts w:ascii="Arabic Transparent" w:hAnsi="Arabic Transparent" w:cs="Arabic Transparent" w:hint="cs"/>
          <w:sz w:val="24"/>
          <w:szCs w:val="24"/>
          <w:rtl/>
          <w:lang w:bidi="ar-JO"/>
        </w:rPr>
        <w:t xml:space="preserve"> </w:t>
      </w:r>
      <w:r w:rsidR="00FC366F" w:rsidRPr="002273BC">
        <w:rPr>
          <w:rFonts w:ascii="Arabic Transparent" w:hAnsi="Arabic Transparent" w:cs="Arabic Transparent"/>
          <w:sz w:val="24"/>
          <w:szCs w:val="24"/>
          <w:rtl/>
          <w:lang w:bidi="ar-JO"/>
        </w:rPr>
        <w:t>ج2، ص1006 المكتبة التجارية، مصطفى أحمد الباز، مكة المكرمة</w:t>
      </w:r>
      <w:r w:rsidRPr="002273BC">
        <w:rPr>
          <w:rFonts w:ascii="Arabic Transparent" w:hAnsi="Arabic Transparent" w:cs="Arabic Transparent" w:hint="cs"/>
          <w:sz w:val="24"/>
          <w:szCs w:val="24"/>
          <w:rtl/>
          <w:lang w:bidi="ar-JO"/>
        </w:rPr>
        <w:t xml:space="preserve">، ، والشيرازي، </w:t>
      </w:r>
      <w:r w:rsidRPr="002273BC">
        <w:rPr>
          <w:rFonts w:ascii="Arabic Transparent" w:hAnsi="Arabic Transparent" w:cs="Arabic Transparent" w:hint="cs"/>
          <w:b/>
          <w:bCs/>
          <w:sz w:val="24"/>
          <w:szCs w:val="24"/>
          <w:rtl/>
          <w:lang w:bidi="ar-JO"/>
        </w:rPr>
        <w:t>المهذب في فقه الإمام الشافعي</w:t>
      </w:r>
      <w:r w:rsidRPr="002273BC">
        <w:rPr>
          <w:rFonts w:ascii="Arabic Transparent" w:hAnsi="Arabic Transparent" w:cs="Arabic Transparent" w:hint="cs"/>
          <w:sz w:val="24"/>
          <w:szCs w:val="24"/>
          <w:rtl/>
          <w:lang w:bidi="ar-JO"/>
        </w:rPr>
        <w:t xml:space="preserve">، مصدر سابق، ج2، ص44، </w:t>
      </w:r>
      <w:r w:rsidR="00754FA9" w:rsidRPr="002273BC">
        <w:rPr>
          <w:rFonts w:ascii="Arabic Transparent" w:hAnsi="Arabic Transparent" w:cs="Arabic Transparent" w:hint="cs"/>
          <w:sz w:val="24"/>
          <w:szCs w:val="24"/>
          <w:rtl/>
          <w:lang w:bidi="ar-JO"/>
        </w:rPr>
        <w:t>و</w:t>
      </w:r>
      <w:r w:rsidR="00754FA9" w:rsidRPr="002273BC">
        <w:rPr>
          <w:rFonts w:ascii="Arabic Transparent" w:hAnsi="Arabic Transparent" w:cs="Arabic Transparent"/>
          <w:sz w:val="24"/>
          <w:szCs w:val="24"/>
          <w:rtl/>
          <w:lang w:bidi="ar-JO"/>
        </w:rPr>
        <w:t xml:space="preserve">البهوتي، منصور بن يونس بن صلاح الدين ابن حسن بن إدريس(1968). </w:t>
      </w:r>
      <w:r w:rsidR="00754FA9" w:rsidRPr="002273BC">
        <w:rPr>
          <w:rFonts w:ascii="Arabic Transparent" w:hAnsi="Arabic Transparent" w:cs="Arabic Transparent"/>
          <w:b/>
          <w:bCs/>
          <w:sz w:val="24"/>
          <w:szCs w:val="24"/>
          <w:rtl/>
          <w:lang w:bidi="ar-JO"/>
        </w:rPr>
        <w:t>كشاف القناع عن متن الإقناع</w:t>
      </w:r>
      <w:r w:rsidR="00754FA9" w:rsidRPr="002273BC">
        <w:rPr>
          <w:rFonts w:ascii="Arabic Transparent" w:hAnsi="Arabic Transparent" w:cs="Arabic Transparent" w:hint="cs"/>
          <w:sz w:val="24"/>
          <w:szCs w:val="24"/>
          <w:rtl/>
          <w:lang w:bidi="ar-JO"/>
        </w:rPr>
        <w:t xml:space="preserve">، ط1، </w:t>
      </w:r>
      <w:r w:rsidR="00754FA9" w:rsidRPr="002273BC">
        <w:rPr>
          <w:rFonts w:ascii="Arabic Transparent" w:hAnsi="Arabic Transparent" w:cs="Arabic Transparent"/>
          <w:sz w:val="24"/>
          <w:szCs w:val="24"/>
          <w:rtl/>
          <w:lang w:bidi="ar-JO"/>
        </w:rPr>
        <w:t>ج4، ص410. راجعه وعلّق عليه: هلال مصيلحي مصطفى هلال. الرياض: مكتبة النصر الحديثة</w:t>
      </w:r>
      <w:r w:rsidR="00754FA9" w:rsidRPr="002273BC">
        <w:rPr>
          <w:rFonts w:ascii="Arabic Transparent" w:hAnsi="Arabic Transparent" w:cs="Arabic Transparent" w:hint="cs"/>
          <w:sz w:val="24"/>
          <w:szCs w:val="24"/>
          <w:rtl/>
          <w:lang w:bidi="ar-JO"/>
        </w:rPr>
        <w:t>.</w:t>
      </w:r>
    </w:p>
  </w:footnote>
  <w:footnote w:id="546">
    <w:p w14:paraId="2D3C73C3"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sz w:val="24"/>
          <w:szCs w:val="24"/>
          <w:rtl/>
          <w:lang w:bidi="ar-JO"/>
        </w:rPr>
        <w:t xml:space="preserve">انظر: الكاساني، </w:t>
      </w:r>
      <w:r w:rsidRPr="002273BC">
        <w:rPr>
          <w:rFonts w:ascii="Arabic Transparent" w:hAnsi="Arabic Transparent" w:cs="Arabic Transparent"/>
          <w:b/>
          <w:bCs/>
          <w:sz w:val="24"/>
          <w:szCs w:val="24"/>
          <w:rtl/>
          <w:lang w:bidi="ar-JO"/>
        </w:rPr>
        <w:t>بدائع الصنائع</w:t>
      </w:r>
      <w:r w:rsidRPr="002273BC">
        <w:rPr>
          <w:rFonts w:ascii="Arabic Transparent" w:hAnsi="Arabic Transparent" w:cs="Arabic Transparent"/>
          <w:sz w:val="24"/>
          <w:szCs w:val="24"/>
          <w:rtl/>
          <w:lang w:bidi="ar-JO"/>
        </w:rPr>
        <w:t>، مصدر سابق، ج7، ص153</w:t>
      </w:r>
      <w:r w:rsidRPr="002273BC">
        <w:rPr>
          <w:rFonts w:ascii="Arabic Transparent" w:hAnsi="Arabic Transparent" w:cs="Arabic Transparent" w:hint="cs"/>
          <w:sz w:val="24"/>
          <w:szCs w:val="24"/>
          <w:rtl/>
          <w:lang w:bidi="ar-JO"/>
        </w:rPr>
        <w:t>.</w:t>
      </w:r>
    </w:p>
  </w:footnote>
  <w:footnote w:id="547">
    <w:p w14:paraId="0331BBB6"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sz w:val="24"/>
          <w:szCs w:val="24"/>
          <w:rtl/>
          <w:lang w:bidi="ar-JO"/>
        </w:rPr>
        <w:t xml:space="preserve">والنووي، </w:t>
      </w:r>
      <w:r w:rsidRPr="002273BC">
        <w:rPr>
          <w:rFonts w:ascii="Arabic Transparent" w:hAnsi="Arabic Transparent" w:cs="Arabic Transparent"/>
          <w:b/>
          <w:bCs/>
          <w:sz w:val="24"/>
          <w:szCs w:val="24"/>
          <w:rtl/>
          <w:lang w:bidi="ar-JO"/>
        </w:rPr>
        <w:t>المجموع شرح المهذب</w:t>
      </w:r>
      <w:r w:rsidRPr="002273BC">
        <w:rPr>
          <w:rFonts w:ascii="Arabic Transparent" w:hAnsi="Arabic Transparent" w:cs="Arabic Transparent"/>
          <w:sz w:val="24"/>
          <w:szCs w:val="24"/>
          <w:rtl/>
          <w:lang w:bidi="ar-JO"/>
        </w:rPr>
        <w:t>، مصدر سابق، ج9، ص262</w:t>
      </w:r>
      <w:r w:rsidRPr="002273BC">
        <w:rPr>
          <w:rFonts w:ascii="Arabic Transparent" w:hAnsi="Arabic Transparent" w:cs="Arabic Transparent" w:hint="cs"/>
          <w:sz w:val="24"/>
          <w:szCs w:val="24"/>
          <w:rtl/>
          <w:lang w:bidi="ar-JO"/>
        </w:rPr>
        <w:t>.</w:t>
      </w:r>
    </w:p>
  </w:footnote>
  <w:footnote w:id="548">
    <w:p w14:paraId="25FAED9D"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lang w:bidi="ar-JO"/>
        </w:rPr>
        <w:t xml:space="preserve">وابن قدامة، </w:t>
      </w:r>
      <w:r w:rsidRPr="002273BC">
        <w:rPr>
          <w:rFonts w:ascii="Arabic Transparent" w:hAnsi="Arabic Transparent" w:cs="Arabic Transparent" w:hint="cs"/>
          <w:b/>
          <w:bCs/>
          <w:sz w:val="24"/>
          <w:szCs w:val="24"/>
          <w:rtl/>
          <w:lang w:bidi="ar-JO"/>
        </w:rPr>
        <w:t>المغني</w:t>
      </w:r>
      <w:r w:rsidRPr="002273BC">
        <w:rPr>
          <w:rFonts w:ascii="Arabic Transparent" w:hAnsi="Arabic Transparent" w:cs="Arabic Transparent" w:hint="cs"/>
          <w:sz w:val="24"/>
          <w:szCs w:val="24"/>
          <w:rtl/>
          <w:lang w:bidi="ar-JO"/>
        </w:rPr>
        <w:t>، مصدر سابق، ج4، ص446.</w:t>
      </w:r>
    </w:p>
  </w:footnote>
  <w:footnote w:id="549">
    <w:p w14:paraId="267A783B"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الدسوقي، </w:t>
      </w:r>
      <w:r w:rsidRPr="002273BC">
        <w:rPr>
          <w:rFonts w:ascii="Arabic Transparent" w:hAnsi="Arabic Transparent" w:cs="Arabic Transparent" w:hint="cs"/>
          <w:b/>
          <w:bCs/>
          <w:sz w:val="24"/>
          <w:szCs w:val="24"/>
          <w:rtl/>
          <w:lang w:bidi="ar-JO"/>
        </w:rPr>
        <w:t>حاشية الدسوقي على مختصر المعاني</w:t>
      </w:r>
      <w:r w:rsidRPr="002273BC">
        <w:rPr>
          <w:rFonts w:ascii="Arabic Transparent" w:hAnsi="Arabic Transparent" w:cs="Arabic Transparent" w:hint="cs"/>
          <w:sz w:val="24"/>
          <w:szCs w:val="24"/>
          <w:rtl/>
          <w:lang w:bidi="ar-JO"/>
        </w:rPr>
        <w:t>، مصدر سابق، ج4، ص197.</w:t>
      </w:r>
    </w:p>
  </w:footnote>
  <w:footnote w:id="550">
    <w:p w14:paraId="436331E5" w14:textId="67BBB903"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أخرجه البخاري في صحيحه، </w:t>
      </w:r>
      <w:r w:rsidR="00754FA9" w:rsidRPr="002273BC">
        <w:rPr>
          <w:rFonts w:ascii="Arabic Transparent" w:hAnsi="Arabic Transparent" w:cs="Arabic Transparent" w:hint="cs"/>
          <w:b/>
          <w:bCs/>
          <w:sz w:val="24"/>
          <w:szCs w:val="24"/>
          <w:rtl/>
        </w:rPr>
        <w:t>صحيح البخاري،</w:t>
      </w:r>
      <w:r w:rsidR="00754FA9"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rPr>
        <w:t>مصدر سابق، كتاب الوصايا، باب: الوصية بالثلث، ج3، ص1007، ر2592.</w:t>
      </w:r>
    </w:p>
  </w:footnote>
  <w:footnote w:id="551">
    <w:p w14:paraId="4F7DFC73"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مجموعة من المؤلفين، </w:t>
      </w:r>
      <w:r w:rsidRPr="002273BC">
        <w:rPr>
          <w:rFonts w:ascii="Arabic Transparent" w:hAnsi="Arabic Transparent" w:cs="Arabic Transparent" w:hint="cs"/>
          <w:b/>
          <w:bCs/>
          <w:sz w:val="24"/>
          <w:szCs w:val="24"/>
          <w:rtl/>
          <w:lang w:bidi="ar-JO"/>
        </w:rPr>
        <w:t>فتاوى الشبكة الإسلامية</w:t>
      </w:r>
      <w:r w:rsidRPr="002273BC">
        <w:rPr>
          <w:rFonts w:ascii="Arabic Transparent" w:hAnsi="Arabic Transparent" w:cs="Arabic Transparent" w:hint="cs"/>
          <w:sz w:val="24"/>
          <w:szCs w:val="24"/>
          <w:rtl/>
          <w:lang w:bidi="ar-JO"/>
        </w:rPr>
        <w:t>، مصدر سابق، ج12، ص1028.</w:t>
      </w:r>
    </w:p>
  </w:footnote>
  <w:footnote w:id="552">
    <w:p w14:paraId="2F4AB4F3" w14:textId="31B00991"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ابن منظور، </w:t>
      </w:r>
      <w:r w:rsidRPr="002273BC">
        <w:rPr>
          <w:rFonts w:ascii="Arabic Transparent" w:hAnsi="Arabic Transparent" w:cs="Arabic Transparent" w:hint="cs"/>
          <w:b/>
          <w:bCs/>
          <w:sz w:val="24"/>
          <w:szCs w:val="24"/>
          <w:rtl/>
          <w:lang w:bidi="ar-JO"/>
        </w:rPr>
        <w:t>لسان العرب</w:t>
      </w:r>
      <w:r w:rsidRPr="002273BC">
        <w:rPr>
          <w:rFonts w:ascii="Arabic Transparent" w:hAnsi="Arabic Transparent" w:cs="Arabic Transparent" w:hint="cs"/>
          <w:sz w:val="24"/>
          <w:szCs w:val="24"/>
          <w:rtl/>
          <w:lang w:bidi="ar-JO"/>
        </w:rPr>
        <w:t xml:space="preserve">، مصدر سابق، </w:t>
      </w:r>
      <w:r w:rsidR="00C735E1">
        <w:rPr>
          <w:rFonts w:ascii="Arabic Transparent" w:hAnsi="Arabic Transparent" w:cs="Arabic Transparent" w:hint="cs"/>
          <w:sz w:val="24"/>
          <w:szCs w:val="24"/>
          <w:rtl/>
          <w:lang w:bidi="ar-JO"/>
        </w:rPr>
        <w:t>ج</w:t>
      </w:r>
      <w:r w:rsidRPr="002273BC">
        <w:rPr>
          <w:rFonts w:ascii="Arabic Transparent" w:hAnsi="Arabic Transparent" w:cs="Arabic Transparent" w:hint="cs"/>
          <w:sz w:val="24"/>
          <w:szCs w:val="24"/>
          <w:rtl/>
          <w:lang w:bidi="ar-JO"/>
        </w:rPr>
        <w:t>14، ص304.</w:t>
      </w:r>
    </w:p>
  </w:footnote>
  <w:footnote w:id="553">
    <w:p w14:paraId="600C9AB4"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ابن قدامة، </w:t>
      </w:r>
      <w:r w:rsidRPr="002273BC">
        <w:rPr>
          <w:rFonts w:ascii="Arabic Transparent" w:hAnsi="Arabic Transparent" w:cs="Arabic Transparent" w:hint="cs"/>
          <w:b/>
          <w:bCs/>
          <w:sz w:val="24"/>
          <w:szCs w:val="24"/>
          <w:rtl/>
          <w:lang w:bidi="ar-JO"/>
        </w:rPr>
        <w:t>المغني</w:t>
      </w:r>
      <w:r w:rsidRPr="002273BC">
        <w:rPr>
          <w:rFonts w:ascii="Arabic Transparent" w:hAnsi="Arabic Transparent" w:cs="Arabic Transparent" w:hint="cs"/>
          <w:sz w:val="24"/>
          <w:szCs w:val="24"/>
          <w:rtl/>
          <w:lang w:bidi="ar-JO"/>
        </w:rPr>
        <w:t>، مصدر سابق، ج6، ص51.</w:t>
      </w:r>
    </w:p>
  </w:footnote>
  <w:footnote w:id="554">
    <w:p w14:paraId="5E97CFB8" w14:textId="1A06810F"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أبو زهرة</w:t>
      </w:r>
      <w:r w:rsidR="00754FA9" w:rsidRPr="002273BC">
        <w:rPr>
          <w:rFonts w:ascii="Arabic Transparent" w:hAnsi="Arabic Transparent" w:cs="Arabic Transparent" w:hint="cs"/>
          <w:sz w:val="24"/>
          <w:szCs w:val="24"/>
          <w:rtl/>
          <w:lang w:bidi="ar-JO"/>
        </w:rPr>
        <w:t>،</w:t>
      </w:r>
      <w:r w:rsidRPr="002273BC">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b/>
          <w:bCs/>
          <w:sz w:val="24"/>
          <w:szCs w:val="24"/>
          <w:rtl/>
          <w:lang w:bidi="ar-JO"/>
        </w:rPr>
        <w:t>بحوث في الربا</w:t>
      </w:r>
      <w:r w:rsidRPr="002273BC">
        <w:rPr>
          <w:rFonts w:ascii="Arabic Transparent" w:hAnsi="Arabic Transparent" w:cs="Arabic Transparent" w:hint="cs"/>
          <w:sz w:val="24"/>
          <w:szCs w:val="24"/>
          <w:rtl/>
          <w:lang w:bidi="ar-JO"/>
        </w:rPr>
        <w:t xml:space="preserve">، </w:t>
      </w:r>
      <w:r w:rsidR="00754FA9" w:rsidRPr="002273BC">
        <w:rPr>
          <w:rFonts w:ascii="Arabic Transparent" w:hAnsi="Arabic Transparent" w:cs="Arabic Transparent" w:hint="cs"/>
          <w:sz w:val="24"/>
          <w:szCs w:val="24"/>
          <w:rtl/>
          <w:lang w:bidi="ar-JO"/>
        </w:rPr>
        <w:t>مصدر سابق،</w:t>
      </w:r>
      <w:r w:rsidRPr="002273BC">
        <w:rPr>
          <w:rFonts w:ascii="Arabic Transparent" w:hAnsi="Arabic Transparent" w:cs="Arabic Transparent" w:hint="cs"/>
          <w:sz w:val="24"/>
          <w:szCs w:val="24"/>
          <w:rtl/>
          <w:lang w:bidi="ar-JO"/>
        </w:rPr>
        <w:t xml:space="preserve"> ص16</w:t>
      </w:r>
      <w:r w:rsidR="00754FA9" w:rsidRPr="002273BC">
        <w:rPr>
          <w:rFonts w:ascii="Arabic Transparent" w:hAnsi="Arabic Transparent" w:cs="Arabic Transparent" w:hint="cs"/>
          <w:sz w:val="24"/>
          <w:szCs w:val="24"/>
          <w:rtl/>
          <w:lang w:bidi="ar-JO"/>
        </w:rPr>
        <w:t>.</w:t>
      </w:r>
      <w:r w:rsidRPr="002273BC">
        <w:rPr>
          <w:rFonts w:ascii="Arabic Transparent" w:hAnsi="Arabic Transparent" w:cs="Arabic Transparent" w:hint="cs"/>
          <w:sz w:val="24"/>
          <w:szCs w:val="24"/>
          <w:rtl/>
          <w:lang w:bidi="ar-JO"/>
        </w:rPr>
        <w:t xml:space="preserve"> </w:t>
      </w:r>
    </w:p>
  </w:footnote>
  <w:footnote w:id="555">
    <w:p w14:paraId="0108A801" w14:textId="1D851A4B"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00F20457">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sz w:val="24"/>
          <w:szCs w:val="24"/>
          <w:rtl/>
          <w:lang w:bidi="ar-JO"/>
        </w:rPr>
        <w:t xml:space="preserve">القرطبي، </w:t>
      </w:r>
      <w:r w:rsidRPr="002273BC">
        <w:rPr>
          <w:rFonts w:ascii="Arabic Transparent" w:hAnsi="Arabic Transparent" w:cs="Arabic Transparent" w:hint="cs"/>
          <w:b/>
          <w:bCs/>
          <w:sz w:val="24"/>
          <w:szCs w:val="24"/>
          <w:rtl/>
          <w:lang w:bidi="ar-JO"/>
        </w:rPr>
        <w:t>الجامع لأحكام القرآن</w:t>
      </w:r>
      <w:r w:rsidRPr="002273BC">
        <w:rPr>
          <w:rFonts w:ascii="Arabic Transparent" w:hAnsi="Arabic Transparent" w:cs="Arabic Transparent" w:hint="cs"/>
          <w:sz w:val="24"/>
          <w:szCs w:val="24"/>
          <w:rtl/>
          <w:lang w:bidi="ar-JO"/>
        </w:rPr>
        <w:t>، مصدر سابق، ج3، ص347.</w:t>
      </w:r>
    </w:p>
  </w:footnote>
  <w:footnote w:id="556">
    <w:p w14:paraId="4421DFE4" w14:textId="18BEB629"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lang w:bidi="ar-JO"/>
        </w:rPr>
        <w:t xml:space="preserve">الزحيلي، وهبة (1991). </w:t>
      </w:r>
      <w:r w:rsidRPr="002273BC">
        <w:rPr>
          <w:rFonts w:ascii="Arabic Transparent" w:hAnsi="Arabic Transparent" w:cs="Arabic Transparent" w:hint="cs"/>
          <w:b/>
          <w:bCs/>
          <w:sz w:val="24"/>
          <w:szCs w:val="24"/>
          <w:rtl/>
          <w:lang w:bidi="ar-JO"/>
        </w:rPr>
        <w:t>التفسير المنير في العقيدة والشريعة والمنهج</w:t>
      </w:r>
      <w:r w:rsidRPr="002273BC">
        <w:rPr>
          <w:rFonts w:ascii="Arabic Transparent" w:hAnsi="Arabic Transparent" w:cs="Arabic Transparent" w:hint="cs"/>
          <w:sz w:val="24"/>
          <w:szCs w:val="24"/>
          <w:rtl/>
          <w:lang w:bidi="ar-JO"/>
        </w:rPr>
        <w:t xml:space="preserve">. ط1. ج3، ص85، دار الفكر، دمشق؛ دار الفكر المعاصر، بيروت، وانظر: النسفي، أبو البركات عبد الله بن أحمد بن محمود حافظ الدين (1998). </w:t>
      </w:r>
      <w:r w:rsidRPr="002273BC">
        <w:rPr>
          <w:rFonts w:ascii="Arabic Transparent" w:hAnsi="Arabic Transparent" w:cs="Arabic Transparent" w:hint="cs"/>
          <w:b/>
          <w:bCs/>
          <w:sz w:val="24"/>
          <w:szCs w:val="24"/>
          <w:rtl/>
          <w:lang w:bidi="ar-JO"/>
        </w:rPr>
        <w:t>مدارك التنزيل وحقائق التأويل</w:t>
      </w:r>
      <w:r w:rsidRPr="002273BC">
        <w:rPr>
          <w:rFonts w:ascii="Arabic Transparent" w:hAnsi="Arabic Transparent" w:cs="Arabic Transparent" w:hint="cs"/>
          <w:sz w:val="24"/>
          <w:szCs w:val="24"/>
          <w:rtl/>
          <w:lang w:bidi="ar-JO"/>
        </w:rPr>
        <w:t>. حققه يوسف علي بديوي، راجعه محيي الدين ديب مستو. ط1، ج1، ص24، دار الكلم الطيب، بيروت.</w:t>
      </w:r>
    </w:p>
  </w:footnote>
  <w:footnote w:id="557">
    <w:p w14:paraId="62970A24"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رضا، </w:t>
      </w:r>
      <w:r w:rsidRPr="002273BC">
        <w:rPr>
          <w:rFonts w:ascii="Arabic Transparent" w:hAnsi="Arabic Transparent" w:cs="Arabic Transparent" w:hint="cs"/>
          <w:b/>
          <w:bCs/>
          <w:sz w:val="24"/>
          <w:szCs w:val="24"/>
          <w:rtl/>
          <w:lang w:bidi="ar-JO"/>
        </w:rPr>
        <w:t>تفسير المنار</w:t>
      </w:r>
      <w:r w:rsidRPr="002273BC">
        <w:rPr>
          <w:rFonts w:ascii="Arabic Transparent" w:hAnsi="Arabic Transparent" w:cs="Arabic Transparent" w:hint="cs"/>
          <w:sz w:val="24"/>
          <w:szCs w:val="24"/>
          <w:rtl/>
          <w:lang w:bidi="ar-JO"/>
        </w:rPr>
        <w:t>، مصدر سابق، ج4، ص102.</w:t>
      </w:r>
    </w:p>
  </w:footnote>
  <w:footnote w:id="558">
    <w:p w14:paraId="576CE3FD"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المصدر السابق ذاته ص 104.</w:t>
      </w:r>
    </w:p>
  </w:footnote>
  <w:footnote w:id="559">
    <w:p w14:paraId="077343BF"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البوطي، محمد سعيد رمضان (1994). </w:t>
      </w:r>
      <w:r w:rsidRPr="002273BC">
        <w:rPr>
          <w:rFonts w:ascii="Arabic Transparent" w:hAnsi="Arabic Transparent" w:cs="Arabic Transparent" w:hint="cs"/>
          <w:b/>
          <w:bCs/>
          <w:sz w:val="24"/>
          <w:szCs w:val="24"/>
          <w:rtl/>
          <w:lang w:bidi="ar-JO"/>
        </w:rPr>
        <w:t>قضايا فقهية معاصرة</w:t>
      </w:r>
      <w:r w:rsidRPr="002273BC">
        <w:rPr>
          <w:rFonts w:ascii="Arabic Transparent" w:hAnsi="Arabic Transparent" w:cs="Arabic Transparent" w:hint="cs"/>
          <w:sz w:val="24"/>
          <w:szCs w:val="24"/>
          <w:rtl/>
          <w:lang w:bidi="ar-JO"/>
        </w:rPr>
        <w:t>، ط5، ص67-80، مكتبة الفارابي، دمشق.</w:t>
      </w:r>
    </w:p>
  </w:footnote>
  <w:footnote w:id="560">
    <w:p w14:paraId="6BFA99E6" w14:textId="05470E65"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أخرجه مسلم في صحيحه، </w:t>
      </w:r>
      <w:r w:rsidR="00C735E1">
        <w:rPr>
          <w:rFonts w:ascii="Arabic Transparent" w:hAnsi="Arabic Transparent" w:cs="Arabic Transparent" w:hint="cs"/>
          <w:b/>
          <w:bCs/>
          <w:sz w:val="24"/>
          <w:szCs w:val="24"/>
          <w:rtl/>
          <w:lang w:bidi="ar-JO"/>
        </w:rPr>
        <w:t>صحيح مسلم</w:t>
      </w:r>
      <w:r w:rsidRPr="002273BC">
        <w:rPr>
          <w:rFonts w:ascii="Arabic Transparent" w:hAnsi="Arabic Transparent" w:cs="Arabic Transparent" w:hint="cs"/>
          <w:sz w:val="24"/>
          <w:szCs w:val="24"/>
          <w:rtl/>
          <w:lang w:bidi="ar-JO"/>
        </w:rPr>
        <w:t xml:space="preserve">، مصدر سابق، كتاب: البيوع، </w:t>
      </w:r>
      <w:r w:rsidRPr="002273BC">
        <w:rPr>
          <w:rFonts w:ascii="Arabic Transparent" w:hAnsi="Arabic Transparent" w:cs="Arabic Transparent"/>
          <w:sz w:val="24"/>
          <w:szCs w:val="24"/>
          <w:rtl/>
          <w:lang w:bidi="ar-JO"/>
        </w:rPr>
        <w:t>‌‌باب الصرف وبيع الذهب بالورق نقدا</w:t>
      </w:r>
      <w:r w:rsidRPr="002273BC">
        <w:rPr>
          <w:rFonts w:ascii="Arabic Transparent" w:hAnsi="Arabic Transparent" w:cs="Arabic Transparent" w:hint="cs"/>
          <w:sz w:val="24"/>
          <w:szCs w:val="24"/>
          <w:rtl/>
          <w:lang w:bidi="ar-JO"/>
        </w:rPr>
        <w:t>ً، ر1588، ج3، ص1212.</w:t>
      </w:r>
    </w:p>
  </w:footnote>
  <w:footnote w:id="561">
    <w:p w14:paraId="07EF1082"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انظر: النووي، </w:t>
      </w:r>
      <w:r w:rsidRPr="002273BC">
        <w:rPr>
          <w:rFonts w:ascii="Arabic Transparent" w:hAnsi="Arabic Transparent" w:cs="Arabic Transparent" w:hint="cs"/>
          <w:b/>
          <w:bCs/>
          <w:sz w:val="24"/>
          <w:szCs w:val="24"/>
          <w:rtl/>
          <w:lang w:bidi="ar-JO"/>
        </w:rPr>
        <w:t>المنهاج شرح صحيح مسلم</w:t>
      </w:r>
      <w:r w:rsidRPr="002273BC">
        <w:rPr>
          <w:rFonts w:ascii="Arabic Transparent" w:hAnsi="Arabic Transparent" w:cs="Arabic Transparent" w:hint="cs"/>
          <w:sz w:val="24"/>
          <w:szCs w:val="24"/>
          <w:rtl/>
          <w:lang w:bidi="ar-JO"/>
        </w:rPr>
        <w:t>، مصدر سابق، ج4، ص323.</w:t>
      </w:r>
    </w:p>
  </w:footnote>
  <w:footnote w:id="562">
    <w:p w14:paraId="7958F9C1" w14:textId="335D67EE"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أخرجه مسلم في صحيحه</w:t>
      </w:r>
      <w:r w:rsidRPr="00C735E1">
        <w:rPr>
          <w:rFonts w:ascii="Arabic Transparent" w:hAnsi="Arabic Transparent" w:cs="Arabic Transparent" w:hint="cs"/>
          <w:b/>
          <w:bCs/>
          <w:sz w:val="24"/>
          <w:szCs w:val="24"/>
          <w:rtl/>
          <w:lang w:bidi="ar-JO"/>
        </w:rPr>
        <w:t xml:space="preserve">، </w:t>
      </w:r>
      <w:r w:rsidR="00C735E1" w:rsidRPr="00C735E1">
        <w:rPr>
          <w:rFonts w:ascii="Arabic Transparent" w:hAnsi="Arabic Transparent" w:cs="Arabic Transparent"/>
          <w:b/>
          <w:bCs/>
          <w:sz w:val="24"/>
          <w:szCs w:val="24"/>
          <w:rtl/>
          <w:lang w:bidi="ar-JO"/>
        </w:rPr>
        <w:t>صحيح مسلم،</w:t>
      </w:r>
      <w:r w:rsidR="00C735E1" w:rsidRPr="00C735E1">
        <w:rPr>
          <w:rFonts w:ascii="Arabic Transparent" w:hAnsi="Arabic Transparent" w:cs="Arabic Transparent"/>
          <w:sz w:val="24"/>
          <w:szCs w:val="24"/>
          <w:rtl/>
          <w:lang w:bidi="ar-JO"/>
        </w:rPr>
        <w:t xml:space="preserve"> </w:t>
      </w:r>
      <w:r w:rsidR="00C735E1">
        <w:rPr>
          <w:rFonts w:ascii="Arabic Transparent" w:hAnsi="Arabic Transparent" w:cs="Arabic Transparent" w:hint="cs"/>
          <w:sz w:val="24"/>
          <w:szCs w:val="24"/>
          <w:rtl/>
          <w:lang w:bidi="ar-JO"/>
        </w:rPr>
        <w:t>مصدر سابق</w:t>
      </w:r>
      <w:r w:rsidRPr="002273BC">
        <w:rPr>
          <w:rFonts w:ascii="Arabic Transparent" w:hAnsi="Arabic Transparent" w:cs="Arabic Transparent" w:hint="cs"/>
          <w:b/>
          <w:bCs/>
          <w:sz w:val="24"/>
          <w:szCs w:val="24"/>
          <w:rtl/>
          <w:lang w:bidi="ar-JO"/>
        </w:rPr>
        <w:t xml:space="preserve">، </w:t>
      </w:r>
      <w:r w:rsidRPr="002273BC">
        <w:rPr>
          <w:rFonts w:ascii="Arabic Transparent" w:hAnsi="Arabic Transparent" w:cs="Arabic Transparent" w:hint="cs"/>
          <w:sz w:val="24"/>
          <w:szCs w:val="24"/>
          <w:rtl/>
          <w:lang w:bidi="ar-JO"/>
        </w:rPr>
        <w:t xml:space="preserve">كتاب: البيوع، باب: </w:t>
      </w:r>
      <w:r w:rsidRPr="002273BC">
        <w:rPr>
          <w:rFonts w:ascii="Arabic Transparent" w:hAnsi="Arabic Transparent" w:cs="Arabic Transparent"/>
          <w:sz w:val="24"/>
          <w:szCs w:val="24"/>
          <w:rtl/>
          <w:lang w:bidi="ar-JO"/>
        </w:rPr>
        <w:t>‌‌باب الصرف وبيع الذهب بالورق نقدا</w:t>
      </w:r>
      <w:r w:rsidRPr="002273BC">
        <w:rPr>
          <w:rFonts w:ascii="Arabic Transparent" w:hAnsi="Arabic Transparent" w:cs="Arabic Transparent" w:hint="cs"/>
          <w:sz w:val="24"/>
          <w:szCs w:val="24"/>
          <w:rtl/>
          <w:lang w:bidi="ar-JO"/>
        </w:rPr>
        <w:t>ً، ر1587، ج3، ص1211.</w:t>
      </w:r>
    </w:p>
  </w:footnote>
  <w:footnote w:id="563">
    <w:p w14:paraId="65725999"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sz w:val="24"/>
          <w:szCs w:val="24"/>
          <w:rtl/>
          <w:lang w:bidi="ar-JO"/>
        </w:rPr>
        <w:t xml:space="preserve">انظر: النووي، </w:t>
      </w:r>
      <w:r w:rsidRPr="002273BC">
        <w:rPr>
          <w:rFonts w:ascii="Arabic Transparent" w:hAnsi="Arabic Transparent" w:cs="Arabic Transparent"/>
          <w:b/>
          <w:bCs/>
          <w:sz w:val="24"/>
          <w:szCs w:val="24"/>
          <w:rtl/>
          <w:lang w:bidi="ar-JO"/>
        </w:rPr>
        <w:t>المنهاج شرح صحيح مسلم</w:t>
      </w:r>
      <w:r w:rsidRPr="002273BC">
        <w:rPr>
          <w:rFonts w:ascii="Arabic Transparent" w:hAnsi="Arabic Transparent" w:cs="Arabic Transparent"/>
          <w:sz w:val="24"/>
          <w:szCs w:val="24"/>
          <w:rtl/>
          <w:lang w:bidi="ar-JO"/>
        </w:rPr>
        <w:t>، مصدر سابق، ج4، ص32</w:t>
      </w:r>
      <w:r w:rsidRPr="002273BC">
        <w:rPr>
          <w:rFonts w:ascii="Arabic Transparent" w:hAnsi="Arabic Transparent" w:cs="Arabic Transparent" w:hint="cs"/>
          <w:sz w:val="24"/>
          <w:szCs w:val="24"/>
          <w:rtl/>
          <w:lang w:bidi="ar-JO"/>
        </w:rPr>
        <w:t>4</w:t>
      </w:r>
      <w:r w:rsidRPr="002273BC">
        <w:rPr>
          <w:rFonts w:ascii="Arabic Transparent" w:hAnsi="Arabic Transparent" w:cs="Arabic Transparent"/>
          <w:sz w:val="24"/>
          <w:szCs w:val="24"/>
          <w:rtl/>
          <w:lang w:bidi="ar-JO"/>
        </w:rPr>
        <w:t>.</w:t>
      </w:r>
    </w:p>
  </w:footnote>
  <w:footnote w:id="564">
    <w:p w14:paraId="6EE41F6A"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ابن عبد البر، أبو عمر يوسف بن عبد الله بن محمد النمري القرطبي (1967). </w:t>
      </w:r>
      <w:r w:rsidRPr="002273BC">
        <w:rPr>
          <w:rFonts w:ascii="Arabic Transparent" w:hAnsi="Arabic Transparent" w:cs="Arabic Transparent" w:hint="cs"/>
          <w:b/>
          <w:bCs/>
          <w:sz w:val="24"/>
          <w:szCs w:val="24"/>
          <w:rtl/>
          <w:lang w:bidi="ar-JO"/>
        </w:rPr>
        <w:t>التمهيد لما في الموطأ من المعاني والأسانيد.</w:t>
      </w:r>
      <w:r w:rsidRPr="002273BC">
        <w:rPr>
          <w:rFonts w:ascii="Arabic Transparent" w:hAnsi="Arabic Transparent" w:cs="Arabic Transparent" w:hint="cs"/>
          <w:sz w:val="24"/>
          <w:szCs w:val="24"/>
          <w:rtl/>
          <w:lang w:bidi="ar-JO"/>
        </w:rPr>
        <w:t xml:space="preserve"> تحقيق مصطفى بن أحمد العلوي، (د.ط) ج4، ص68، وزارة عموم الأوقاف والشؤون الإسلامية، المغرب، والقرطبي، </w:t>
      </w:r>
      <w:r w:rsidRPr="002273BC">
        <w:rPr>
          <w:rFonts w:ascii="Arabic Transparent" w:hAnsi="Arabic Transparent" w:cs="Arabic Transparent" w:hint="cs"/>
          <w:b/>
          <w:bCs/>
          <w:sz w:val="24"/>
          <w:szCs w:val="24"/>
          <w:rtl/>
          <w:lang w:bidi="ar-JO"/>
        </w:rPr>
        <w:t>الجامع لأحكام القرآن،</w:t>
      </w:r>
      <w:r w:rsidRPr="002273BC">
        <w:rPr>
          <w:rFonts w:ascii="Arabic Transparent" w:hAnsi="Arabic Transparent" w:cs="Arabic Transparent" w:hint="cs"/>
          <w:sz w:val="24"/>
          <w:szCs w:val="24"/>
          <w:rtl/>
          <w:lang w:bidi="ar-JO"/>
        </w:rPr>
        <w:t xml:space="preserve"> مصدر سابق، ج3، ص243.</w:t>
      </w:r>
    </w:p>
  </w:footnote>
  <w:footnote w:id="565">
    <w:p w14:paraId="409627BC"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ابن قدمة، </w:t>
      </w:r>
      <w:r w:rsidRPr="002273BC">
        <w:rPr>
          <w:rFonts w:ascii="Arabic Transparent" w:hAnsi="Arabic Transparent" w:cs="Arabic Transparent" w:hint="cs"/>
          <w:b/>
          <w:bCs/>
          <w:sz w:val="24"/>
          <w:szCs w:val="24"/>
          <w:rtl/>
          <w:lang w:bidi="ar-JO"/>
        </w:rPr>
        <w:t xml:space="preserve">المغني، </w:t>
      </w:r>
      <w:r w:rsidRPr="002273BC">
        <w:rPr>
          <w:rFonts w:ascii="Arabic Transparent" w:hAnsi="Arabic Transparent" w:cs="Arabic Transparent" w:hint="cs"/>
          <w:sz w:val="24"/>
          <w:szCs w:val="24"/>
          <w:rtl/>
          <w:lang w:bidi="ar-JO"/>
        </w:rPr>
        <w:t>مصدر سابق، ج2، ص853.</w:t>
      </w:r>
    </w:p>
  </w:footnote>
  <w:footnote w:id="566">
    <w:p w14:paraId="5B7F2572" w14:textId="32592500"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ابن المنذر، أبو بكر محمد بن إبراهيم بن المنذر النيسابوري (2004). </w:t>
      </w:r>
      <w:r w:rsidRPr="002273BC">
        <w:rPr>
          <w:rFonts w:ascii="Arabic Transparent" w:hAnsi="Arabic Transparent" w:cs="Arabic Transparent" w:hint="cs"/>
          <w:b/>
          <w:bCs/>
          <w:sz w:val="24"/>
          <w:szCs w:val="24"/>
          <w:rtl/>
          <w:lang w:bidi="ar-JO"/>
        </w:rPr>
        <w:t>الإجماع</w:t>
      </w:r>
      <w:r w:rsidRPr="002273BC">
        <w:rPr>
          <w:rFonts w:ascii="Arabic Transparent" w:hAnsi="Arabic Transparent" w:cs="Arabic Transparent" w:hint="cs"/>
          <w:sz w:val="24"/>
          <w:szCs w:val="24"/>
          <w:rtl/>
          <w:lang w:bidi="ar-JO"/>
        </w:rPr>
        <w:t>، تحقيق أبو عبد الأعلى خالد بن محمد بن عثمان. ط1، ر508، ص109، دار الآثار للنشر والتوزيع، القاهرة.</w:t>
      </w:r>
    </w:p>
  </w:footnote>
  <w:footnote w:id="567">
    <w:p w14:paraId="37CC7190" w14:textId="69DA45D0"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النووي، </w:t>
      </w:r>
      <w:r w:rsidR="00754FA9" w:rsidRPr="002273BC">
        <w:rPr>
          <w:rFonts w:ascii="Arabic Transparent" w:hAnsi="Arabic Transparent" w:cs="Arabic Transparent"/>
          <w:b/>
          <w:bCs/>
          <w:sz w:val="24"/>
          <w:szCs w:val="24"/>
          <w:rtl/>
          <w:lang w:bidi="ar-JO"/>
        </w:rPr>
        <w:t xml:space="preserve">المنهاج شرح صحيح مسلم </w:t>
      </w:r>
      <w:r w:rsidRPr="002273BC">
        <w:rPr>
          <w:rFonts w:ascii="Arabic Transparent" w:hAnsi="Arabic Transparent" w:cs="Arabic Transparent" w:hint="cs"/>
          <w:sz w:val="24"/>
          <w:szCs w:val="24"/>
          <w:rtl/>
          <w:lang w:bidi="ar-JO"/>
        </w:rPr>
        <w:t>مصدر سابق، ج11، ص9.</w:t>
      </w:r>
    </w:p>
  </w:footnote>
  <w:footnote w:id="568">
    <w:p w14:paraId="392D7169" w14:textId="77777777" w:rsidR="004E383D" w:rsidRPr="002273BC" w:rsidRDefault="004E383D" w:rsidP="00EA3738">
      <w:pPr>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مجموعة من المؤلفين (2009)، </w:t>
      </w:r>
      <w:r w:rsidRPr="002273BC">
        <w:rPr>
          <w:rFonts w:ascii="Arabic Transparent" w:hAnsi="Arabic Transparent" w:cs="Arabic Transparent" w:hint="cs"/>
          <w:b/>
          <w:bCs/>
          <w:sz w:val="24"/>
          <w:szCs w:val="24"/>
          <w:rtl/>
        </w:rPr>
        <w:t>كتاب فتاوى الشبكة الإسلامية</w:t>
      </w:r>
      <w:r w:rsidRPr="002273BC">
        <w:rPr>
          <w:rFonts w:ascii="Arabic Transparent" w:hAnsi="Arabic Transparent" w:cs="Arabic Transparent" w:hint="cs"/>
          <w:sz w:val="24"/>
          <w:szCs w:val="24"/>
          <w:rtl/>
        </w:rPr>
        <w:t xml:space="preserve">، ج12، ص١٥٢٢، ر٦١٦١٦، تم الاطلاع عليه 22/1/2026. </w:t>
      </w:r>
      <w:r w:rsidRPr="002273BC">
        <w:rPr>
          <w:rFonts w:ascii="Arabic Transparent" w:hAnsi="Arabic Transparent" w:cs="Arabic Transparent" w:hint="cs"/>
          <w:sz w:val="24"/>
          <w:szCs w:val="24"/>
        </w:rPr>
        <w:t>http://www.islamweb.net</w:t>
      </w:r>
      <w:r w:rsidRPr="002273BC">
        <w:rPr>
          <w:rFonts w:ascii="Arabic Transparent" w:hAnsi="Arabic Transparent" w:cs="Arabic Transparent" w:hint="cs"/>
          <w:sz w:val="24"/>
          <w:szCs w:val="24"/>
          <w:rtl/>
        </w:rPr>
        <w:t>.</w:t>
      </w:r>
    </w:p>
  </w:footnote>
  <w:footnote w:id="569">
    <w:p w14:paraId="1F64A9A8"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sz w:val="24"/>
          <w:szCs w:val="24"/>
          <w:rtl/>
          <w:lang w:bidi="ar-JO"/>
        </w:rPr>
        <w:t>المرغيناني</w:t>
      </w:r>
      <w:r w:rsidRPr="002273BC">
        <w:rPr>
          <w:rFonts w:ascii="Arabic Transparent" w:hAnsi="Arabic Transparent" w:cs="Arabic Transparent" w:hint="cs"/>
          <w:sz w:val="24"/>
          <w:szCs w:val="24"/>
          <w:rtl/>
          <w:lang w:bidi="ar-JO"/>
        </w:rPr>
        <w:t xml:space="preserve">، </w:t>
      </w:r>
      <w:r w:rsidRPr="002273BC">
        <w:rPr>
          <w:rFonts w:ascii="Arabic Transparent" w:hAnsi="Arabic Transparent" w:cs="Arabic Transparent"/>
          <w:b/>
          <w:bCs/>
          <w:sz w:val="24"/>
          <w:szCs w:val="24"/>
          <w:rtl/>
          <w:lang w:bidi="ar-JO"/>
        </w:rPr>
        <w:t>الهداية في شرح بداية المبتدي</w:t>
      </w:r>
      <w:r w:rsidRPr="002273BC">
        <w:rPr>
          <w:rFonts w:ascii="Arabic Transparent" w:hAnsi="Arabic Transparent" w:cs="Arabic Transparent" w:hint="cs"/>
          <w:sz w:val="24"/>
          <w:szCs w:val="24"/>
          <w:rtl/>
          <w:lang w:bidi="ar-JO"/>
        </w:rPr>
        <w:t>، مصدر سابق، ج2، ص293.</w:t>
      </w:r>
    </w:p>
  </w:footnote>
  <w:footnote w:id="570">
    <w:p w14:paraId="73CD43B5" w14:textId="15837538"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البغوي، </w:t>
      </w:r>
      <w:r w:rsidRPr="002273BC">
        <w:rPr>
          <w:rFonts w:ascii="Arabic Transparent" w:hAnsi="Arabic Transparent" w:cs="Arabic Transparent" w:hint="cs"/>
          <w:b/>
          <w:bCs/>
          <w:sz w:val="24"/>
          <w:szCs w:val="24"/>
          <w:rtl/>
          <w:lang w:bidi="ar-JO"/>
        </w:rPr>
        <w:t>تفسير البغوي</w:t>
      </w:r>
      <w:r w:rsidR="00754FA9" w:rsidRPr="002273BC">
        <w:rPr>
          <w:rFonts w:ascii="Arabic Transparent" w:hAnsi="Arabic Transparent" w:cs="Arabic Transparent" w:hint="cs"/>
          <w:sz w:val="24"/>
          <w:szCs w:val="24"/>
          <w:rtl/>
          <w:lang w:bidi="ar-JO"/>
        </w:rPr>
        <w:t>، مصدر سابق،</w:t>
      </w:r>
      <w:r w:rsidRPr="002273BC">
        <w:rPr>
          <w:rFonts w:ascii="Arabic Transparent" w:hAnsi="Arabic Transparent" w:cs="Arabic Transparent" w:hint="cs"/>
          <w:sz w:val="24"/>
          <w:szCs w:val="24"/>
          <w:rtl/>
          <w:lang w:bidi="ar-JO"/>
        </w:rPr>
        <w:t>. ج1، ص281</w:t>
      </w:r>
      <w:r w:rsidR="00754FA9" w:rsidRPr="002273BC">
        <w:rPr>
          <w:rFonts w:ascii="Arabic Transparent" w:hAnsi="Arabic Transparent" w:cs="Arabic Transparent" w:hint="cs"/>
          <w:sz w:val="24"/>
          <w:szCs w:val="24"/>
          <w:rtl/>
          <w:lang w:bidi="ar-JO"/>
        </w:rPr>
        <w:t>.</w:t>
      </w:r>
    </w:p>
  </w:footnote>
  <w:footnote w:id="571">
    <w:p w14:paraId="24AB6101"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ابن منظور، </w:t>
      </w:r>
      <w:r w:rsidRPr="002273BC">
        <w:rPr>
          <w:rFonts w:ascii="Arabic Transparent" w:hAnsi="Arabic Transparent" w:cs="Arabic Transparent" w:hint="cs"/>
          <w:b/>
          <w:bCs/>
          <w:sz w:val="24"/>
          <w:szCs w:val="24"/>
          <w:rtl/>
          <w:lang w:bidi="ar-JO"/>
        </w:rPr>
        <w:t>لسان العرب</w:t>
      </w:r>
      <w:r w:rsidRPr="002273BC">
        <w:rPr>
          <w:rFonts w:ascii="Arabic Transparent" w:hAnsi="Arabic Transparent" w:cs="Arabic Transparent" w:hint="cs"/>
          <w:sz w:val="24"/>
          <w:szCs w:val="24"/>
          <w:rtl/>
          <w:lang w:bidi="ar-JO"/>
        </w:rPr>
        <w:t xml:space="preserve">، مصدر سابق، ج9، ص222، والكفوي، </w:t>
      </w:r>
      <w:r w:rsidRPr="002273BC">
        <w:rPr>
          <w:rFonts w:ascii="Arabic Transparent" w:hAnsi="Arabic Transparent" w:cs="Arabic Transparent" w:hint="cs"/>
          <w:b/>
          <w:bCs/>
          <w:sz w:val="24"/>
          <w:szCs w:val="24"/>
          <w:rtl/>
          <w:lang w:bidi="ar-JO"/>
        </w:rPr>
        <w:t>الكليات</w:t>
      </w:r>
      <w:r w:rsidRPr="002273BC">
        <w:rPr>
          <w:rFonts w:ascii="Arabic Transparent" w:hAnsi="Arabic Transparent" w:cs="Arabic Transparent" w:hint="cs"/>
          <w:sz w:val="24"/>
          <w:szCs w:val="24"/>
          <w:rtl/>
          <w:lang w:bidi="ar-JO"/>
        </w:rPr>
        <w:t>، مصدر سابق، ص884.</w:t>
      </w:r>
    </w:p>
  </w:footnote>
  <w:footnote w:id="572">
    <w:p w14:paraId="5DB52CB7" w14:textId="77F3562D"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00F20457">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sz w:val="24"/>
          <w:szCs w:val="24"/>
          <w:rtl/>
          <w:lang w:bidi="ar-JO"/>
        </w:rPr>
        <w:t xml:space="preserve">ابن عاشور، </w:t>
      </w:r>
      <w:r w:rsidRPr="002273BC">
        <w:rPr>
          <w:rFonts w:ascii="Arabic Transparent" w:hAnsi="Arabic Transparent" w:cs="Arabic Transparent" w:hint="cs"/>
          <w:b/>
          <w:bCs/>
          <w:sz w:val="24"/>
          <w:szCs w:val="24"/>
          <w:rtl/>
          <w:lang w:bidi="ar-JO"/>
        </w:rPr>
        <w:t>تفسير التحرير والتنوير</w:t>
      </w:r>
      <w:r w:rsidRPr="002273BC">
        <w:rPr>
          <w:rFonts w:ascii="Arabic Transparent" w:hAnsi="Arabic Transparent" w:cs="Arabic Transparent" w:hint="cs"/>
          <w:sz w:val="24"/>
          <w:szCs w:val="24"/>
          <w:rtl/>
          <w:lang w:bidi="ar-JO"/>
        </w:rPr>
        <w:t>، مصدر سابق، ج30، ص187.</w:t>
      </w:r>
    </w:p>
  </w:footnote>
  <w:footnote w:id="573">
    <w:p w14:paraId="0A816205" w14:textId="77777777" w:rsidR="004E383D" w:rsidRPr="002273BC" w:rsidRDefault="004E383D" w:rsidP="00EA3738">
      <w:pPr>
        <w:pStyle w:val="FootnoteText"/>
        <w:spacing w:line="360" w:lineRule="auto"/>
        <w:jc w:val="both"/>
        <w:rPr>
          <w:rFonts w:ascii="Arabic Transparent" w:hAnsi="Arabic Transparent" w:cs="Arabic Transparent"/>
          <w:sz w:val="24"/>
          <w:szCs w:val="24"/>
          <w:rtl/>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الزحيلي، </w:t>
      </w:r>
      <w:r w:rsidRPr="002273BC">
        <w:rPr>
          <w:rFonts w:ascii="Arabic Transparent" w:hAnsi="Arabic Transparent" w:cs="Arabic Transparent"/>
          <w:b/>
          <w:bCs/>
          <w:sz w:val="24"/>
          <w:szCs w:val="24"/>
          <w:rtl/>
        </w:rPr>
        <w:t>التفسير المنير في العقيدة والشريعة والمنهج</w:t>
      </w:r>
      <w:r w:rsidRPr="002273BC">
        <w:rPr>
          <w:rFonts w:ascii="Arabic Transparent" w:hAnsi="Arabic Transparent" w:cs="Arabic Transparent" w:hint="cs"/>
          <w:sz w:val="24"/>
          <w:szCs w:val="24"/>
          <w:rtl/>
        </w:rPr>
        <w:t>، مصدر سابق، ج12، ص126.</w:t>
      </w:r>
    </w:p>
  </w:footnote>
  <w:footnote w:id="574">
    <w:p w14:paraId="2099FEC2"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انظر: السمرقندي، </w:t>
      </w:r>
      <w:r w:rsidRPr="002273BC">
        <w:rPr>
          <w:rFonts w:ascii="Arabic Transparent" w:hAnsi="Arabic Transparent" w:cs="Arabic Transparent" w:hint="cs"/>
          <w:b/>
          <w:bCs/>
          <w:sz w:val="24"/>
          <w:szCs w:val="24"/>
          <w:rtl/>
          <w:lang w:bidi="ar-JO"/>
        </w:rPr>
        <w:t>تفسير بحر العلوم،</w:t>
      </w:r>
      <w:r w:rsidRPr="002273BC">
        <w:rPr>
          <w:rFonts w:ascii="Arabic Transparent" w:hAnsi="Arabic Transparent" w:cs="Arabic Transparent" w:hint="cs"/>
          <w:sz w:val="24"/>
          <w:szCs w:val="24"/>
          <w:rtl/>
          <w:lang w:bidi="ar-JO"/>
        </w:rPr>
        <w:t xml:space="preserve"> مصدر سابق، ج1، ص125.</w:t>
      </w:r>
    </w:p>
  </w:footnote>
  <w:footnote w:id="575">
    <w:p w14:paraId="4ECF2102"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السفياني، إبراهيم بن علي (2025). </w:t>
      </w:r>
      <w:r w:rsidRPr="002273BC">
        <w:rPr>
          <w:rFonts w:ascii="Arabic Transparent" w:hAnsi="Arabic Transparent" w:cs="Arabic Transparent" w:hint="cs"/>
          <w:b/>
          <w:bCs/>
          <w:sz w:val="24"/>
          <w:szCs w:val="24"/>
          <w:rtl/>
          <w:lang w:bidi="ar-JO"/>
        </w:rPr>
        <w:t>"أكل أموال الناس بالباطل - دراسة فقهية تطبيقية معاصرة"</w:t>
      </w:r>
      <w:r w:rsidRPr="002273BC">
        <w:rPr>
          <w:rFonts w:ascii="Arabic Transparent" w:hAnsi="Arabic Transparent" w:cs="Arabic Transparent" w:hint="cs"/>
          <w:sz w:val="24"/>
          <w:szCs w:val="24"/>
          <w:rtl/>
          <w:lang w:bidi="ar-JO"/>
        </w:rPr>
        <w:t>، مجلة العلوم الإسلامية، ص253 كلية العلوم الإسلامية، جامعة الوادي، الجزائر.</w:t>
      </w:r>
    </w:p>
  </w:footnote>
  <w:footnote w:id="576">
    <w:p w14:paraId="7B321CF8" w14:textId="5889CC11"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00283210">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sz w:val="24"/>
          <w:szCs w:val="24"/>
          <w:rtl/>
          <w:lang w:bidi="ar-JO"/>
        </w:rPr>
        <w:t xml:space="preserve">أبو حيان، </w:t>
      </w:r>
      <w:r w:rsidRPr="002273BC">
        <w:rPr>
          <w:rFonts w:ascii="Arabic Transparent" w:hAnsi="Arabic Transparent" w:cs="Arabic Transparent" w:hint="cs"/>
          <w:b/>
          <w:bCs/>
          <w:sz w:val="24"/>
          <w:szCs w:val="24"/>
          <w:rtl/>
          <w:lang w:bidi="ar-JO"/>
        </w:rPr>
        <w:t>البحر المحيط في التفسير</w:t>
      </w:r>
      <w:r w:rsidRPr="002273BC">
        <w:rPr>
          <w:rFonts w:ascii="Arabic Transparent" w:hAnsi="Arabic Transparent" w:cs="Arabic Transparent" w:hint="cs"/>
          <w:sz w:val="24"/>
          <w:szCs w:val="24"/>
          <w:rtl/>
          <w:lang w:bidi="ar-JO"/>
        </w:rPr>
        <w:t>، مصدر سابق، ج2، ص229.</w:t>
      </w:r>
    </w:p>
  </w:footnote>
  <w:footnote w:id="577">
    <w:p w14:paraId="0A6F207F"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ابن النجار، </w:t>
      </w:r>
      <w:r w:rsidRPr="002273BC">
        <w:rPr>
          <w:rFonts w:ascii="Arabic Transparent" w:hAnsi="Arabic Transparent" w:cs="Arabic Transparent" w:hint="cs"/>
          <w:b/>
          <w:bCs/>
          <w:sz w:val="24"/>
          <w:szCs w:val="24"/>
          <w:rtl/>
          <w:lang w:bidi="ar-JO"/>
        </w:rPr>
        <w:t>شرح الكوكب المنير</w:t>
      </w:r>
      <w:r w:rsidRPr="002273BC">
        <w:rPr>
          <w:rFonts w:ascii="Arabic Transparent" w:hAnsi="Arabic Transparent" w:cs="Arabic Transparent" w:hint="cs"/>
          <w:sz w:val="24"/>
          <w:szCs w:val="24"/>
          <w:rtl/>
          <w:lang w:bidi="ar-JO"/>
        </w:rPr>
        <w:t>، مصدر سابق، ج1، ص50.</w:t>
      </w:r>
    </w:p>
  </w:footnote>
  <w:footnote w:id="578">
    <w:p w14:paraId="00EBF717" w14:textId="77777777" w:rsidR="00283210" w:rsidRPr="002273BC" w:rsidRDefault="00283210"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شبير، </w:t>
      </w:r>
      <w:r w:rsidRPr="002273BC">
        <w:rPr>
          <w:rFonts w:ascii="Arabic Transparent" w:hAnsi="Arabic Transparent" w:cs="Arabic Transparent" w:hint="cs"/>
          <w:b/>
          <w:bCs/>
          <w:sz w:val="24"/>
          <w:szCs w:val="24"/>
          <w:rtl/>
          <w:lang w:bidi="ar-JO"/>
        </w:rPr>
        <w:t>التكييف الفقهي للوقائع المستجدة وتطبيقاته الفقهية،</w:t>
      </w:r>
      <w:r w:rsidRPr="002273BC">
        <w:rPr>
          <w:rFonts w:ascii="Arabic Transparent" w:hAnsi="Arabic Transparent" w:cs="Arabic Transparent" w:hint="cs"/>
          <w:sz w:val="24"/>
          <w:szCs w:val="24"/>
          <w:rtl/>
          <w:lang w:bidi="ar-JO"/>
        </w:rPr>
        <w:t xml:space="preserve"> مصدر سابق، ص54.</w:t>
      </w:r>
    </w:p>
  </w:footnote>
  <w:footnote w:id="579">
    <w:p w14:paraId="643E6354"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انظر: المحمد، </w:t>
      </w:r>
      <w:r w:rsidRPr="002273BC">
        <w:rPr>
          <w:rFonts w:ascii="Arabic Transparent" w:hAnsi="Arabic Transparent" w:cs="Arabic Transparent" w:hint="cs"/>
          <w:b/>
          <w:bCs/>
          <w:sz w:val="24"/>
          <w:szCs w:val="24"/>
          <w:rtl/>
          <w:lang w:bidi="ar-JO"/>
        </w:rPr>
        <w:t>تحقيق المناط الخاص وأثره في تنزيل الحكم الشرعي على محله،</w:t>
      </w:r>
      <w:r w:rsidRPr="002273BC">
        <w:rPr>
          <w:rFonts w:ascii="Arabic Transparent" w:hAnsi="Arabic Transparent" w:cs="Arabic Transparent" w:hint="cs"/>
          <w:sz w:val="24"/>
          <w:szCs w:val="24"/>
          <w:rtl/>
          <w:lang w:bidi="ar-JO"/>
        </w:rPr>
        <w:t xml:space="preserve"> مصدر سابق، ص36.</w:t>
      </w:r>
    </w:p>
  </w:footnote>
  <w:footnote w:id="580">
    <w:p w14:paraId="48757A63"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المنهج التسويغي، هو المنهج الذي يستعمله البعض من أجل تسويغ الحكم الشرعي الذي يريده للواقعة المعاصرة وهو من المناهج التي تخالف المناهج المعتبرة لدى الفقهاء، انظر: </w:t>
      </w:r>
      <w:r w:rsidRPr="002273BC">
        <w:rPr>
          <w:rFonts w:ascii="Arabic Transparent" w:hAnsi="Arabic Transparent" w:cs="Arabic Transparent" w:hint="cs"/>
          <w:sz w:val="24"/>
          <w:szCs w:val="24"/>
          <w:rtl/>
          <w:lang w:bidi="ar-JO"/>
        </w:rPr>
        <w:t xml:space="preserve">حسنونة، </w:t>
      </w:r>
      <w:r w:rsidRPr="002273BC">
        <w:rPr>
          <w:rFonts w:ascii="Arabic Transparent" w:hAnsi="Arabic Transparent" w:cs="Arabic Transparent" w:hint="cs"/>
          <w:b/>
          <w:bCs/>
          <w:sz w:val="24"/>
          <w:szCs w:val="24"/>
          <w:rtl/>
          <w:lang w:bidi="ar-JO"/>
        </w:rPr>
        <w:t>مناهج الاجتهاد الفقهي المعاصر،</w:t>
      </w:r>
      <w:r w:rsidRPr="002273BC">
        <w:rPr>
          <w:rFonts w:ascii="Arabic Transparent" w:hAnsi="Arabic Transparent" w:cs="Arabic Transparent" w:hint="cs"/>
          <w:sz w:val="24"/>
          <w:szCs w:val="24"/>
          <w:rtl/>
          <w:lang w:bidi="ar-JO"/>
        </w:rPr>
        <w:t xml:space="preserve"> مصدر سابق، ص303.</w:t>
      </w:r>
    </w:p>
  </w:footnote>
  <w:footnote w:id="581">
    <w:p w14:paraId="5DE4FEE1" w14:textId="05C40993"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انظر: </w:t>
      </w:r>
      <w:r w:rsidRPr="002273BC">
        <w:rPr>
          <w:rFonts w:ascii="Arabic Transparent" w:hAnsi="Arabic Transparent" w:cs="Arabic Transparent" w:hint="cs"/>
          <w:sz w:val="24"/>
          <w:szCs w:val="24"/>
          <w:rtl/>
          <w:lang w:bidi="ar-JO"/>
        </w:rPr>
        <w:t xml:space="preserve">مجموعة من المشاركين، </w:t>
      </w:r>
      <w:r w:rsidRPr="002273BC">
        <w:rPr>
          <w:rFonts w:ascii="Arabic Transparent" w:hAnsi="Arabic Transparent" w:cs="Arabic Transparent" w:hint="cs"/>
          <w:b/>
          <w:bCs/>
          <w:sz w:val="24"/>
          <w:szCs w:val="24"/>
          <w:rtl/>
          <w:lang w:bidi="ar-JO"/>
        </w:rPr>
        <w:t>قرار مجمع الفقه الإسلامي</w:t>
      </w:r>
      <w:r w:rsidRPr="002273BC">
        <w:rPr>
          <w:rFonts w:ascii="Arabic Transparent" w:hAnsi="Arabic Transparent" w:cs="Arabic Transparent" w:hint="cs"/>
          <w:sz w:val="24"/>
          <w:szCs w:val="24"/>
          <w:rtl/>
          <w:lang w:bidi="ar-JO"/>
        </w:rPr>
        <w:t>، رقم (153) (17/2) بشأن الإفتاء شروطه وآدابه  المنعقد في الأردن.</w:t>
      </w:r>
      <w:r w:rsidR="00B852F7" w:rsidRPr="002273BC">
        <w:rPr>
          <w:rFonts w:ascii="Arabic Transparent" w:hAnsi="Arabic Transparent" w:cs="Arabic Transparent" w:hint="cs"/>
          <w:sz w:val="24"/>
          <w:szCs w:val="24"/>
          <w:rtl/>
          <w:lang w:bidi="ar-JO"/>
        </w:rPr>
        <w:t xml:space="preserve"> تاريخ الاطلاع 13/4/2026م، على الرابط: </w:t>
      </w:r>
      <w:r w:rsidR="00B852F7" w:rsidRPr="002273BC">
        <w:rPr>
          <w:rFonts w:ascii="Arabic Transparent" w:hAnsi="Arabic Transparent" w:cs="Arabic Transparent"/>
          <w:sz w:val="24"/>
          <w:szCs w:val="24"/>
          <w:lang w:bidi="ar-JO"/>
        </w:rPr>
        <w:t>https://iifa-aifi.org/ar/2297.html</w:t>
      </w:r>
    </w:p>
  </w:footnote>
  <w:footnote w:id="582">
    <w:p w14:paraId="3512F28D" w14:textId="20ED2CB8"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الموصلي، عبد الله بن محمود بن مودود (1937). </w:t>
      </w:r>
      <w:r w:rsidRPr="002273BC">
        <w:rPr>
          <w:rFonts w:ascii="Arabic Transparent" w:hAnsi="Arabic Transparent" w:cs="Arabic Transparent" w:hint="cs"/>
          <w:b/>
          <w:bCs/>
          <w:sz w:val="24"/>
          <w:szCs w:val="24"/>
          <w:rtl/>
          <w:lang w:bidi="ar-JO"/>
        </w:rPr>
        <w:t>الاختيار لتعليل المختار</w:t>
      </w:r>
      <w:r w:rsidRPr="002273BC">
        <w:rPr>
          <w:rFonts w:ascii="Arabic Transparent" w:hAnsi="Arabic Transparent" w:cs="Arabic Transparent" w:hint="cs"/>
          <w:sz w:val="24"/>
          <w:szCs w:val="24"/>
          <w:rtl/>
          <w:lang w:bidi="ar-JO"/>
        </w:rPr>
        <w:t>، تعليق: محمود أبو دقيقة، د.ط، ج1، ص14، مطبعة الحلبي، القاهرة.</w:t>
      </w:r>
    </w:p>
  </w:footnote>
  <w:footnote w:id="583">
    <w:p w14:paraId="32EFEBE2"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الكاساني، </w:t>
      </w:r>
      <w:r w:rsidRPr="002273BC">
        <w:rPr>
          <w:rFonts w:ascii="Arabic Transparent" w:hAnsi="Arabic Transparent" w:cs="Arabic Transparent" w:hint="cs"/>
          <w:b/>
          <w:bCs/>
          <w:sz w:val="24"/>
          <w:szCs w:val="24"/>
          <w:rtl/>
          <w:lang w:bidi="ar-JO"/>
        </w:rPr>
        <w:t>بدائع الصنائع</w:t>
      </w:r>
      <w:r w:rsidRPr="002273BC">
        <w:rPr>
          <w:rFonts w:ascii="Arabic Transparent" w:hAnsi="Arabic Transparent" w:cs="Arabic Transparent" w:hint="cs"/>
          <w:sz w:val="24"/>
          <w:szCs w:val="24"/>
          <w:rtl/>
          <w:lang w:bidi="ar-JO"/>
        </w:rPr>
        <w:t>، مصدر سابق، ج5، ص209.</w:t>
      </w:r>
    </w:p>
  </w:footnote>
  <w:footnote w:id="584">
    <w:p w14:paraId="3938FCB7"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sz w:val="24"/>
          <w:szCs w:val="24"/>
          <w:rtl/>
          <w:lang w:bidi="ar-JO"/>
        </w:rPr>
        <w:t xml:space="preserve">الدسوقي، </w:t>
      </w:r>
      <w:r w:rsidRPr="002273BC">
        <w:rPr>
          <w:rFonts w:ascii="Arabic Transparent" w:hAnsi="Arabic Transparent" w:cs="Arabic Transparent"/>
          <w:b/>
          <w:bCs/>
          <w:sz w:val="24"/>
          <w:szCs w:val="24"/>
          <w:rtl/>
          <w:lang w:bidi="ar-JO"/>
        </w:rPr>
        <w:t>الشرح الكبير،</w:t>
      </w:r>
      <w:r w:rsidRPr="002273BC">
        <w:rPr>
          <w:rFonts w:ascii="Arabic Transparent" w:hAnsi="Arabic Transparent" w:cs="Arabic Transparent"/>
          <w:sz w:val="24"/>
          <w:szCs w:val="24"/>
          <w:rtl/>
          <w:lang w:bidi="ar-JO"/>
        </w:rPr>
        <w:t xml:space="preserve"> مصدر سابق، ج4، ص21</w:t>
      </w:r>
      <w:r w:rsidRPr="002273BC">
        <w:rPr>
          <w:rFonts w:ascii="Arabic Transparent" w:hAnsi="Arabic Transparent" w:cs="Arabic Transparent" w:hint="cs"/>
          <w:sz w:val="24"/>
          <w:szCs w:val="24"/>
          <w:rtl/>
          <w:lang w:bidi="ar-JO"/>
        </w:rPr>
        <w:t>.</w:t>
      </w:r>
    </w:p>
  </w:footnote>
  <w:footnote w:id="585">
    <w:p w14:paraId="5A43DA7C"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sz w:val="24"/>
          <w:szCs w:val="24"/>
          <w:rtl/>
          <w:lang w:bidi="ar-JO"/>
        </w:rPr>
        <w:t>الرملي، شمس الدين محمد بن أبي العباس أحمد بن حمزة (1984</w:t>
      </w:r>
      <w:r w:rsidRPr="002273BC">
        <w:rPr>
          <w:rFonts w:ascii="Arabic Transparent" w:hAnsi="Arabic Transparent" w:cs="Arabic Transparent"/>
          <w:b/>
          <w:bCs/>
          <w:sz w:val="24"/>
          <w:szCs w:val="24"/>
          <w:rtl/>
          <w:lang w:bidi="ar-JO"/>
        </w:rPr>
        <w:t>). نهاية المحتاج إلى شرح المنهاج</w:t>
      </w:r>
      <w:r w:rsidRPr="002273BC">
        <w:rPr>
          <w:rFonts w:ascii="Arabic Transparent" w:hAnsi="Arabic Transparent" w:cs="Arabic Transparent"/>
          <w:sz w:val="24"/>
          <w:szCs w:val="24"/>
          <w:rtl/>
          <w:lang w:bidi="ar-JO"/>
        </w:rPr>
        <w:t>، ط1، ج5، ص350، دار الفكر، بيروت</w:t>
      </w:r>
      <w:r w:rsidRPr="002273BC">
        <w:rPr>
          <w:rFonts w:ascii="Arabic Transparent" w:hAnsi="Arabic Transparent" w:cs="Arabic Transparent" w:hint="cs"/>
          <w:sz w:val="24"/>
          <w:szCs w:val="24"/>
          <w:rtl/>
          <w:lang w:bidi="ar-JO"/>
        </w:rPr>
        <w:t>.</w:t>
      </w:r>
    </w:p>
  </w:footnote>
  <w:footnote w:id="586">
    <w:p w14:paraId="7821B75C"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lang w:bidi="ar-JO"/>
        </w:rPr>
        <w:t xml:space="preserve">الرحيباني، </w:t>
      </w:r>
      <w:r w:rsidRPr="002273BC">
        <w:rPr>
          <w:rFonts w:ascii="Arabic Transparent" w:hAnsi="Arabic Transparent" w:cs="Arabic Transparent" w:hint="cs"/>
          <w:b/>
          <w:bCs/>
          <w:sz w:val="24"/>
          <w:szCs w:val="24"/>
          <w:rtl/>
          <w:lang w:bidi="ar-JO"/>
        </w:rPr>
        <w:t>مطالب أولي النهى في شرح غاية المنتهى</w:t>
      </w:r>
      <w:r w:rsidRPr="002273BC">
        <w:rPr>
          <w:rFonts w:ascii="Arabic Transparent" w:hAnsi="Arabic Transparent" w:cs="Arabic Transparent" w:hint="cs"/>
          <w:sz w:val="24"/>
          <w:szCs w:val="24"/>
          <w:rtl/>
          <w:lang w:bidi="ar-JO"/>
        </w:rPr>
        <w:t>، مصدر سابق، ج2، ص8.</w:t>
      </w:r>
    </w:p>
  </w:footnote>
  <w:footnote w:id="587">
    <w:p w14:paraId="40844F57"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السرخسي، </w:t>
      </w:r>
      <w:r w:rsidRPr="002273BC">
        <w:rPr>
          <w:rFonts w:ascii="Arabic Transparent" w:hAnsi="Arabic Transparent" w:cs="Arabic Transparent" w:hint="cs"/>
          <w:b/>
          <w:bCs/>
          <w:sz w:val="24"/>
          <w:szCs w:val="24"/>
          <w:rtl/>
          <w:lang w:bidi="ar-JO"/>
        </w:rPr>
        <w:t>المبسوط</w:t>
      </w:r>
      <w:r w:rsidRPr="002273BC">
        <w:rPr>
          <w:rFonts w:ascii="Arabic Transparent" w:hAnsi="Arabic Transparent" w:cs="Arabic Transparent" w:hint="cs"/>
          <w:sz w:val="24"/>
          <w:szCs w:val="24"/>
          <w:rtl/>
          <w:lang w:bidi="ar-JO"/>
        </w:rPr>
        <w:t xml:space="preserve">، مصدر سابق، ج5، ص70، ج7، ص112، ابن عابدين، </w:t>
      </w:r>
      <w:r w:rsidRPr="002273BC">
        <w:rPr>
          <w:rFonts w:ascii="Arabic Transparent" w:hAnsi="Arabic Transparent" w:cs="Arabic Transparent" w:hint="cs"/>
          <w:b/>
          <w:bCs/>
          <w:sz w:val="24"/>
          <w:szCs w:val="24"/>
          <w:rtl/>
          <w:lang w:bidi="ar-JO"/>
        </w:rPr>
        <w:t>حاشية رد المحتار</w:t>
      </w:r>
      <w:r w:rsidRPr="002273BC">
        <w:rPr>
          <w:rFonts w:ascii="Arabic Transparent" w:hAnsi="Arabic Transparent" w:cs="Arabic Transparent" w:hint="cs"/>
          <w:sz w:val="24"/>
          <w:szCs w:val="24"/>
          <w:rtl/>
          <w:lang w:bidi="ar-JO"/>
        </w:rPr>
        <w:t>، مصدر سابق، ج5، ص143.</w:t>
      </w:r>
    </w:p>
  </w:footnote>
  <w:footnote w:id="588">
    <w:p w14:paraId="64E83EAC" w14:textId="77777777" w:rsidR="00956EF1" w:rsidRPr="002273BC" w:rsidRDefault="00956EF1"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البرهاني</w:t>
      </w:r>
      <w:r w:rsidRPr="002273BC">
        <w:rPr>
          <w:rFonts w:ascii="Arabic Transparent" w:hAnsi="Arabic Transparent" w:cs="Arabic Transparent"/>
          <w:sz w:val="24"/>
          <w:szCs w:val="24"/>
          <w:rtl/>
          <w:lang w:bidi="ar-JO"/>
        </w:rPr>
        <w:t xml:space="preserve">، برهان الدين محمود بن أحمد بن عبد العزيز بن عمر البخاري الحنفي (2004). </w:t>
      </w:r>
      <w:r w:rsidRPr="002273BC">
        <w:rPr>
          <w:rFonts w:ascii="Arabic Transparent" w:hAnsi="Arabic Transparent" w:cs="Arabic Transparent"/>
          <w:b/>
          <w:bCs/>
          <w:sz w:val="24"/>
          <w:szCs w:val="24"/>
          <w:rtl/>
          <w:lang w:bidi="ar-JO"/>
        </w:rPr>
        <w:t>المحيط البرهاني في الفقه النعماني</w:t>
      </w:r>
      <w:r w:rsidRPr="002273BC">
        <w:rPr>
          <w:rFonts w:ascii="Arabic Transparent" w:hAnsi="Arabic Transparent" w:cs="Arabic Transparent"/>
          <w:sz w:val="24"/>
          <w:szCs w:val="24"/>
          <w:rtl/>
          <w:lang w:bidi="ar-JO"/>
        </w:rPr>
        <w:t>، تحقيق: عبد الكريم سامي الجندي، ط1،</w:t>
      </w:r>
      <w:r w:rsidRPr="002273BC">
        <w:rPr>
          <w:rFonts w:ascii="Arabic Transparent" w:hAnsi="Arabic Transparent" w:cs="Arabic Transparent" w:hint="cs"/>
          <w:sz w:val="24"/>
          <w:szCs w:val="24"/>
          <w:rtl/>
          <w:lang w:bidi="ar-JO"/>
        </w:rPr>
        <w:t xml:space="preserve"> </w:t>
      </w:r>
      <w:r w:rsidRPr="002273BC">
        <w:rPr>
          <w:rFonts w:ascii="Arabic Transparent" w:hAnsi="Arabic Transparent" w:cs="Arabic Transparent"/>
          <w:sz w:val="24"/>
          <w:szCs w:val="24"/>
          <w:rtl/>
          <w:lang w:bidi="ar-JO"/>
        </w:rPr>
        <w:t>ج3، ص102</w:t>
      </w:r>
      <w:r w:rsidRPr="002273BC">
        <w:rPr>
          <w:rFonts w:ascii="Arabic Transparent" w:hAnsi="Arabic Transparent" w:cs="Arabic Transparent" w:hint="cs"/>
          <w:sz w:val="24"/>
          <w:szCs w:val="24"/>
          <w:rtl/>
          <w:lang w:bidi="ar-JO"/>
        </w:rPr>
        <w:t>،</w:t>
      </w:r>
      <w:r w:rsidRPr="002273BC">
        <w:rPr>
          <w:rFonts w:ascii="Arabic Transparent" w:hAnsi="Arabic Transparent" w:cs="Arabic Transparent"/>
          <w:sz w:val="24"/>
          <w:szCs w:val="24"/>
          <w:rtl/>
          <w:lang w:bidi="ar-JO"/>
        </w:rPr>
        <w:t xml:space="preserve"> دار الكتب العلمية، بيروت</w:t>
      </w:r>
      <w:r w:rsidRPr="002273BC">
        <w:rPr>
          <w:rFonts w:ascii="Arabic Transparent" w:hAnsi="Arabic Transparent" w:cs="Arabic Transparent" w:hint="cs"/>
          <w:sz w:val="24"/>
          <w:szCs w:val="24"/>
          <w:rtl/>
          <w:lang w:bidi="ar-JO"/>
        </w:rPr>
        <w:t>.</w:t>
      </w:r>
    </w:p>
  </w:footnote>
  <w:footnote w:id="589">
    <w:p w14:paraId="1113749C"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الكاساني، </w:t>
      </w:r>
      <w:r w:rsidRPr="002273BC">
        <w:rPr>
          <w:rFonts w:ascii="Arabic Transparent" w:hAnsi="Arabic Transparent" w:cs="Arabic Transparent" w:hint="cs"/>
          <w:b/>
          <w:bCs/>
          <w:sz w:val="24"/>
          <w:szCs w:val="24"/>
          <w:rtl/>
          <w:lang w:bidi="ar-JO"/>
        </w:rPr>
        <w:t>بدائع الصنائع</w:t>
      </w:r>
      <w:r w:rsidRPr="002273BC">
        <w:rPr>
          <w:rFonts w:ascii="Arabic Transparent" w:hAnsi="Arabic Transparent" w:cs="Arabic Transparent" w:hint="cs"/>
          <w:sz w:val="24"/>
          <w:szCs w:val="24"/>
          <w:rtl/>
          <w:lang w:bidi="ar-JO"/>
        </w:rPr>
        <w:t xml:space="preserve">، مصدر سابق، ج10، ص446، والمرغيناني، </w:t>
      </w:r>
      <w:r w:rsidRPr="002273BC">
        <w:rPr>
          <w:rFonts w:ascii="Arabic Transparent" w:hAnsi="Arabic Transparent" w:cs="Arabic Transparent" w:hint="cs"/>
          <w:b/>
          <w:bCs/>
          <w:sz w:val="24"/>
          <w:szCs w:val="24"/>
          <w:rtl/>
          <w:lang w:bidi="ar-JO"/>
        </w:rPr>
        <w:t>الهداية</w:t>
      </w:r>
      <w:r w:rsidRPr="002273BC">
        <w:rPr>
          <w:rFonts w:ascii="Arabic Transparent" w:hAnsi="Arabic Transparent" w:cs="Arabic Transparent" w:hint="cs"/>
          <w:sz w:val="24"/>
          <w:szCs w:val="24"/>
          <w:rtl/>
          <w:lang w:bidi="ar-JO"/>
        </w:rPr>
        <w:t>، مصدر سابق، مصدر سابق، ج3، ص145-146.</w:t>
      </w:r>
    </w:p>
  </w:footnote>
  <w:footnote w:id="590">
    <w:p w14:paraId="326D3381"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الزرقاني، </w:t>
      </w:r>
      <w:r w:rsidRPr="002273BC">
        <w:rPr>
          <w:rFonts w:ascii="Arabic Transparent" w:hAnsi="Arabic Transparent" w:cs="Arabic Transparent" w:hint="cs"/>
          <w:b/>
          <w:bCs/>
          <w:sz w:val="24"/>
          <w:szCs w:val="24"/>
          <w:rtl/>
        </w:rPr>
        <w:t>شرح مختصر خليل</w:t>
      </w:r>
      <w:r w:rsidRPr="002273BC">
        <w:rPr>
          <w:rFonts w:ascii="Arabic Transparent" w:hAnsi="Arabic Transparent" w:cs="Arabic Transparent" w:hint="cs"/>
          <w:sz w:val="24"/>
          <w:szCs w:val="24"/>
          <w:rtl/>
        </w:rPr>
        <w:t xml:space="preserve">، مصدر سابق، ج5، ص291، </w:t>
      </w:r>
      <w:r w:rsidRPr="002273BC">
        <w:rPr>
          <w:rFonts w:ascii="Arabic Transparent" w:hAnsi="Arabic Transparent" w:cs="Arabic Transparent" w:hint="cs"/>
          <w:sz w:val="24"/>
          <w:szCs w:val="24"/>
          <w:rtl/>
          <w:lang w:bidi="ar-JO"/>
        </w:rPr>
        <w:t xml:space="preserve">الخرشي، </w:t>
      </w:r>
      <w:r w:rsidRPr="002273BC">
        <w:rPr>
          <w:rFonts w:ascii="Arabic Transparent" w:hAnsi="Arabic Transparent" w:cs="Arabic Transparent" w:hint="cs"/>
          <w:b/>
          <w:bCs/>
          <w:sz w:val="24"/>
          <w:szCs w:val="24"/>
          <w:rtl/>
          <w:lang w:bidi="ar-JO"/>
        </w:rPr>
        <w:t>شرح مختصر الخرشي،</w:t>
      </w:r>
      <w:r w:rsidRPr="002273BC">
        <w:rPr>
          <w:rFonts w:ascii="Arabic Transparent" w:hAnsi="Arabic Transparent" w:cs="Arabic Transparent" w:hint="cs"/>
          <w:sz w:val="24"/>
          <w:szCs w:val="24"/>
          <w:rtl/>
          <w:lang w:bidi="ar-JO"/>
        </w:rPr>
        <w:t xml:space="preserve"> مصدر سابق، ج1، ص252.</w:t>
      </w:r>
    </w:p>
  </w:footnote>
  <w:footnote w:id="591">
    <w:p w14:paraId="225DA37F"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انظر: الماوردي، </w:t>
      </w:r>
      <w:r w:rsidRPr="002273BC">
        <w:rPr>
          <w:rFonts w:ascii="Arabic Transparent" w:hAnsi="Arabic Transparent" w:cs="Arabic Transparent" w:hint="cs"/>
          <w:b/>
          <w:bCs/>
          <w:sz w:val="24"/>
          <w:szCs w:val="24"/>
          <w:rtl/>
          <w:lang w:bidi="ar-JO"/>
        </w:rPr>
        <w:t>الحاوي الكبير</w:t>
      </w:r>
      <w:r w:rsidRPr="002273BC">
        <w:rPr>
          <w:rFonts w:ascii="Arabic Transparent" w:hAnsi="Arabic Transparent" w:cs="Arabic Transparent" w:hint="cs"/>
          <w:sz w:val="24"/>
          <w:szCs w:val="24"/>
          <w:rtl/>
          <w:lang w:bidi="ar-JO"/>
        </w:rPr>
        <w:t>، مصدر سابق، ج5، ص207.</w:t>
      </w:r>
    </w:p>
  </w:footnote>
  <w:footnote w:id="592">
    <w:p w14:paraId="7D560B7C"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lang w:bidi="ar-JO"/>
        </w:rPr>
        <w:t xml:space="preserve"> ابن قدامة، موفق الدين عبد الله بن أحمد بن محمد (1994). </w:t>
      </w:r>
      <w:r w:rsidRPr="002273BC">
        <w:rPr>
          <w:rFonts w:ascii="Arabic Transparent" w:hAnsi="Arabic Transparent" w:cs="Arabic Transparent" w:hint="cs"/>
          <w:b/>
          <w:bCs/>
          <w:sz w:val="24"/>
          <w:szCs w:val="24"/>
          <w:rtl/>
          <w:lang w:bidi="ar-JO"/>
        </w:rPr>
        <w:t>الكافي في فقه الإمام أحمد</w:t>
      </w:r>
      <w:r w:rsidRPr="002273BC">
        <w:rPr>
          <w:rFonts w:ascii="Arabic Transparent" w:hAnsi="Arabic Transparent" w:cs="Arabic Transparent" w:hint="cs"/>
          <w:sz w:val="24"/>
          <w:szCs w:val="24"/>
          <w:rtl/>
          <w:lang w:bidi="ar-JO"/>
        </w:rPr>
        <w:t>، ط1، ج2، ص45، دار الكتب العلمية.</w:t>
      </w:r>
    </w:p>
  </w:footnote>
  <w:footnote w:id="593">
    <w:p w14:paraId="690397C5" w14:textId="7C63BF2A"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الرافعي، عبد الكريم بن محمد بن عبد الكريم (1997). </w:t>
      </w:r>
      <w:r w:rsidR="00400837" w:rsidRPr="002273BC">
        <w:rPr>
          <w:rFonts w:ascii="Arabic Transparent" w:hAnsi="Arabic Transparent" w:cs="Arabic Transparent"/>
          <w:b/>
          <w:bCs/>
          <w:sz w:val="24"/>
          <w:szCs w:val="24"/>
          <w:rtl/>
        </w:rPr>
        <w:t>فتح العزيز بشرح الوجيز</w:t>
      </w:r>
      <w:r w:rsidR="00400837" w:rsidRPr="002273BC">
        <w:rPr>
          <w:rFonts w:ascii="Arabic Transparent" w:hAnsi="Arabic Transparent" w:cs="Arabic Transparent" w:hint="cs"/>
          <w:b/>
          <w:bCs/>
          <w:sz w:val="24"/>
          <w:szCs w:val="24"/>
          <w:rtl/>
        </w:rPr>
        <w:t xml:space="preserve"> المعروف</w:t>
      </w:r>
      <w:r w:rsidRPr="002273BC">
        <w:rPr>
          <w:rFonts w:ascii="Arabic Transparent" w:hAnsi="Arabic Transparent" w:cs="Arabic Transparent" w:hint="cs"/>
          <w:b/>
          <w:bCs/>
          <w:sz w:val="24"/>
          <w:szCs w:val="24"/>
          <w:rtl/>
        </w:rPr>
        <w:t xml:space="preserve"> بالشرح الكبير</w:t>
      </w:r>
      <w:r w:rsidRPr="002273BC">
        <w:rPr>
          <w:rFonts w:ascii="Arabic Transparent" w:hAnsi="Arabic Transparent" w:cs="Arabic Transparent" w:hint="cs"/>
          <w:sz w:val="24"/>
          <w:szCs w:val="24"/>
          <w:rtl/>
        </w:rPr>
        <w:t>، تحقيق: علي محمد عوض وعادل أحمد عبد الموجود، ط1، ج4، ص238، دار الكتب العلمية، بيروت.</w:t>
      </w:r>
    </w:p>
  </w:footnote>
  <w:footnote w:id="594">
    <w:p w14:paraId="49E246FE"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الرحيباني، </w:t>
      </w:r>
      <w:r w:rsidRPr="002273BC">
        <w:rPr>
          <w:rFonts w:ascii="Arabic Transparent" w:hAnsi="Arabic Transparent" w:cs="Arabic Transparent" w:hint="cs"/>
          <w:b/>
          <w:bCs/>
          <w:sz w:val="24"/>
          <w:szCs w:val="24"/>
          <w:rtl/>
          <w:lang w:bidi="ar-JO"/>
        </w:rPr>
        <w:t>مطالب أولي النهى في شرح غاية المنتهى</w:t>
      </w:r>
      <w:r w:rsidRPr="002273BC">
        <w:rPr>
          <w:rFonts w:ascii="Arabic Transparent" w:hAnsi="Arabic Transparent" w:cs="Arabic Transparent" w:hint="cs"/>
          <w:sz w:val="24"/>
          <w:szCs w:val="24"/>
          <w:rtl/>
          <w:lang w:bidi="ar-JO"/>
        </w:rPr>
        <w:t>، مصدر سابق، ج3، ص102.</w:t>
      </w:r>
    </w:p>
  </w:footnote>
  <w:footnote w:id="595">
    <w:p w14:paraId="08CA63BB"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الإسنوي، جمال الدين (2007). </w:t>
      </w:r>
      <w:r w:rsidRPr="002273BC">
        <w:rPr>
          <w:rFonts w:ascii="Arabic Transparent" w:hAnsi="Arabic Transparent" w:cs="Arabic Transparent" w:hint="cs"/>
          <w:b/>
          <w:bCs/>
          <w:sz w:val="24"/>
          <w:szCs w:val="24"/>
          <w:rtl/>
          <w:lang w:bidi="ar-JO"/>
        </w:rPr>
        <w:t>مطالع الدقائق في تحرير الجوامع والفوارق</w:t>
      </w:r>
      <w:r w:rsidRPr="002273BC">
        <w:rPr>
          <w:rFonts w:ascii="Arabic Transparent" w:hAnsi="Arabic Transparent" w:cs="Arabic Transparent" w:hint="cs"/>
          <w:sz w:val="24"/>
          <w:szCs w:val="24"/>
          <w:rtl/>
          <w:lang w:bidi="ar-JO"/>
        </w:rPr>
        <w:t>، تحقيق: نصر الدين فريد محمد واصل، ط1، ج2، ص58، دار الشروق، القاهرة.</w:t>
      </w:r>
    </w:p>
  </w:footnote>
  <w:footnote w:id="596">
    <w:p w14:paraId="5760AE29" w14:textId="7B9BA19D"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00400837" w:rsidRPr="002273BC">
        <w:rPr>
          <w:rFonts w:ascii="Arabic Transparent" w:hAnsi="Arabic Transparent" w:cs="Arabic Transparent"/>
          <w:sz w:val="24"/>
          <w:szCs w:val="24"/>
          <w:rtl/>
          <w:lang w:bidi="ar-JO"/>
        </w:rPr>
        <w:t xml:space="preserve">القرافي، أحمد بن إدريس بن عبد الرحمن، شهاب الدين أبو العباس (1994)، </w:t>
      </w:r>
      <w:r w:rsidR="00400837" w:rsidRPr="002273BC">
        <w:rPr>
          <w:rFonts w:ascii="Arabic Transparent" w:hAnsi="Arabic Transparent" w:cs="Arabic Transparent"/>
          <w:b/>
          <w:bCs/>
          <w:sz w:val="24"/>
          <w:szCs w:val="24"/>
          <w:rtl/>
          <w:lang w:bidi="ar-JO"/>
        </w:rPr>
        <w:t>الذخيرة</w:t>
      </w:r>
      <w:r w:rsidR="00400837" w:rsidRPr="002273BC">
        <w:rPr>
          <w:rFonts w:ascii="Arabic Transparent" w:hAnsi="Arabic Transparent" w:cs="Arabic Transparent"/>
          <w:sz w:val="24"/>
          <w:szCs w:val="24"/>
          <w:rtl/>
          <w:lang w:bidi="ar-JO"/>
        </w:rPr>
        <w:t>، تحقيق: محمد حجي وسعيد أعراب، ومحمد بوخبزة ، ط1،</w:t>
      </w:r>
      <w:r w:rsidR="00400837" w:rsidRPr="002273BC">
        <w:rPr>
          <w:rFonts w:ascii="Arabic Transparent" w:hAnsi="Arabic Transparent" w:cs="Arabic Transparent" w:hint="cs"/>
          <w:sz w:val="24"/>
          <w:szCs w:val="24"/>
          <w:rtl/>
          <w:lang w:bidi="ar-JO"/>
        </w:rPr>
        <w:t xml:space="preserve"> </w:t>
      </w:r>
      <w:r w:rsidR="00400837" w:rsidRPr="002273BC">
        <w:rPr>
          <w:rFonts w:ascii="Arabic Transparent" w:hAnsi="Arabic Transparent" w:cs="Arabic Transparent"/>
          <w:sz w:val="24"/>
          <w:szCs w:val="24"/>
          <w:rtl/>
          <w:lang w:bidi="ar-JO"/>
        </w:rPr>
        <w:t>ج8، ص25/ ج9، ص24</w:t>
      </w:r>
      <w:r w:rsidR="00400837" w:rsidRPr="002273BC">
        <w:rPr>
          <w:rFonts w:ascii="Arabic Transparent" w:hAnsi="Arabic Transparent" w:cs="Arabic Transparent" w:hint="cs"/>
          <w:sz w:val="24"/>
          <w:szCs w:val="24"/>
          <w:rtl/>
          <w:lang w:bidi="ar-JO"/>
        </w:rPr>
        <w:t>،</w:t>
      </w:r>
      <w:r w:rsidR="00400837" w:rsidRPr="002273BC">
        <w:rPr>
          <w:rFonts w:ascii="Arabic Transparent" w:hAnsi="Arabic Transparent" w:cs="Arabic Transparent"/>
          <w:sz w:val="24"/>
          <w:szCs w:val="24"/>
          <w:rtl/>
          <w:lang w:bidi="ar-JO"/>
        </w:rPr>
        <w:t xml:space="preserve"> دار الغرب الإسلامي، بيروت.</w:t>
      </w:r>
    </w:p>
  </w:footnote>
  <w:footnote w:id="597">
    <w:p w14:paraId="330641B2" w14:textId="536B3F04"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انظر مصدر لاحق صفحة</w:t>
      </w:r>
      <w:r w:rsidR="005D7B91" w:rsidRPr="002273BC">
        <w:rPr>
          <w:rFonts w:ascii="Arabic Transparent" w:hAnsi="Arabic Transparent" w:cs="Arabic Transparent" w:hint="cs"/>
          <w:sz w:val="24"/>
          <w:szCs w:val="24"/>
          <w:rtl/>
          <w:lang w:bidi="ar-JO"/>
        </w:rPr>
        <w:t xml:space="preserve">: </w:t>
      </w:r>
    </w:p>
  </w:footnote>
  <w:footnote w:id="598">
    <w:p w14:paraId="12132B99"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انظر: الشافعي، </w:t>
      </w:r>
      <w:r w:rsidRPr="00C735E1">
        <w:rPr>
          <w:rFonts w:ascii="Arabic Transparent" w:hAnsi="Arabic Transparent" w:cs="Arabic Transparent" w:hint="cs"/>
          <w:b/>
          <w:bCs/>
          <w:sz w:val="24"/>
          <w:szCs w:val="24"/>
          <w:rtl/>
          <w:lang w:bidi="ar-JO"/>
        </w:rPr>
        <w:t xml:space="preserve">الأم، </w:t>
      </w:r>
      <w:r w:rsidRPr="00C735E1">
        <w:rPr>
          <w:rFonts w:ascii="Arabic Transparent" w:hAnsi="Arabic Transparent" w:cs="Arabic Transparent" w:hint="cs"/>
          <w:sz w:val="24"/>
          <w:szCs w:val="24"/>
          <w:rtl/>
          <w:lang w:bidi="ar-JO"/>
        </w:rPr>
        <w:t>مصدر سابق</w:t>
      </w:r>
      <w:r w:rsidRPr="002273BC">
        <w:rPr>
          <w:rFonts w:ascii="Arabic Transparent" w:hAnsi="Arabic Transparent" w:cs="Arabic Transparent" w:hint="cs"/>
          <w:sz w:val="24"/>
          <w:szCs w:val="24"/>
          <w:rtl/>
          <w:lang w:bidi="ar-JO"/>
        </w:rPr>
        <w:t>، ج4، ص108.</w:t>
      </w:r>
    </w:p>
  </w:footnote>
  <w:footnote w:id="599">
    <w:p w14:paraId="047C4F92" w14:textId="0524CA1E"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lang w:bidi="ar-JO"/>
        </w:rPr>
        <w:t xml:space="preserve"> ابن الهمام</w:t>
      </w:r>
      <w:r w:rsidR="00400837" w:rsidRPr="002273BC">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b/>
          <w:bCs/>
          <w:sz w:val="24"/>
          <w:szCs w:val="24"/>
          <w:rtl/>
          <w:lang w:bidi="ar-JO"/>
        </w:rPr>
        <w:t xml:space="preserve">فتح القدير </w:t>
      </w:r>
      <w:r w:rsidR="00400837" w:rsidRPr="002273BC">
        <w:rPr>
          <w:rFonts w:ascii="Arabic Transparent" w:hAnsi="Arabic Transparent" w:cs="Arabic Transparent" w:hint="cs"/>
          <w:b/>
          <w:bCs/>
          <w:sz w:val="24"/>
          <w:szCs w:val="24"/>
          <w:rtl/>
          <w:lang w:bidi="ar-JO"/>
        </w:rPr>
        <w:t>شرح</w:t>
      </w:r>
      <w:r w:rsidRPr="002273BC">
        <w:rPr>
          <w:rFonts w:ascii="Arabic Transparent" w:hAnsi="Arabic Transparent" w:cs="Arabic Transparent" w:hint="cs"/>
          <w:b/>
          <w:bCs/>
          <w:sz w:val="24"/>
          <w:szCs w:val="24"/>
          <w:rtl/>
          <w:lang w:bidi="ar-JO"/>
        </w:rPr>
        <w:t xml:space="preserve"> الهداية</w:t>
      </w:r>
      <w:r w:rsidRPr="002273BC">
        <w:rPr>
          <w:rFonts w:ascii="Arabic Transparent" w:hAnsi="Arabic Transparent" w:cs="Arabic Transparent" w:hint="cs"/>
          <w:sz w:val="24"/>
          <w:szCs w:val="24"/>
          <w:rtl/>
          <w:lang w:bidi="ar-JO"/>
        </w:rPr>
        <w:t xml:space="preserve">، </w:t>
      </w:r>
      <w:r w:rsidR="00400837" w:rsidRPr="002273BC">
        <w:rPr>
          <w:rFonts w:ascii="Arabic Transparent" w:hAnsi="Arabic Transparent" w:cs="Arabic Transparent" w:hint="cs"/>
          <w:sz w:val="24"/>
          <w:szCs w:val="24"/>
          <w:rtl/>
          <w:lang w:bidi="ar-JO"/>
        </w:rPr>
        <w:t xml:space="preserve">مصدر سابق، </w:t>
      </w:r>
      <w:r w:rsidRPr="002273BC">
        <w:rPr>
          <w:rFonts w:ascii="Arabic Transparent" w:hAnsi="Arabic Transparent" w:cs="Arabic Transparent" w:hint="cs"/>
          <w:sz w:val="24"/>
          <w:szCs w:val="24"/>
          <w:rtl/>
          <w:lang w:bidi="ar-JO"/>
        </w:rPr>
        <w:t xml:space="preserve">ط1، ج7، ص76، والقرافي، </w:t>
      </w:r>
      <w:r w:rsidRPr="002273BC">
        <w:rPr>
          <w:rFonts w:ascii="Arabic Transparent" w:hAnsi="Arabic Transparent" w:cs="Arabic Transparent" w:hint="cs"/>
          <w:b/>
          <w:bCs/>
          <w:sz w:val="24"/>
          <w:szCs w:val="24"/>
          <w:rtl/>
          <w:lang w:bidi="ar-JO"/>
        </w:rPr>
        <w:t>الذخيرة،</w:t>
      </w:r>
      <w:r w:rsidRPr="002273BC">
        <w:rPr>
          <w:rFonts w:ascii="Arabic Transparent" w:hAnsi="Arabic Transparent" w:cs="Arabic Transparent" w:hint="cs"/>
          <w:sz w:val="24"/>
          <w:szCs w:val="24"/>
          <w:rtl/>
          <w:lang w:bidi="ar-JO"/>
        </w:rPr>
        <w:t xml:space="preserve"> مصدر سابق، ج8، ص24، والسبكي</w:t>
      </w:r>
      <w:r w:rsidRPr="002273BC">
        <w:rPr>
          <w:rFonts w:ascii="Arabic Transparent" w:hAnsi="Arabic Transparent" w:cs="Arabic Transparent" w:hint="cs"/>
          <w:b/>
          <w:bCs/>
          <w:sz w:val="24"/>
          <w:szCs w:val="24"/>
          <w:rtl/>
          <w:lang w:bidi="ar-JO"/>
        </w:rPr>
        <w:t>، رفع الحاجب عن مختصر ابن حاجب</w:t>
      </w:r>
      <w:r w:rsidRPr="002273BC">
        <w:rPr>
          <w:rFonts w:ascii="Arabic Transparent" w:hAnsi="Arabic Transparent" w:cs="Arabic Transparent" w:hint="cs"/>
          <w:sz w:val="24"/>
          <w:szCs w:val="24"/>
          <w:rtl/>
          <w:lang w:bidi="ar-JO"/>
        </w:rPr>
        <w:t>، مصدر سابق، ص49.</w:t>
      </w:r>
    </w:p>
  </w:footnote>
  <w:footnote w:id="600">
    <w:p w14:paraId="3005565A" w14:textId="1C7BC869"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انظر: الشعار، عماد الدين مصطفى(2022)، </w:t>
      </w:r>
      <w:r w:rsidRPr="002273BC">
        <w:rPr>
          <w:rFonts w:ascii="Arabic Transparent" w:hAnsi="Arabic Transparent" w:cs="Arabic Transparent" w:hint="cs"/>
          <w:b/>
          <w:bCs/>
          <w:sz w:val="24"/>
          <w:szCs w:val="24"/>
          <w:rtl/>
          <w:lang w:bidi="ar-JO"/>
        </w:rPr>
        <w:t>قاعدة اليسير مغتفر ونماذج من تطبيقاتها المعاصرة</w:t>
      </w:r>
      <w:r w:rsidRPr="002273BC">
        <w:rPr>
          <w:rFonts w:ascii="Arabic Transparent" w:hAnsi="Arabic Transparent" w:cs="Arabic Transparent" w:hint="cs"/>
          <w:sz w:val="24"/>
          <w:szCs w:val="24"/>
          <w:rtl/>
          <w:lang w:bidi="ar-JO"/>
        </w:rPr>
        <w:t>، مج8، ع2،</w:t>
      </w:r>
      <w:r w:rsidR="00C735E1">
        <w:rPr>
          <w:rFonts w:ascii="Arabic Transparent" w:hAnsi="Arabic Transparent" w:cs="Arabic Transparent" w:hint="cs"/>
          <w:sz w:val="24"/>
          <w:szCs w:val="24"/>
          <w:rtl/>
          <w:lang w:bidi="ar-JO"/>
        </w:rPr>
        <w:t xml:space="preserve"> ص23،</w:t>
      </w:r>
      <w:r w:rsidRPr="002273BC">
        <w:rPr>
          <w:rFonts w:ascii="Arabic Transparent" w:hAnsi="Arabic Transparent" w:cs="Arabic Transparent" w:hint="cs"/>
          <w:sz w:val="24"/>
          <w:szCs w:val="24"/>
          <w:rtl/>
          <w:lang w:bidi="ar-JO"/>
        </w:rPr>
        <w:t xml:space="preserve"> بحث منشور في مجلة الراسخون، جامعة المدينة العالمية. </w:t>
      </w:r>
    </w:p>
  </w:footnote>
  <w:footnote w:id="601">
    <w:p w14:paraId="57CE8B04" w14:textId="45D95FC4"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الموصلي، عبد الله بن محمود بن مودود (1937). </w:t>
      </w:r>
      <w:r w:rsidRPr="002273BC">
        <w:rPr>
          <w:rFonts w:ascii="Arabic Transparent" w:hAnsi="Arabic Transparent" w:cs="Arabic Transparent" w:hint="cs"/>
          <w:b/>
          <w:bCs/>
          <w:sz w:val="24"/>
          <w:szCs w:val="24"/>
          <w:rtl/>
          <w:lang w:bidi="ar-JO"/>
        </w:rPr>
        <w:t>الاختيار لتعليل المختار</w:t>
      </w:r>
      <w:r w:rsidRPr="002273BC">
        <w:rPr>
          <w:rFonts w:ascii="Arabic Transparent" w:hAnsi="Arabic Transparent" w:cs="Arabic Transparent" w:hint="cs"/>
          <w:sz w:val="24"/>
          <w:szCs w:val="24"/>
          <w:rtl/>
          <w:lang w:bidi="ar-JO"/>
        </w:rPr>
        <w:t>، تعليق: محمود أبو دقيقة، د.ط، ج1، ص14، مطبعة الحلبي، القاهرة.</w:t>
      </w:r>
    </w:p>
  </w:footnote>
  <w:footnote w:id="602">
    <w:p w14:paraId="29B80DDE"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ابن عابدين، </w:t>
      </w:r>
      <w:r w:rsidRPr="002273BC">
        <w:rPr>
          <w:rFonts w:ascii="Arabic Transparent" w:hAnsi="Arabic Transparent" w:cs="Arabic Transparent" w:hint="cs"/>
          <w:b/>
          <w:bCs/>
          <w:sz w:val="24"/>
          <w:szCs w:val="24"/>
          <w:rtl/>
          <w:lang w:bidi="ar-JO"/>
        </w:rPr>
        <w:t>حاشية رد المحتار</w:t>
      </w:r>
      <w:r w:rsidRPr="002273BC">
        <w:rPr>
          <w:rFonts w:ascii="Arabic Transparent" w:hAnsi="Arabic Transparent" w:cs="Arabic Transparent" w:hint="cs"/>
          <w:sz w:val="24"/>
          <w:szCs w:val="24"/>
          <w:rtl/>
          <w:lang w:bidi="ar-JO"/>
        </w:rPr>
        <w:t>، مصدر سابق، ج1، ص251، ص321/ ج3، ص66، والزيلعي</w:t>
      </w:r>
      <w:r w:rsidRPr="002273BC">
        <w:rPr>
          <w:rFonts w:ascii="Arabic Transparent" w:hAnsi="Arabic Transparent" w:cs="Arabic Transparent" w:hint="cs"/>
          <w:b/>
          <w:bCs/>
          <w:sz w:val="24"/>
          <w:szCs w:val="24"/>
          <w:rtl/>
          <w:lang w:bidi="ar-JO"/>
        </w:rPr>
        <w:t>، تبين الحقائق</w:t>
      </w:r>
      <w:r w:rsidRPr="002273BC">
        <w:rPr>
          <w:rFonts w:ascii="Arabic Transparent" w:hAnsi="Arabic Transparent" w:cs="Arabic Transparent" w:hint="cs"/>
          <w:sz w:val="24"/>
          <w:szCs w:val="24"/>
          <w:rtl/>
          <w:lang w:bidi="ar-JO"/>
        </w:rPr>
        <w:t>، مصدر سابق، ج4، ص112.</w:t>
      </w:r>
    </w:p>
  </w:footnote>
  <w:footnote w:id="603">
    <w:p w14:paraId="14F8C954"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القرافي</w:t>
      </w:r>
      <w:r w:rsidRPr="002273BC">
        <w:rPr>
          <w:rFonts w:ascii="Arabic Transparent" w:hAnsi="Arabic Transparent" w:cs="Arabic Transparent" w:hint="cs"/>
          <w:b/>
          <w:bCs/>
          <w:sz w:val="24"/>
          <w:szCs w:val="24"/>
          <w:rtl/>
          <w:lang w:bidi="ar-JO"/>
        </w:rPr>
        <w:t>، الذخيرة</w:t>
      </w:r>
      <w:r w:rsidRPr="002273BC">
        <w:rPr>
          <w:rFonts w:ascii="Arabic Transparent" w:hAnsi="Arabic Transparent" w:cs="Arabic Transparent" w:hint="cs"/>
          <w:sz w:val="24"/>
          <w:szCs w:val="24"/>
          <w:rtl/>
          <w:lang w:bidi="ar-JO"/>
        </w:rPr>
        <w:t>، مصدر سابق، ج8، ص24.</w:t>
      </w:r>
    </w:p>
  </w:footnote>
  <w:footnote w:id="604">
    <w:p w14:paraId="27506087" w14:textId="0546C3F1"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السبكي، </w:t>
      </w:r>
      <w:r w:rsidRPr="002273BC">
        <w:rPr>
          <w:rFonts w:ascii="Arabic Transparent" w:hAnsi="Arabic Transparent" w:cs="Arabic Transparent" w:hint="cs"/>
          <w:b/>
          <w:bCs/>
          <w:sz w:val="24"/>
          <w:szCs w:val="24"/>
          <w:rtl/>
          <w:lang w:bidi="ar-JO"/>
        </w:rPr>
        <w:t>الإبهاج في شرح المنهاج،</w:t>
      </w:r>
      <w:r w:rsidRPr="002273BC">
        <w:rPr>
          <w:rFonts w:ascii="Arabic Transparent" w:hAnsi="Arabic Transparent" w:cs="Arabic Transparent" w:hint="cs"/>
          <w:sz w:val="24"/>
          <w:szCs w:val="24"/>
          <w:rtl/>
          <w:lang w:bidi="ar-JO"/>
        </w:rPr>
        <w:t xml:space="preserve"> مصدر سابق، ج4، ص381، و</w:t>
      </w:r>
      <w:r w:rsidR="00400837" w:rsidRPr="002273BC">
        <w:rPr>
          <w:rFonts w:ascii="Arabic Transparent" w:hAnsi="Arabic Transparent" w:cs="Arabic Transparent"/>
          <w:sz w:val="24"/>
          <w:szCs w:val="24"/>
          <w:rtl/>
          <w:lang w:bidi="ar-JO"/>
        </w:rPr>
        <w:t>الرحيباني</w:t>
      </w:r>
      <w:r w:rsidRPr="002273BC">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b/>
          <w:bCs/>
          <w:sz w:val="24"/>
          <w:szCs w:val="24"/>
          <w:rtl/>
          <w:lang w:bidi="ar-JO"/>
        </w:rPr>
        <w:t>مطالب أولي النهى</w:t>
      </w:r>
      <w:r w:rsidRPr="002273BC">
        <w:rPr>
          <w:rFonts w:ascii="Arabic Transparent" w:hAnsi="Arabic Transparent" w:cs="Arabic Transparent" w:hint="cs"/>
          <w:sz w:val="24"/>
          <w:szCs w:val="24"/>
          <w:rtl/>
          <w:lang w:bidi="ar-JO"/>
        </w:rPr>
        <w:t>، مصدر سابق، ج3، ص644.</w:t>
      </w:r>
    </w:p>
  </w:footnote>
  <w:footnote w:id="605">
    <w:p w14:paraId="5193D9AF"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lang w:bidi="ar-JO"/>
        </w:rPr>
        <w:t xml:space="preserve"> ابن قدامة،</w:t>
      </w:r>
      <w:r w:rsidRPr="002273BC">
        <w:rPr>
          <w:rFonts w:ascii="Arabic Transparent" w:hAnsi="Arabic Transparent" w:cs="Arabic Transparent" w:hint="cs"/>
          <w:b/>
          <w:bCs/>
          <w:sz w:val="24"/>
          <w:szCs w:val="24"/>
          <w:rtl/>
          <w:lang w:bidi="ar-JO"/>
        </w:rPr>
        <w:t xml:space="preserve"> المغني</w:t>
      </w:r>
      <w:r w:rsidRPr="002273BC">
        <w:rPr>
          <w:rFonts w:ascii="Arabic Transparent" w:hAnsi="Arabic Transparent" w:cs="Arabic Transparent" w:hint="cs"/>
          <w:sz w:val="24"/>
          <w:szCs w:val="24"/>
          <w:rtl/>
          <w:lang w:bidi="ar-JO"/>
        </w:rPr>
        <w:t>، مصدر سابق، ج6، ص69.</w:t>
      </w:r>
    </w:p>
  </w:footnote>
  <w:footnote w:id="606">
    <w:p w14:paraId="3012E2B8" w14:textId="156A29D5"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القدوري، </w:t>
      </w:r>
      <w:r w:rsidRPr="002273BC">
        <w:rPr>
          <w:rFonts w:ascii="Arabic Transparent" w:hAnsi="Arabic Transparent" w:cs="Arabic Transparent" w:hint="cs"/>
          <w:b/>
          <w:bCs/>
          <w:sz w:val="24"/>
          <w:szCs w:val="24"/>
          <w:rtl/>
          <w:lang w:bidi="ar-JO"/>
        </w:rPr>
        <w:t>شرح مختصر الكرخي</w:t>
      </w:r>
      <w:r w:rsidRPr="002273BC">
        <w:rPr>
          <w:rFonts w:ascii="Arabic Transparent" w:hAnsi="Arabic Transparent" w:cs="Arabic Transparent" w:hint="cs"/>
          <w:sz w:val="24"/>
          <w:szCs w:val="24"/>
          <w:rtl/>
          <w:lang w:bidi="ar-JO"/>
        </w:rPr>
        <w:t xml:space="preserve">، مصدر سابق، ج8، ص184، </w:t>
      </w:r>
      <w:r w:rsidR="00400837" w:rsidRPr="002273BC">
        <w:rPr>
          <w:rFonts w:ascii="Arabic Transparent" w:hAnsi="Arabic Transparent" w:cs="Arabic Transparent" w:hint="cs"/>
          <w:sz w:val="24"/>
          <w:szCs w:val="24"/>
          <w:rtl/>
          <w:lang w:bidi="ar-JO"/>
        </w:rPr>
        <w:t>والبرهاني</w:t>
      </w:r>
      <w:r w:rsidRPr="002273BC">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b/>
          <w:bCs/>
          <w:sz w:val="24"/>
          <w:szCs w:val="24"/>
          <w:rtl/>
          <w:lang w:bidi="ar-JO"/>
        </w:rPr>
        <w:t>المحيط البرهاني</w:t>
      </w:r>
      <w:r w:rsidRPr="002273BC">
        <w:rPr>
          <w:rFonts w:ascii="Arabic Transparent" w:hAnsi="Arabic Transparent" w:cs="Arabic Transparent" w:hint="cs"/>
          <w:sz w:val="24"/>
          <w:szCs w:val="24"/>
          <w:rtl/>
          <w:lang w:bidi="ar-JO"/>
        </w:rPr>
        <w:t>، مصدر سابق، ج1، ص138.</w:t>
      </w:r>
    </w:p>
  </w:footnote>
  <w:footnote w:id="607">
    <w:p w14:paraId="5F908602" w14:textId="6182224C"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الحطاب، شمس الدين محمد بن محمد بن عبد الرحمن الرعيني المالكي (1992). </w:t>
      </w:r>
      <w:r w:rsidRPr="002273BC">
        <w:rPr>
          <w:rFonts w:ascii="Arabic Transparent" w:hAnsi="Arabic Transparent" w:cs="Arabic Transparent" w:hint="cs"/>
          <w:b/>
          <w:bCs/>
          <w:sz w:val="24"/>
          <w:szCs w:val="24"/>
          <w:rtl/>
          <w:lang w:bidi="ar-JO"/>
        </w:rPr>
        <w:t>مواهب الجليل في شرح مختصر خليل</w:t>
      </w:r>
      <w:r w:rsidRPr="002273BC">
        <w:rPr>
          <w:rFonts w:ascii="Arabic Transparent" w:hAnsi="Arabic Transparent" w:cs="Arabic Transparent" w:hint="cs"/>
          <w:sz w:val="24"/>
          <w:szCs w:val="24"/>
          <w:rtl/>
          <w:lang w:bidi="ar-JO"/>
        </w:rPr>
        <w:t>، ط3،</w:t>
      </w:r>
      <w:r w:rsidR="00C735E1">
        <w:rPr>
          <w:rFonts w:ascii="Arabic Transparent" w:hAnsi="Arabic Transparent" w:cs="Arabic Transparent" w:hint="cs"/>
          <w:sz w:val="24"/>
          <w:szCs w:val="24"/>
          <w:rtl/>
          <w:lang w:bidi="ar-JO"/>
        </w:rPr>
        <w:t xml:space="preserve"> ج5، ص62،</w:t>
      </w:r>
      <w:r w:rsidRPr="002273BC">
        <w:rPr>
          <w:rFonts w:ascii="Arabic Transparent" w:hAnsi="Arabic Transparent" w:cs="Arabic Transparent" w:hint="cs"/>
          <w:sz w:val="24"/>
          <w:szCs w:val="24"/>
          <w:rtl/>
          <w:lang w:bidi="ar-JO"/>
        </w:rPr>
        <w:t xml:space="preserve"> دار الفكر.</w:t>
      </w:r>
    </w:p>
  </w:footnote>
  <w:footnote w:id="608">
    <w:p w14:paraId="4671DA69" w14:textId="6AC07A0B"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الرافعي</w:t>
      </w:r>
      <w:r w:rsidR="00400837" w:rsidRPr="002273BC">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b/>
          <w:bCs/>
          <w:sz w:val="24"/>
          <w:szCs w:val="24"/>
          <w:rtl/>
          <w:lang w:bidi="ar-JO"/>
        </w:rPr>
        <w:t>فتح العزيز بشرح الوجيز</w:t>
      </w:r>
      <w:r w:rsidRPr="002273BC">
        <w:rPr>
          <w:rFonts w:ascii="Arabic Transparent" w:hAnsi="Arabic Transparent" w:cs="Arabic Transparent" w:hint="cs"/>
          <w:sz w:val="24"/>
          <w:szCs w:val="24"/>
          <w:rtl/>
          <w:lang w:bidi="ar-JO"/>
        </w:rPr>
        <w:t xml:space="preserve">، </w:t>
      </w:r>
      <w:r w:rsidR="00400837" w:rsidRPr="002273BC">
        <w:rPr>
          <w:rFonts w:ascii="Arabic Transparent" w:hAnsi="Arabic Transparent" w:cs="Arabic Transparent" w:hint="cs"/>
          <w:sz w:val="24"/>
          <w:szCs w:val="24"/>
          <w:rtl/>
          <w:lang w:bidi="ar-JO"/>
        </w:rPr>
        <w:t>مصدر سابق،</w:t>
      </w:r>
      <w:r w:rsidRPr="002273BC">
        <w:rPr>
          <w:rFonts w:ascii="Arabic Transparent" w:hAnsi="Arabic Transparent" w:cs="Arabic Transparent" w:hint="cs"/>
          <w:sz w:val="24"/>
          <w:szCs w:val="24"/>
          <w:rtl/>
          <w:lang w:bidi="ar-JO"/>
        </w:rPr>
        <w:t xml:space="preserve"> ج4، ص273</w:t>
      </w:r>
      <w:r w:rsidR="00400837" w:rsidRPr="002273BC">
        <w:rPr>
          <w:rFonts w:ascii="Arabic Transparent" w:hAnsi="Arabic Transparent" w:cs="Arabic Transparent" w:hint="cs"/>
          <w:sz w:val="24"/>
          <w:szCs w:val="24"/>
          <w:rtl/>
          <w:lang w:bidi="ar-JO"/>
        </w:rPr>
        <w:t>.</w:t>
      </w:r>
    </w:p>
  </w:footnote>
  <w:footnote w:id="609">
    <w:p w14:paraId="4073A7E9" w14:textId="77777777" w:rsidR="00395D2E" w:rsidRPr="002273BC" w:rsidRDefault="00395D2E" w:rsidP="00EA3738">
      <w:pPr>
        <w:pStyle w:val="FootnoteText"/>
        <w:spacing w:line="360" w:lineRule="auto"/>
        <w:jc w:val="both"/>
        <w:rPr>
          <w:rFonts w:ascii="Arabic Transparent" w:hAnsi="Arabic Transparent" w:cs="Arabic Transparent"/>
          <w:sz w:val="24"/>
          <w:szCs w:val="24"/>
          <w:rtl/>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ابن قدامة</w:t>
      </w:r>
      <w:r w:rsidRPr="002273BC">
        <w:rPr>
          <w:rFonts w:ascii="Arabic Transparent" w:hAnsi="Arabic Transparent" w:cs="Arabic Transparent" w:hint="cs"/>
          <w:b/>
          <w:bCs/>
          <w:sz w:val="24"/>
          <w:szCs w:val="24"/>
          <w:rtl/>
        </w:rPr>
        <w:t>، المغني،</w:t>
      </w:r>
      <w:r w:rsidRPr="002273BC">
        <w:rPr>
          <w:rFonts w:ascii="Arabic Transparent" w:hAnsi="Arabic Transparent" w:cs="Arabic Transparent" w:hint="cs"/>
          <w:sz w:val="24"/>
          <w:szCs w:val="24"/>
          <w:rtl/>
        </w:rPr>
        <w:t xml:space="preserve"> مصدر سابق، ج2، ص483.</w:t>
      </w:r>
    </w:p>
  </w:footnote>
  <w:footnote w:id="610">
    <w:p w14:paraId="35C6C332" w14:textId="148337B0" w:rsidR="004E383D" w:rsidRPr="002273BC" w:rsidRDefault="004E383D" w:rsidP="00EA3738">
      <w:pPr>
        <w:pStyle w:val="FootnoteText"/>
        <w:spacing w:line="360" w:lineRule="auto"/>
        <w:jc w:val="both"/>
        <w:rPr>
          <w:rFonts w:ascii="Arabic Transparent" w:hAnsi="Arabic Transparent" w:cs="Arabic Transparent"/>
          <w:rtl/>
        </w:rPr>
      </w:pPr>
      <w:r w:rsidRPr="002273BC">
        <w:rPr>
          <w:rFonts w:ascii="Arabic Transparent" w:hAnsi="Arabic Transparent" w:cs="Arabic Transparent" w:hint="cs"/>
        </w:rPr>
        <w:t>(</w:t>
      </w:r>
      <w:r w:rsidRPr="002273BC">
        <w:rPr>
          <w:rStyle w:val="FootnoteReference"/>
          <w:rFonts w:ascii="Arabic Transparent" w:hAnsi="Arabic Transparent" w:cs="Arabic Transparent" w:hint="cs"/>
          <w:vertAlign w:val="baseline"/>
        </w:rPr>
        <w:footnoteRef/>
      </w:r>
      <w:r w:rsidRPr="002273BC">
        <w:rPr>
          <w:rFonts w:ascii="Arabic Transparent" w:hAnsi="Arabic Transparent" w:cs="Arabic Transparent" w:hint="cs"/>
        </w:rPr>
        <w:t>)</w:t>
      </w:r>
      <w:r w:rsidRPr="002273BC">
        <w:rPr>
          <w:rFonts w:ascii="Arabic Transparent" w:hAnsi="Arabic Transparent" w:cs="Arabic Transparent" w:hint="cs"/>
          <w:rtl/>
        </w:rPr>
        <w:t xml:space="preserve"> </w:t>
      </w:r>
      <w:r w:rsidR="007C0E42" w:rsidRPr="002273BC">
        <w:rPr>
          <w:rFonts w:ascii="Arabic Transparent" w:hAnsi="Arabic Transparent" w:cs="Arabic Transparent"/>
          <w:sz w:val="24"/>
          <w:szCs w:val="24"/>
          <w:rtl/>
        </w:rPr>
        <w:t xml:space="preserve">المرداوي، علي بن سليمان بن أحمد، أبو الحسن، علاء الدين.(1995) </w:t>
      </w:r>
      <w:r w:rsidR="007C0E42" w:rsidRPr="002273BC">
        <w:rPr>
          <w:rFonts w:ascii="Arabic Transparent" w:hAnsi="Arabic Transparent" w:cs="Arabic Transparent"/>
          <w:b/>
          <w:bCs/>
          <w:sz w:val="24"/>
          <w:szCs w:val="24"/>
          <w:rtl/>
        </w:rPr>
        <w:t>الإنصاف في معرفة الراجح من الخلاف</w:t>
      </w:r>
      <w:r w:rsidR="007C0E42" w:rsidRPr="002273BC">
        <w:rPr>
          <w:rFonts w:ascii="Arabic Transparent" w:hAnsi="Arabic Transparent" w:cs="Arabic Transparent"/>
          <w:sz w:val="24"/>
          <w:szCs w:val="24"/>
          <w:rtl/>
        </w:rPr>
        <w:t>. تحقيق: عبد الله بن عبد المحسن التركي، وعبد الفتاح محمد الحلو. ط1</w:t>
      </w:r>
      <w:r w:rsidR="009502F9" w:rsidRPr="002273BC">
        <w:rPr>
          <w:rFonts w:ascii="Arabic Transparent" w:hAnsi="Arabic Transparent" w:cs="Arabic Transparent" w:hint="cs"/>
          <w:sz w:val="24"/>
          <w:szCs w:val="24"/>
          <w:rtl/>
        </w:rPr>
        <w:t xml:space="preserve">، </w:t>
      </w:r>
      <w:r w:rsidR="009502F9" w:rsidRPr="002273BC">
        <w:rPr>
          <w:rFonts w:ascii="Arabic Transparent" w:hAnsi="Arabic Transparent" w:cs="Arabic Transparent"/>
          <w:sz w:val="24"/>
          <w:szCs w:val="24"/>
          <w:rtl/>
        </w:rPr>
        <w:t>ج2، ص17</w:t>
      </w:r>
      <w:r w:rsidR="009502F9" w:rsidRPr="002273BC">
        <w:rPr>
          <w:rFonts w:ascii="Arabic Transparent" w:hAnsi="Arabic Transparent" w:cs="Arabic Transparent" w:hint="cs"/>
          <w:sz w:val="24"/>
          <w:szCs w:val="24"/>
          <w:rtl/>
        </w:rPr>
        <w:t>،</w:t>
      </w:r>
      <w:r w:rsidR="007C0E42" w:rsidRPr="002273BC">
        <w:rPr>
          <w:rFonts w:ascii="Arabic Transparent" w:hAnsi="Arabic Transparent" w:cs="Arabic Transparent"/>
          <w:sz w:val="24"/>
          <w:szCs w:val="24"/>
          <w:rtl/>
        </w:rPr>
        <w:t xml:space="preserve"> هجر للطباعة والنشر -القاهرة.</w:t>
      </w:r>
    </w:p>
  </w:footnote>
  <w:footnote w:id="611">
    <w:p w14:paraId="253B1A40" w14:textId="2416A2D0"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lang w:bidi="ar-JO"/>
        </w:rPr>
        <w:t xml:space="preserve"> الأسمندي، محمد بن عبد الحميد (2007).</w:t>
      </w:r>
      <w:r w:rsidRPr="002273BC">
        <w:rPr>
          <w:rFonts w:ascii="Arabic Transparent" w:hAnsi="Arabic Transparent" w:cs="Arabic Transparent" w:hint="cs"/>
          <w:b/>
          <w:bCs/>
          <w:sz w:val="24"/>
          <w:szCs w:val="24"/>
          <w:rtl/>
          <w:lang w:bidi="ar-JO"/>
        </w:rPr>
        <w:t xml:space="preserve"> طريقة الخلاف في الفقه بين الأئمة الأسلاف</w:t>
      </w:r>
      <w:r w:rsidRPr="002273BC">
        <w:rPr>
          <w:rFonts w:ascii="Arabic Transparent" w:hAnsi="Arabic Transparent" w:cs="Arabic Transparent" w:hint="cs"/>
          <w:sz w:val="24"/>
          <w:szCs w:val="24"/>
          <w:rtl/>
          <w:lang w:bidi="ar-JO"/>
        </w:rPr>
        <w:t>، تحقيق: محمد زكي عبد البر، ط2، ص347، مكتبة دار التراث، القاهرة.</w:t>
      </w:r>
    </w:p>
  </w:footnote>
  <w:footnote w:id="612">
    <w:p w14:paraId="676ACEDB" w14:textId="36A07CCD" w:rsidR="004E383D" w:rsidRPr="002273BC" w:rsidRDefault="004E383D" w:rsidP="00EA3738">
      <w:pPr>
        <w:spacing w:line="360" w:lineRule="auto"/>
        <w:jc w:val="both"/>
        <w:rPr>
          <w:rFonts w:ascii="Arabic Transparent" w:hAnsi="Arabic Transparent" w:cs="Arabic Transparent"/>
          <w:sz w:val="24"/>
          <w:szCs w:val="24"/>
          <w:rtl/>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00AA6E98" w:rsidRPr="002273BC">
        <w:rPr>
          <w:rFonts w:ascii="Arabic Transparent" w:hAnsi="Arabic Transparent" w:cs="Arabic Transparent" w:hint="cs"/>
          <w:sz w:val="24"/>
          <w:szCs w:val="24"/>
          <w:rtl/>
        </w:rPr>
        <w:t xml:space="preserve">البرهاني، </w:t>
      </w:r>
      <w:r w:rsidRPr="002273BC">
        <w:rPr>
          <w:rFonts w:ascii="Arabic Transparent" w:hAnsi="Arabic Transparent" w:cs="Arabic Transparent" w:hint="cs"/>
          <w:b/>
          <w:bCs/>
          <w:sz w:val="24"/>
          <w:szCs w:val="24"/>
          <w:rtl/>
        </w:rPr>
        <w:t xml:space="preserve">المحيط البرهاني </w:t>
      </w:r>
      <w:r w:rsidRPr="002273BC">
        <w:rPr>
          <w:rFonts w:ascii="Arabic Transparent" w:hAnsi="Arabic Transparent" w:cs="Arabic Transparent" w:hint="cs"/>
          <w:sz w:val="24"/>
          <w:szCs w:val="24"/>
          <w:rtl/>
        </w:rPr>
        <w:t xml:space="preserve">، </w:t>
      </w:r>
      <w:r w:rsidR="00AA6E98" w:rsidRPr="002273BC">
        <w:rPr>
          <w:rFonts w:ascii="Arabic Transparent" w:hAnsi="Arabic Transparent" w:cs="Arabic Transparent" w:hint="cs"/>
          <w:sz w:val="24"/>
          <w:szCs w:val="24"/>
          <w:rtl/>
        </w:rPr>
        <w:t>مصدر سابق</w:t>
      </w:r>
      <w:r w:rsidRPr="002273BC">
        <w:rPr>
          <w:rFonts w:ascii="Arabic Transparent" w:hAnsi="Arabic Transparent" w:cs="Arabic Transparent" w:hint="cs"/>
          <w:sz w:val="24"/>
          <w:szCs w:val="24"/>
          <w:rtl/>
        </w:rPr>
        <w:t>، ج7، ص512.</w:t>
      </w:r>
    </w:p>
  </w:footnote>
  <w:footnote w:id="613">
    <w:p w14:paraId="078E9DF3"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انظر: المصدر السابق نفسه ج7، ص512- 513.</w:t>
      </w:r>
    </w:p>
  </w:footnote>
  <w:footnote w:id="614">
    <w:p w14:paraId="054E2675" w14:textId="00645CDD"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البابرتي، أكمل الدين محمد بن محمد بن محمود (1970). </w:t>
      </w:r>
      <w:r w:rsidRPr="002273BC">
        <w:rPr>
          <w:rFonts w:ascii="Arabic Transparent" w:hAnsi="Arabic Transparent" w:cs="Arabic Transparent" w:hint="cs"/>
          <w:b/>
          <w:bCs/>
          <w:sz w:val="24"/>
          <w:szCs w:val="24"/>
          <w:rtl/>
          <w:lang w:bidi="ar-JO"/>
        </w:rPr>
        <w:t>العناية شرح الهداية</w:t>
      </w:r>
      <w:r w:rsidRPr="002273BC">
        <w:rPr>
          <w:rFonts w:ascii="Arabic Transparent" w:hAnsi="Arabic Transparent" w:cs="Arabic Transparent" w:hint="cs"/>
          <w:sz w:val="24"/>
          <w:szCs w:val="24"/>
          <w:rtl/>
          <w:lang w:bidi="ar-JO"/>
        </w:rPr>
        <w:t>، ط1، ج6، ص333، شركة مكتبة ومطبعة مصطفى البابي الحلبي وأولاده، مصر، والعيني</w:t>
      </w:r>
      <w:r w:rsidRPr="002273BC">
        <w:rPr>
          <w:rFonts w:ascii="Arabic Transparent" w:hAnsi="Arabic Transparent" w:cs="Arabic Transparent" w:hint="cs"/>
          <w:b/>
          <w:bCs/>
          <w:sz w:val="24"/>
          <w:szCs w:val="24"/>
          <w:rtl/>
          <w:lang w:bidi="ar-JO"/>
        </w:rPr>
        <w:t>، البناية شرح الهداية</w:t>
      </w:r>
      <w:r w:rsidRPr="002273BC">
        <w:rPr>
          <w:rFonts w:ascii="Arabic Transparent" w:hAnsi="Arabic Transparent" w:cs="Arabic Transparent" w:hint="cs"/>
          <w:sz w:val="24"/>
          <w:szCs w:val="24"/>
          <w:rtl/>
          <w:lang w:bidi="ar-JO"/>
        </w:rPr>
        <w:t>، مصدر سابق، ج8، ص79.</w:t>
      </w:r>
    </w:p>
  </w:footnote>
  <w:footnote w:id="615">
    <w:p w14:paraId="22260C4E"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الزحيلي، </w:t>
      </w:r>
      <w:r w:rsidRPr="002273BC">
        <w:rPr>
          <w:rFonts w:ascii="Arabic Transparent" w:hAnsi="Arabic Transparent" w:cs="Arabic Transparent" w:hint="cs"/>
          <w:b/>
          <w:bCs/>
          <w:sz w:val="24"/>
          <w:szCs w:val="24"/>
          <w:rtl/>
          <w:lang w:bidi="ar-JO"/>
        </w:rPr>
        <w:t>الفقه الإسلامي وأدلته</w:t>
      </w:r>
      <w:r w:rsidRPr="002273BC">
        <w:rPr>
          <w:rFonts w:ascii="Arabic Transparent" w:hAnsi="Arabic Transparent" w:cs="Arabic Transparent" w:hint="cs"/>
          <w:sz w:val="24"/>
          <w:szCs w:val="24"/>
          <w:rtl/>
          <w:lang w:bidi="ar-JO"/>
        </w:rPr>
        <w:t>، مصدر سابق، ج6، ص47، 38.</w:t>
      </w:r>
    </w:p>
  </w:footnote>
  <w:footnote w:id="616">
    <w:p w14:paraId="28B2CFD9"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الكاساني، </w:t>
      </w:r>
      <w:r w:rsidRPr="002273BC">
        <w:rPr>
          <w:rFonts w:ascii="Arabic Transparent" w:hAnsi="Arabic Transparent" w:cs="Arabic Transparent" w:hint="cs"/>
          <w:b/>
          <w:bCs/>
          <w:sz w:val="24"/>
          <w:szCs w:val="24"/>
          <w:rtl/>
          <w:lang w:bidi="ar-JO"/>
        </w:rPr>
        <w:t>بدائع الصنائع،</w:t>
      </w:r>
      <w:r w:rsidRPr="002273BC">
        <w:rPr>
          <w:rFonts w:ascii="Arabic Transparent" w:hAnsi="Arabic Transparent" w:cs="Arabic Transparent" w:hint="cs"/>
          <w:sz w:val="24"/>
          <w:szCs w:val="24"/>
          <w:rtl/>
          <w:lang w:bidi="ar-JO"/>
        </w:rPr>
        <w:t xml:space="preserve"> مصدر سابق، ج2، ص175. </w:t>
      </w:r>
    </w:p>
  </w:footnote>
  <w:footnote w:id="617">
    <w:p w14:paraId="6EDC848E"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انظر: </w:t>
      </w:r>
      <w:r w:rsidRPr="002273BC">
        <w:rPr>
          <w:rFonts w:ascii="Arabic Transparent" w:hAnsi="Arabic Transparent" w:cs="Arabic Transparent" w:hint="cs"/>
          <w:sz w:val="24"/>
          <w:szCs w:val="24"/>
          <w:rtl/>
          <w:lang w:bidi="ar-JO"/>
        </w:rPr>
        <w:t>المصدر السابق نفسه، ج2، ص175.</w:t>
      </w:r>
    </w:p>
  </w:footnote>
  <w:footnote w:id="618">
    <w:p w14:paraId="1CD63BCA"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الفنجري، محمد شوقي (د.ت). </w:t>
      </w:r>
      <w:r w:rsidRPr="002273BC">
        <w:rPr>
          <w:rFonts w:ascii="Arabic Transparent" w:hAnsi="Arabic Transparent" w:cs="Arabic Transparent" w:hint="cs"/>
          <w:b/>
          <w:bCs/>
          <w:sz w:val="24"/>
          <w:szCs w:val="24"/>
          <w:rtl/>
          <w:lang w:bidi="ar-JO"/>
        </w:rPr>
        <w:t>الإسلام والتوازن الاقتصادي بين الأفراد والدول،</w:t>
      </w:r>
      <w:r w:rsidRPr="002273BC">
        <w:rPr>
          <w:rFonts w:ascii="Arabic Transparent" w:hAnsi="Arabic Transparent" w:cs="Arabic Transparent" w:hint="cs"/>
          <w:sz w:val="24"/>
          <w:szCs w:val="24"/>
          <w:rtl/>
          <w:lang w:bidi="ar-JO"/>
        </w:rPr>
        <w:t xml:space="preserve"> ط1، ص23، منشورات وزارة الأوقاف، مصر.</w:t>
      </w:r>
    </w:p>
  </w:footnote>
  <w:footnote w:id="619">
    <w:p w14:paraId="61C08621"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ابن حزم، </w:t>
      </w:r>
      <w:r w:rsidRPr="002273BC">
        <w:rPr>
          <w:rFonts w:ascii="Arabic Transparent" w:hAnsi="Arabic Transparent" w:cs="Arabic Transparent" w:hint="cs"/>
          <w:b/>
          <w:bCs/>
          <w:sz w:val="24"/>
          <w:szCs w:val="24"/>
          <w:rtl/>
          <w:lang w:bidi="ar-JO"/>
        </w:rPr>
        <w:t>المحلى بالآثار</w:t>
      </w:r>
      <w:r w:rsidRPr="002273BC">
        <w:rPr>
          <w:rFonts w:ascii="Arabic Transparent" w:hAnsi="Arabic Transparent" w:cs="Arabic Transparent" w:hint="cs"/>
          <w:sz w:val="24"/>
          <w:szCs w:val="24"/>
          <w:rtl/>
          <w:lang w:bidi="ar-JO"/>
        </w:rPr>
        <w:t xml:space="preserve">، مصدر سابق، ج7، ص365. </w:t>
      </w:r>
    </w:p>
  </w:footnote>
  <w:footnote w:id="620">
    <w:p w14:paraId="31E68059"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lang w:bidi="ar-JO"/>
        </w:rPr>
        <w:t xml:space="preserve"> انظر: ابن رشد، </w:t>
      </w:r>
      <w:r w:rsidRPr="002273BC">
        <w:rPr>
          <w:rFonts w:ascii="Arabic Transparent" w:hAnsi="Arabic Transparent" w:cs="Arabic Transparent" w:hint="cs"/>
          <w:b/>
          <w:bCs/>
          <w:sz w:val="24"/>
          <w:szCs w:val="24"/>
          <w:rtl/>
          <w:lang w:bidi="ar-JO"/>
        </w:rPr>
        <w:t>بداية المجتهد،</w:t>
      </w:r>
      <w:r w:rsidRPr="002273BC">
        <w:rPr>
          <w:rFonts w:ascii="Arabic Transparent" w:hAnsi="Arabic Transparent" w:cs="Arabic Transparent" w:hint="cs"/>
          <w:sz w:val="24"/>
          <w:szCs w:val="24"/>
          <w:rtl/>
          <w:lang w:bidi="ar-JO"/>
        </w:rPr>
        <w:t xml:space="preserve"> مصدر سابق، ج3، ص233.</w:t>
      </w:r>
    </w:p>
  </w:footnote>
  <w:footnote w:id="621">
    <w:p w14:paraId="72D6A06F"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ابن النجار، </w:t>
      </w:r>
      <w:r w:rsidRPr="002273BC">
        <w:rPr>
          <w:rFonts w:ascii="Arabic Transparent" w:hAnsi="Arabic Transparent" w:cs="Arabic Transparent"/>
          <w:b/>
          <w:bCs/>
          <w:sz w:val="24"/>
          <w:szCs w:val="24"/>
          <w:rtl/>
          <w:lang w:bidi="ar-JO"/>
        </w:rPr>
        <w:t>شرح منتهى الإرادات</w:t>
      </w:r>
      <w:r w:rsidRPr="002273BC">
        <w:rPr>
          <w:rFonts w:ascii="Arabic Transparent" w:hAnsi="Arabic Transparent" w:cs="Arabic Transparent"/>
          <w:sz w:val="24"/>
          <w:szCs w:val="24"/>
          <w:rtl/>
          <w:lang w:bidi="ar-JO"/>
        </w:rPr>
        <w:t xml:space="preserve"> لابن النجار</w:t>
      </w:r>
      <w:r w:rsidRPr="002273BC">
        <w:rPr>
          <w:rFonts w:ascii="Arabic Transparent" w:hAnsi="Arabic Transparent" w:cs="Arabic Transparent" w:hint="cs"/>
          <w:sz w:val="24"/>
          <w:szCs w:val="24"/>
          <w:rtl/>
          <w:lang w:bidi="ar-JO"/>
        </w:rPr>
        <w:t>،ج5، ص88.</w:t>
      </w:r>
    </w:p>
  </w:footnote>
  <w:footnote w:id="622">
    <w:p w14:paraId="2ED5B4D1"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ابن رشد، </w:t>
      </w:r>
      <w:r w:rsidRPr="002273BC">
        <w:rPr>
          <w:rFonts w:ascii="Arabic Transparent" w:hAnsi="Arabic Transparent" w:cs="Arabic Transparent" w:hint="cs"/>
          <w:b/>
          <w:bCs/>
          <w:sz w:val="24"/>
          <w:szCs w:val="24"/>
          <w:rtl/>
          <w:lang w:bidi="ar-JO"/>
        </w:rPr>
        <w:t>البيان والتحصيل</w:t>
      </w:r>
      <w:r w:rsidRPr="002273BC">
        <w:rPr>
          <w:rFonts w:ascii="Arabic Transparent" w:hAnsi="Arabic Transparent" w:cs="Arabic Transparent" w:hint="cs"/>
          <w:sz w:val="24"/>
          <w:szCs w:val="24"/>
          <w:rtl/>
          <w:lang w:bidi="ar-JO"/>
        </w:rPr>
        <w:t>، مصدر سابق، ج11، ص13.</w:t>
      </w:r>
    </w:p>
  </w:footnote>
  <w:footnote w:id="623">
    <w:p w14:paraId="57867E61" w14:textId="77777777" w:rsidR="004E383D" w:rsidRPr="002273BC" w:rsidRDefault="004E383D" w:rsidP="00EA3738">
      <w:pPr>
        <w:spacing w:line="360" w:lineRule="auto"/>
        <w:jc w:val="both"/>
        <w:rPr>
          <w:rFonts w:ascii="Arabic Transparent" w:hAnsi="Arabic Transparent" w:cs="Arabic Transparent"/>
          <w:rtl/>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الرافعي، عبد الكريم بن محمد (د.ت). </w:t>
      </w:r>
      <w:r w:rsidRPr="002273BC">
        <w:rPr>
          <w:rFonts w:ascii="Arabic Transparent" w:hAnsi="Arabic Transparent" w:cs="Arabic Transparent" w:hint="cs"/>
          <w:b/>
          <w:bCs/>
          <w:sz w:val="24"/>
          <w:szCs w:val="24"/>
          <w:rtl/>
        </w:rPr>
        <w:t>فتح العزيز بشرح الوجيز</w:t>
      </w:r>
      <w:r w:rsidRPr="002273BC">
        <w:rPr>
          <w:rFonts w:ascii="Arabic Transparent" w:hAnsi="Arabic Transparent" w:cs="Arabic Transparent" w:hint="cs"/>
          <w:sz w:val="24"/>
          <w:szCs w:val="24"/>
          <w:rtl/>
        </w:rPr>
        <w:t>، ط1، ج10، ص284، دار الفكر، بيروت.</w:t>
      </w:r>
    </w:p>
  </w:footnote>
  <w:footnote w:id="624">
    <w:p w14:paraId="5DAB41E1" w14:textId="77777777" w:rsidR="004E383D" w:rsidRPr="002273BC" w:rsidRDefault="004E383D" w:rsidP="00EA3738">
      <w:pPr>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lang w:bidi="ar-JO"/>
        </w:rPr>
        <w:t>ابن قدامة</w:t>
      </w:r>
      <w:r w:rsidRPr="002273BC">
        <w:rPr>
          <w:rFonts w:ascii="Arabic Transparent" w:hAnsi="Arabic Transparent" w:cs="Arabic Transparent" w:hint="cs"/>
          <w:b/>
          <w:bCs/>
          <w:sz w:val="24"/>
          <w:szCs w:val="24"/>
          <w:rtl/>
          <w:lang w:bidi="ar-JO"/>
        </w:rPr>
        <w:t xml:space="preserve">، </w:t>
      </w:r>
      <w:r w:rsidRPr="002273BC">
        <w:rPr>
          <w:rFonts w:ascii="Arabic Transparent" w:hAnsi="Arabic Transparent" w:cs="Arabic Transparent"/>
          <w:b/>
          <w:bCs/>
          <w:sz w:val="24"/>
          <w:szCs w:val="24"/>
          <w:rtl/>
          <w:lang w:bidi="ar-JO"/>
        </w:rPr>
        <w:t>المقنع في فقه الإمام أحمد</w:t>
      </w:r>
      <w:r w:rsidRPr="002273BC">
        <w:rPr>
          <w:rFonts w:ascii="Arabic Transparent" w:hAnsi="Arabic Transparent" w:cs="Arabic Transparent" w:hint="cs"/>
          <w:sz w:val="24"/>
          <w:szCs w:val="24"/>
          <w:rtl/>
          <w:lang w:bidi="ar-JO"/>
        </w:rPr>
        <w:t xml:space="preserve">، مصدر سابق، ص161. </w:t>
      </w:r>
    </w:p>
  </w:footnote>
  <w:footnote w:id="625">
    <w:p w14:paraId="0E0B2B22"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المسترسِل: </w:t>
      </w:r>
      <w:r w:rsidRPr="002273BC">
        <w:rPr>
          <w:rFonts w:ascii="Arabic Transparent" w:hAnsi="Arabic Transparent" w:cs="Arabic Transparent" w:hint="cs"/>
          <w:sz w:val="24"/>
          <w:szCs w:val="24"/>
          <w:rtl/>
          <w:lang w:bidi="ar-JO"/>
        </w:rPr>
        <w:t xml:space="preserve">اسم فاعل من استرسل إذا اطمأن واستأنس، والمراد هنا: الجاهل بالقيمة من بائع ومشترٍ، وكان مستسئلاً مستنصحًا للذي عامله - والمخدوع والمستغل، قلعجي، </w:t>
      </w:r>
      <w:r w:rsidRPr="002273BC">
        <w:rPr>
          <w:rFonts w:ascii="Arabic Transparent" w:hAnsi="Arabic Transparent" w:cs="Arabic Transparent" w:hint="cs"/>
          <w:b/>
          <w:bCs/>
          <w:sz w:val="24"/>
          <w:szCs w:val="24"/>
          <w:rtl/>
          <w:lang w:bidi="ar-JO"/>
        </w:rPr>
        <w:t>معجم لغة الفقهاء</w:t>
      </w:r>
      <w:r w:rsidRPr="002273BC">
        <w:rPr>
          <w:rFonts w:ascii="Arabic Transparent" w:hAnsi="Arabic Transparent" w:cs="Arabic Transparent" w:hint="cs"/>
          <w:sz w:val="24"/>
          <w:szCs w:val="24"/>
          <w:rtl/>
          <w:lang w:bidi="ar-JO"/>
        </w:rPr>
        <w:t>، مصدر سابق، ص427.</w:t>
      </w:r>
    </w:p>
  </w:footnote>
  <w:footnote w:id="626">
    <w:p w14:paraId="5D827B63"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الرافعي، </w:t>
      </w:r>
      <w:r w:rsidRPr="002273BC">
        <w:rPr>
          <w:rFonts w:ascii="Arabic Transparent" w:hAnsi="Arabic Transparent" w:cs="Arabic Transparent" w:hint="cs"/>
          <w:b/>
          <w:bCs/>
          <w:sz w:val="24"/>
          <w:szCs w:val="24"/>
          <w:rtl/>
          <w:lang w:bidi="ar-JO"/>
        </w:rPr>
        <w:t>فتح العزيز</w:t>
      </w:r>
      <w:r w:rsidRPr="002273BC">
        <w:rPr>
          <w:rFonts w:ascii="Arabic Transparent" w:hAnsi="Arabic Transparent" w:cs="Arabic Transparent" w:hint="cs"/>
          <w:sz w:val="24"/>
          <w:szCs w:val="24"/>
          <w:rtl/>
          <w:lang w:bidi="ar-JO"/>
        </w:rPr>
        <w:t>، مصدر سابق، ج4، ص237.</w:t>
      </w:r>
    </w:p>
  </w:footnote>
  <w:footnote w:id="627">
    <w:p w14:paraId="71C45C1B" w14:textId="31255BE1" w:rsidR="004E383D" w:rsidRPr="002273BC" w:rsidRDefault="004E383D" w:rsidP="00EA3738">
      <w:pPr>
        <w:pStyle w:val="FootnoteText"/>
        <w:spacing w:line="360" w:lineRule="auto"/>
        <w:jc w:val="both"/>
        <w:rPr>
          <w:rFonts w:ascii="Arabic Transparent" w:hAnsi="Arabic Transparent" w:cs="Arabic Transparent"/>
          <w:sz w:val="24"/>
          <w:szCs w:val="24"/>
          <w:rtl/>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001969D8">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rPr>
        <w:t xml:space="preserve">البهوتي، </w:t>
      </w:r>
      <w:r w:rsidRPr="002273BC">
        <w:rPr>
          <w:rFonts w:ascii="Arabic Transparent" w:hAnsi="Arabic Transparent" w:cs="Arabic Transparent" w:hint="cs"/>
          <w:b/>
          <w:bCs/>
          <w:sz w:val="24"/>
          <w:szCs w:val="24"/>
          <w:rtl/>
        </w:rPr>
        <w:t>كشاف القناع،</w:t>
      </w:r>
      <w:r w:rsidRPr="002273BC">
        <w:rPr>
          <w:rFonts w:ascii="Arabic Transparent" w:hAnsi="Arabic Transparent" w:cs="Arabic Transparent" w:hint="cs"/>
          <w:sz w:val="24"/>
          <w:szCs w:val="24"/>
          <w:rtl/>
        </w:rPr>
        <w:t xml:space="preserve"> مصدر سابق، ج4، ص1442.</w:t>
      </w:r>
    </w:p>
  </w:footnote>
  <w:footnote w:id="628">
    <w:p w14:paraId="150E5B2B" w14:textId="73A4249C" w:rsidR="004E383D" w:rsidRPr="002273BC" w:rsidRDefault="004E383D" w:rsidP="00EA3738">
      <w:pPr>
        <w:spacing w:line="360" w:lineRule="auto"/>
        <w:jc w:val="both"/>
        <w:rPr>
          <w:rFonts w:ascii="Arabic Transparent" w:hAnsi="Arabic Transparent" w:cs="Arabic Transparent"/>
          <w:sz w:val="24"/>
          <w:szCs w:val="24"/>
          <w:rtl/>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001969D8">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rPr>
        <w:t>الزحيلي</w:t>
      </w:r>
      <w:r w:rsidR="00AA6E98" w:rsidRPr="002273BC">
        <w:rPr>
          <w:rFonts w:ascii="Arabic Transparent" w:hAnsi="Arabic Transparent" w:cs="Arabic Transparent" w:hint="cs"/>
          <w:sz w:val="24"/>
          <w:szCs w:val="24"/>
          <w:rtl/>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b/>
          <w:bCs/>
          <w:sz w:val="24"/>
          <w:szCs w:val="24"/>
          <w:rtl/>
        </w:rPr>
        <w:t>الفقه الإسلامي وأدلته</w:t>
      </w:r>
      <w:r w:rsidRPr="002273BC">
        <w:rPr>
          <w:rFonts w:ascii="Arabic Transparent" w:hAnsi="Arabic Transparent" w:cs="Arabic Transparent" w:hint="cs"/>
          <w:sz w:val="24"/>
          <w:szCs w:val="24"/>
          <w:rtl/>
        </w:rPr>
        <w:t>،</w:t>
      </w:r>
      <w:r w:rsidR="00AA6E98" w:rsidRPr="002273BC">
        <w:rPr>
          <w:rFonts w:ascii="Arabic Transparent" w:hAnsi="Arabic Transparent" w:cs="Arabic Transparent" w:hint="cs"/>
          <w:sz w:val="24"/>
          <w:szCs w:val="24"/>
          <w:rtl/>
        </w:rPr>
        <w:t xml:space="preserve"> مصدر سابق، </w:t>
      </w:r>
      <w:r w:rsidRPr="002273BC">
        <w:rPr>
          <w:rFonts w:ascii="Arabic Transparent" w:hAnsi="Arabic Transparent" w:cs="Arabic Transparent" w:hint="cs"/>
          <w:sz w:val="24"/>
          <w:szCs w:val="24"/>
          <w:rtl/>
        </w:rPr>
        <w:t>ج1، ص85</w:t>
      </w:r>
      <w:r w:rsidR="00AA6E98" w:rsidRPr="002273BC">
        <w:rPr>
          <w:rFonts w:ascii="Arabic Transparent" w:hAnsi="Arabic Transparent" w:cs="Arabic Transparent" w:hint="cs"/>
          <w:sz w:val="24"/>
          <w:szCs w:val="24"/>
          <w:rtl/>
        </w:rPr>
        <w:t>.</w:t>
      </w:r>
      <w:r w:rsidRPr="002273BC">
        <w:rPr>
          <w:rFonts w:ascii="Arabic Transparent" w:hAnsi="Arabic Transparent" w:cs="Arabic Transparent" w:hint="cs"/>
          <w:sz w:val="24"/>
          <w:szCs w:val="24"/>
          <w:rtl/>
        </w:rPr>
        <w:t xml:space="preserve"> </w:t>
      </w:r>
    </w:p>
  </w:footnote>
  <w:footnote w:id="629">
    <w:p w14:paraId="62CC2EB3"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انظر: ابن تيمية، </w:t>
      </w:r>
      <w:r w:rsidRPr="002273BC">
        <w:rPr>
          <w:rFonts w:ascii="Arabic Transparent" w:hAnsi="Arabic Transparent" w:cs="Arabic Transparent" w:hint="cs"/>
          <w:b/>
          <w:bCs/>
          <w:sz w:val="24"/>
          <w:szCs w:val="24"/>
          <w:rtl/>
          <w:lang w:bidi="ar-JO"/>
        </w:rPr>
        <w:t>مجموع الفتاوى</w:t>
      </w:r>
      <w:r w:rsidRPr="002273BC">
        <w:rPr>
          <w:rFonts w:ascii="Arabic Transparent" w:hAnsi="Arabic Transparent" w:cs="Arabic Transparent" w:hint="cs"/>
          <w:sz w:val="24"/>
          <w:szCs w:val="24"/>
          <w:rtl/>
          <w:lang w:bidi="ar-JO"/>
        </w:rPr>
        <w:t>، مصدر سابق، ج28، ص386، والشاطبي،</w:t>
      </w:r>
      <w:r w:rsidRPr="002273BC">
        <w:rPr>
          <w:rFonts w:ascii="Arabic Transparent" w:hAnsi="Arabic Transparent" w:cs="Arabic Transparent" w:hint="cs"/>
          <w:b/>
          <w:bCs/>
          <w:sz w:val="24"/>
          <w:szCs w:val="24"/>
          <w:rtl/>
          <w:lang w:bidi="ar-JO"/>
        </w:rPr>
        <w:t xml:space="preserve"> الموافقات</w:t>
      </w:r>
      <w:r w:rsidRPr="002273BC">
        <w:rPr>
          <w:rFonts w:ascii="Arabic Transparent" w:hAnsi="Arabic Transparent" w:cs="Arabic Transparent" w:hint="cs"/>
          <w:sz w:val="24"/>
          <w:szCs w:val="24"/>
          <w:rtl/>
          <w:lang w:bidi="ar-JO"/>
        </w:rPr>
        <w:t>، مصدر سابق، ج2، ص305-306.</w:t>
      </w:r>
    </w:p>
  </w:footnote>
  <w:footnote w:id="630">
    <w:p w14:paraId="1C414789" w14:textId="77777777" w:rsidR="0058517D" w:rsidRPr="002273BC" w:rsidRDefault="0058517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قام العلماء بتأويل حديث النبي عليه السلام </w:t>
      </w:r>
      <w:r w:rsidRPr="002273BC">
        <w:rPr>
          <w:rFonts w:ascii="Arabic Transparent" w:hAnsi="Arabic Transparent" w:cs="Arabic Transparent"/>
          <w:sz w:val="24"/>
          <w:szCs w:val="24"/>
          <w:rtl/>
          <w:lang w:bidi="ar-JO"/>
        </w:rPr>
        <w:t>"</w:t>
      </w:r>
      <w:r w:rsidRPr="002273BC">
        <w:rPr>
          <w:rFonts w:ascii="Arabic Transparent" w:hAnsi="Arabic Transparent" w:cs="Arabic Transparent" w:hint="cs"/>
          <w:sz w:val="24"/>
          <w:szCs w:val="24"/>
          <w:rtl/>
          <w:lang w:bidi="ar-JO"/>
        </w:rPr>
        <w:t xml:space="preserve">‌كُلُّ ‌شَرْطٍ خَالَفَ كِتَابَ اللَّهِ فَهُوَ بَاطِلٌ وَإِنِ اشْتَرَطَ مِائَةَ شَرْطٍ"، فكتاب الله هو القواعد العامة في الشريعة وليس معناه ليس مكتوباً في القرآن الكريم، الحديث ذكره البخاري، </w:t>
      </w:r>
      <w:r w:rsidRPr="002273BC">
        <w:rPr>
          <w:rFonts w:ascii="Arabic Transparent" w:hAnsi="Arabic Transparent" w:cs="Arabic Transparent" w:hint="cs"/>
          <w:b/>
          <w:bCs/>
          <w:sz w:val="24"/>
          <w:szCs w:val="24"/>
          <w:rtl/>
          <w:lang w:bidi="ar-JO"/>
        </w:rPr>
        <w:t>صحيح البخاري</w:t>
      </w:r>
      <w:r w:rsidRPr="002273BC">
        <w:rPr>
          <w:rFonts w:ascii="Arabic Transparent" w:hAnsi="Arabic Transparent" w:cs="Arabic Transparent" w:hint="cs"/>
          <w:sz w:val="24"/>
          <w:szCs w:val="24"/>
          <w:rtl/>
          <w:lang w:bidi="ar-JO"/>
        </w:rPr>
        <w:t>، مصدر سابق، كتاب الشروط، باب المكاتب، ر17، ج2، ص981.</w:t>
      </w:r>
    </w:p>
  </w:footnote>
  <w:footnote w:id="631">
    <w:p w14:paraId="02792161" w14:textId="586A9F64"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أكثر الحنفية على هذا الرأي، الشيباني، محمد (2012)</w:t>
      </w:r>
      <w:r w:rsidR="005D7B91"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b/>
          <w:bCs/>
          <w:sz w:val="24"/>
          <w:szCs w:val="24"/>
          <w:rtl/>
        </w:rPr>
        <w:t>الأصل</w:t>
      </w:r>
      <w:r w:rsidRPr="002273BC">
        <w:rPr>
          <w:rFonts w:ascii="Arabic Transparent" w:hAnsi="Arabic Transparent" w:cs="Arabic Transparent" w:hint="cs"/>
          <w:sz w:val="24"/>
          <w:szCs w:val="24"/>
          <w:rtl/>
        </w:rPr>
        <w:t>، ط1، ص284، دار ابن حزم بيروت، و</w:t>
      </w:r>
      <w:r w:rsidRPr="002273BC">
        <w:rPr>
          <w:rFonts w:ascii="Arabic Transparent" w:hAnsi="Arabic Transparent" w:cs="Arabic Transparent"/>
          <w:sz w:val="24"/>
          <w:szCs w:val="24"/>
          <w:rtl/>
          <w:lang w:bidi="ar-JO"/>
        </w:rPr>
        <w:t xml:space="preserve">السرخسي، </w:t>
      </w:r>
      <w:r w:rsidRPr="002273BC">
        <w:rPr>
          <w:rFonts w:ascii="Arabic Transparent" w:hAnsi="Arabic Transparent" w:cs="Arabic Transparent"/>
          <w:b/>
          <w:bCs/>
          <w:sz w:val="24"/>
          <w:szCs w:val="24"/>
          <w:rtl/>
          <w:lang w:bidi="ar-JO"/>
        </w:rPr>
        <w:t>المبسوط،</w:t>
      </w:r>
      <w:r w:rsidRPr="002273BC">
        <w:rPr>
          <w:rFonts w:ascii="Arabic Transparent" w:hAnsi="Arabic Transparent" w:cs="Arabic Transparent"/>
          <w:sz w:val="24"/>
          <w:szCs w:val="24"/>
          <w:rtl/>
          <w:lang w:bidi="ar-JO"/>
        </w:rPr>
        <w:t xml:space="preserve"> مصدر سابق، ج24، ص77،</w:t>
      </w:r>
      <w:r w:rsidRPr="002273BC">
        <w:rPr>
          <w:rFonts w:ascii="Arabic Transparent" w:hAnsi="Arabic Transparent" w:cs="Arabic Transparent" w:hint="cs"/>
          <w:sz w:val="24"/>
          <w:szCs w:val="24"/>
          <w:rtl/>
          <w:lang w:bidi="ar-JO"/>
        </w:rPr>
        <w:t xml:space="preserve"> و</w:t>
      </w:r>
      <w:r w:rsidRPr="002273BC">
        <w:rPr>
          <w:rFonts w:ascii="Arabic Transparent" w:hAnsi="Arabic Transparent" w:cs="Arabic Transparent"/>
          <w:sz w:val="24"/>
          <w:szCs w:val="24"/>
          <w:rtl/>
          <w:lang w:bidi="ar-JO"/>
        </w:rPr>
        <w:t xml:space="preserve">ابن الهمام، </w:t>
      </w:r>
      <w:r w:rsidRPr="002273BC">
        <w:rPr>
          <w:rFonts w:ascii="Arabic Transparent" w:hAnsi="Arabic Transparent" w:cs="Arabic Transparent"/>
          <w:b/>
          <w:bCs/>
          <w:sz w:val="24"/>
          <w:szCs w:val="24"/>
          <w:rtl/>
          <w:lang w:bidi="ar-JO"/>
        </w:rPr>
        <w:t>شرح فتح القدير</w:t>
      </w:r>
      <w:r w:rsidRPr="002273BC">
        <w:rPr>
          <w:rFonts w:ascii="Arabic Transparent" w:hAnsi="Arabic Transparent" w:cs="Arabic Transparent"/>
          <w:sz w:val="24"/>
          <w:szCs w:val="24"/>
          <w:rtl/>
          <w:lang w:bidi="ar-JO"/>
        </w:rPr>
        <w:t xml:space="preserve">، مصدر سابق، ج6، </w:t>
      </w:r>
      <w:r w:rsidR="00C735E1">
        <w:rPr>
          <w:rFonts w:ascii="Arabic Transparent" w:hAnsi="Arabic Transparent" w:cs="Arabic Transparent" w:hint="cs"/>
          <w:sz w:val="24"/>
          <w:szCs w:val="24"/>
          <w:rtl/>
          <w:lang w:bidi="ar-JO"/>
        </w:rPr>
        <w:t>ص</w:t>
      </w:r>
      <w:r w:rsidRPr="002273BC">
        <w:rPr>
          <w:rFonts w:ascii="Arabic Transparent" w:hAnsi="Arabic Transparent" w:cs="Arabic Transparent"/>
          <w:sz w:val="24"/>
          <w:szCs w:val="24"/>
          <w:rtl/>
          <w:lang w:bidi="ar-JO"/>
        </w:rPr>
        <w:t>497</w:t>
      </w:r>
      <w:r w:rsidRPr="002273BC">
        <w:rPr>
          <w:rFonts w:ascii="Arabic Transparent" w:hAnsi="Arabic Transparent" w:cs="Arabic Transparent" w:hint="cs"/>
          <w:sz w:val="24"/>
          <w:szCs w:val="24"/>
          <w:rtl/>
          <w:lang w:bidi="ar-JO"/>
        </w:rPr>
        <w:t>.</w:t>
      </w:r>
    </w:p>
  </w:footnote>
  <w:footnote w:id="632">
    <w:p w14:paraId="7C02397C" w14:textId="1571FBC2"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sz w:val="24"/>
          <w:szCs w:val="24"/>
          <w:rtl/>
          <w:lang w:bidi="ar-JO"/>
        </w:rPr>
        <w:t>الزرقاني</w:t>
      </w:r>
      <w:r w:rsidRPr="002273BC">
        <w:rPr>
          <w:rFonts w:ascii="Arabic Transparent" w:hAnsi="Arabic Transparent" w:cs="Arabic Transparent" w:hint="cs"/>
          <w:b/>
          <w:bCs/>
          <w:sz w:val="24"/>
          <w:szCs w:val="24"/>
          <w:rtl/>
          <w:lang w:bidi="ar-JO"/>
        </w:rPr>
        <w:t xml:space="preserve">، </w:t>
      </w:r>
      <w:r w:rsidRPr="002273BC">
        <w:rPr>
          <w:rFonts w:ascii="Arabic Transparent" w:hAnsi="Arabic Transparent" w:cs="Arabic Transparent"/>
          <w:b/>
          <w:bCs/>
          <w:sz w:val="24"/>
          <w:szCs w:val="24"/>
          <w:rtl/>
          <w:lang w:bidi="ar-JO"/>
        </w:rPr>
        <w:t>شرح الزرقاني على مختصر خليل وحاشية البناني</w:t>
      </w:r>
      <w:r w:rsidRPr="002273BC">
        <w:rPr>
          <w:rFonts w:ascii="Arabic Transparent" w:hAnsi="Arabic Transparent" w:cs="Arabic Transparent" w:hint="cs"/>
          <w:sz w:val="24"/>
          <w:szCs w:val="24"/>
          <w:rtl/>
          <w:lang w:bidi="ar-JO"/>
        </w:rPr>
        <w:t>، مصدر سابق،</w:t>
      </w:r>
      <w:r w:rsidR="00C735E1">
        <w:rPr>
          <w:rFonts w:ascii="Arabic Transparent" w:hAnsi="Arabic Transparent" w:cs="Arabic Transparent" w:hint="cs"/>
          <w:sz w:val="24"/>
          <w:szCs w:val="24"/>
          <w:rtl/>
          <w:lang w:bidi="ar-JO"/>
        </w:rPr>
        <w:t>ج1، ص320.</w:t>
      </w:r>
      <w:r w:rsidRPr="002273BC">
        <w:rPr>
          <w:rFonts w:ascii="Arabic Transparent" w:hAnsi="Arabic Transparent" w:cs="Arabic Transparent" w:hint="cs"/>
          <w:sz w:val="24"/>
          <w:szCs w:val="24"/>
          <w:rtl/>
          <w:lang w:bidi="ar-JO"/>
        </w:rPr>
        <w:t xml:space="preserve"> </w:t>
      </w:r>
    </w:p>
  </w:footnote>
  <w:footnote w:id="633">
    <w:p w14:paraId="7C64538A"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sz w:val="24"/>
          <w:szCs w:val="24"/>
          <w:rtl/>
          <w:lang w:bidi="ar-JO"/>
        </w:rPr>
        <w:t xml:space="preserve">الشافعي، </w:t>
      </w:r>
      <w:r w:rsidRPr="00C735E1">
        <w:rPr>
          <w:rFonts w:ascii="Arabic Transparent" w:hAnsi="Arabic Transparent" w:cs="Arabic Transparent"/>
          <w:b/>
          <w:bCs/>
          <w:sz w:val="24"/>
          <w:szCs w:val="24"/>
          <w:rtl/>
          <w:lang w:bidi="ar-JO"/>
        </w:rPr>
        <w:t>الأم</w:t>
      </w:r>
      <w:r w:rsidRPr="002273BC">
        <w:rPr>
          <w:rFonts w:ascii="Arabic Transparent" w:hAnsi="Arabic Transparent" w:cs="Arabic Transparent"/>
          <w:sz w:val="24"/>
          <w:szCs w:val="24"/>
          <w:rtl/>
          <w:lang w:bidi="ar-JO"/>
        </w:rPr>
        <w:t>، مصدر سابق، ج3، ص3،</w:t>
      </w:r>
      <w:r w:rsidRPr="002273BC">
        <w:rPr>
          <w:rFonts w:ascii="Arabic Transparent" w:hAnsi="Arabic Transparent" w:cs="Arabic Transparent" w:hint="cs"/>
          <w:sz w:val="24"/>
          <w:szCs w:val="24"/>
          <w:rtl/>
          <w:lang w:bidi="ar-JO"/>
        </w:rPr>
        <w:t xml:space="preserve"> والنووي</w:t>
      </w:r>
      <w:r w:rsidRPr="002273BC">
        <w:rPr>
          <w:rFonts w:ascii="Arabic Transparent" w:hAnsi="Arabic Transparent" w:cs="Arabic Transparent" w:hint="cs"/>
          <w:b/>
          <w:bCs/>
          <w:sz w:val="24"/>
          <w:szCs w:val="24"/>
          <w:rtl/>
          <w:lang w:bidi="ar-JO"/>
        </w:rPr>
        <w:t xml:space="preserve">، </w:t>
      </w:r>
      <w:r w:rsidRPr="002273BC">
        <w:rPr>
          <w:rFonts w:ascii="Arabic Transparent" w:hAnsi="Arabic Transparent" w:cs="Arabic Transparent"/>
          <w:b/>
          <w:bCs/>
          <w:sz w:val="24"/>
          <w:szCs w:val="24"/>
          <w:rtl/>
          <w:lang w:bidi="ar-JO"/>
        </w:rPr>
        <w:t>روضة الطالبين وعمدة المفتين</w:t>
      </w:r>
      <w:r w:rsidRPr="002273BC">
        <w:rPr>
          <w:rFonts w:ascii="Arabic Transparent" w:hAnsi="Arabic Transparent" w:cs="Arabic Transparent" w:hint="cs"/>
          <w:sz w:val="24"/>
          <w:szCs w:val="24"/>
          <w:rtl/>
          <w:lang w:bidi="ar-JO"/>
        </w:rPr>
        <w:t>، مصدر سابق، ج7، ص32.</w:t>
      </w:r>
    </w:p>
  </w:footnote>
  <w:footnote w:id="634">
    <w:p w14:paraId="2FE5D1E4" w14:textId="77777777" w:rsidR="004E383D" w:rsidRPr="0058517D"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sz w:val="24"/>
          <w:szCs w:val="24"/>
          <w:rtl/>
          <w:lang w:bidi="ar-JO"/>
        </w:rPr>
        <w:t xml:space="preserve">المقدسي، </w:t>
      </w:r>
      <w:r w:rsidRPr="002273BC">
        <w:rPr>
          <w:rFonts w:ascii="Arabic Transparent" w:hAnsi="Arabic Transparent" w:cs="Arabic Transparent"/>
          <w:b/>
          <w:bCs/>
          <w:sz w:val="24"/>
          <w:szCs w:val="24"/>
          <w:rtl/>
          <w:lang w:bidi="ar-JO"/>
        </w:rPr>
        <w:t>العدة شرح العمدة</w:t>
      </w:r>
      <w:r w:rsidRPr="002273BC">
        <w:rPr>
          <w:rFonts w:ascii="Arabic Transparent" w:hAnsi="Arabic Transparent" w:cs="Arabic Transparent"/>
          <w:sz w:val="24"/>
          <w:szCs w:val="24"/>
          <w:rtl/>
          <w:lang w:bidi="ar-JO"/>
        </w:rPr>
        <w:t>، مصدر سابق، ص485</w:t>
      </w:r>
      <w:r w:rsidRPr="002273BC">
        <w:rPr>
          <w:rFonts w:ascii="Arabic Transparent" w:hAnsi="Arabic Transparent" w:cs="Arabic Transparent" w:hint="cs"/>
          <w:sz w:val="24"/>
          <w:szCs w:val="24"/>
          <w:rtl/>
          <w:lang w:bidi="ar-JO"/>
        </w:rPr>
        <w:t xml:space="preserve">، </w:t>
      </w:r>
      <w:r w:rsidRPr="002273BC">
        <w:rPr>
          <w:rFonts w:ascii="Arabic Transparent" w:hAnsi="Arabic Transparent" w:cs="Arabic Transparent"/>
          <w:sz w:val="24"/>
          <w:szCs w:val="24"/>
          <w:rtl/>
          <w:lang w:bidi="ar-JO"/>
        </w:rPr>
        <w:t xml:space="preserve">وابن تيمية، تقي الدين أحمد بن عبد الحليم الحراني </w:t>
      </w:r>
      <w:r w:rsidRPr="0058517D">
        <w:rPr>
          <w:rFonts w:ascii="Arabic Transparent" w:hAnsi="Arabic Transparent" w:cs="Arabic Transparent"/>
          <w:sz w:val="24"/>
          <w:szCs w:val="24"/>
          <w:rtl/>
          <w:lang w:bidi="ar-JO"/>
        </w:rPr>
        <w:t xml:space="preserve">(1997). </w:t>
      </w:r>
      <w:r w:rsidRPr="0058517D">
        <w:rPr>
          <w:rFonts w:ascii="Arabic Transparent" w:hAnsi="Arabic Transparent" w:cs="Arabic Transparent"/>
          <w:b/>
          <w:bCs/>
          <w:sz w:val="24"/>
          <w:szCs w:val="24"/>
          <w:rtl/>
          <w:lang w:bidi="ar-JO"/>
        </w:rPr>
        <w:t>السياسة الشرعية في إصلاح الراعي والرعية</w:t>
      </w:r>
      <w:r w:rsidRPr="0058517D">
        <w:rPr>
          <w:rFonts w:ascii="Arabic Transparent" w:hAnsi="Arabic Transparent" w:cs="Arabic Transparent"/>
          <w:sz w:val="24"/>
          <w:szCs w:val="24"/>
          <w:rtl/>
          <w:lang w:bidi="ar-JO"/>
        </w:rPr>
        <w:t>، ط1، ص211، وزارة الشؤون الإسلامية والأوقاف والدعوة والإرشاد، المملكة العربية السعودية.</w:t>
      </w:r>
    </w:p>
  </w:footnote>
  <w:footnote w:id="635">
    <w:p w14:paraId="1D358B09" w14:textId="6A895D63" w:rsidR="0058517D" w:rsidRPr="00D66EC6" w:rsidRDefault="0058517D" w:rsidP="00EA3738">
      <w:pPr>
        <w:pStyle w:val="FootnoteText"/>
        <w:spacing w:line="360" w:lineRule="auto"/>
        <w:jc w:val="both"/>
        <w:rPr>
          <w:rFonts w:ascii="Arabic Transparent" w:hAnsi="Arabic Transparent" w:cs="Arabic Transparent"/>
          <w:rtl/>
          <w:lang w:bidi="ar-JO"/>
        </w:rPr>
      </w:pPr>
      <w:r w:rsidRPr="0058517D">
        <w:rPr>
          <w:rFonts w:ascii="Arabic Transparent" w:hAnsi="Arabic Transparent" w:cs="Arabic Transparent" w:hint="cs"/>
          <w:sz w:val="24"/>
          <w:szCs w:val="24"/>
        </w:rPr>
        <w:t>(</w:t>
      </w:r>
      <w:r w:rsidRPr="0058517D">
        <w:rPr>
          <w:rStyle w:val="FootnoteReference"/>
          <w:rFonts w:ascii="Arabic Transparent" w:hAnsi="Arabic Transparent" w:cs="Arabic Transparent" w:hint="cs"/>
          <w:sz w:val="24"/>
          <w:szCs w:val="24"/>
          <w:vertAlign w:val="baseline"/>
        </w:rPr>
        <w:footnoteRef/>
      </w:r>
      <w:r w:rsidRPr="0058517D">
        <w:rPr>
          <w:rFonts w:ascii="Arabic Transparent" w:hAnsi="Arabic Transparent" w:cs="Arabic Transparent" w:hint="cs"/>
          <w:sz w:val="24"/>
          <w:szCs w:val="24"/>
        </w:rPr>
        <w:t>)</w:t>
      </w:r>
      <w:r w:rsidRPr="0058517D">
        <w:rPr>
          <w:rFonts w:ascii="Arabic Transparent" w:hAnsi="Arabic Transparent" w:cs="Arabic Transparent" w:hint="cs"/>
          <w:sz w:val="24"/>
          <w:szCs w:val="24"/>
          <w:rtl/>
        </w:rPr>
        <w:t xml:space="preserve"> </w:t>
      </w:r>
      <w:r w:rsidRPr="0058517D">
        <w:rPr>
          <w:rFonts w:ascii="Arabic Transparent" w:hAnsi="Arabic Transparent" w:cs="Arabic Transparent"/>
          <w:sz w:val="24"/>
          <w:szCs w:val="24"/>
          <w:rtl/>
          <w:lang w:bidi="ar-JO"/>
        </w:rPr>
        <w:t xml:space="preserve">والسرخسي، </w:t>
      </w:r>
      <w:r w:rsidRPr="0058517D">
        <w:rPr>
          <w:rFonts w:ascii="Arabic Transparent" w:hAnsi="Arabic Transparent" w:cs="Arabic Transparent"/>
          <w:b/>
          <w:bCs/>
          <w:sz w:val="24"/>
          <w:szCs w:val="24"/>
          <w:rtl/>
          <w:lang w:bidi="ar-JO"/>
        </w:rPr>
        <w:t>المبسوط</w:t>
      </w:r>
      <w:r w:rsidRPr="0058517D">
        <w:rPr>
          <w:rFonts w:ascii="Arabic Transparent" w:hAnsi="Arabic Transparent" w:cs="Arabic Transparent"/>
          <w:sz w:val="24"/>
          <w:szCs w:val="24"/>
          <w:rtl/>
          <w:lang w:bidi="ar-JO"/>
        </w:rPr>
        <w:t>، مصدر سابق، ج24، ص77</w:t>
      </w:r>
      <w:r>
        <w:rPr>
          <w:rFonts w:ascii="Arabic Transparent" w:hAnsi="Arabic Transparent" w:cs="Arabic Transparent" w:hint="cs"/>
          <w:rtl/>
          <w:lang w:bidi="ar-JO"/>
        </w:rPr>
        <w:t>.</w:t>
      </w:r>
    </w:p>
  </w:footnote>
  <w:footnote w:id="636">
    <w:p w14:paraId="1EB1DBF1"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ابن رشد، أبو الوليد محمد بن أحمد القرطبي (1988). </w:t>
      </w:r>
      <w:r w:rsidRPr="002273BC">
        <w:rPr>
          <w:rFonts w:ascii="Arabic Transparent" w:hAnsi="Arabic Transparent" w:cs="Arabic Transparent" w:hint="cs"/>
          <w:b/>
          <w:bCs/>
          <w:sz w:val="24"/>
          <w:szCs w:val="24"/>
          <w:rtl/>
          <w:lang w:bidi="ar-JO"/>
        </w:rPr>
        <w:t>المقدمات الممهدات</w:t>
      </w:r>
      <w:r w:rsidRPr="002273BC">
        <w:rPr>
          <w:rFonts w:ascii="Arabic Transparent" w:hAnsi="Arabic Transparent" w:cs="Arabic Transparent" w:hint="cs"/>
          <w:sz w:val="24"/>
          <w:szCs w:val="24"/>
          <w:rtl/>
          <w:lang w:bidi="ar-JO"/>
        </w:rPr>
        <w:t>، تحقيق: محمد حجي، ط1، ص539، دار الغرب الإسلامي، بيروت.</w:t>
      </w:r>
    </w:p>
  </w:footnote>
  <w:footnote w:id="637">
    <w:p w14:paraId="284F644D"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عبّر عنه الإمام زكريا الأنصاري، ‌"الْعِبْرَةَ ‌فِي ‌الْعُقُودِ بِمَا فِي نَفْسِ الْأَمْرِ" وهو الأمر المناسب وفق مقتضى الحال، الأنصاري، زكريا بن محمد بن أحمد (د.ت). </w:t>
      </w:r>
      <w:r w:rsidRPr="002273BC">
        <w:rPr>
          <w:rFonts w:ascii="Arabic Transparent" w:hAnsi="Arabic Transparent" w:cs="Arabic Transparent" w:hint="cs"/>
          <w:b/>
          <w:bCs/>
          <w:sz w:val="24"/>
          <w:szCs w:val="24"/>
          <w:rtl/>
          <w:lang w:bidi="ar-JO"/>
        </w:rPr>
        <w:t>الغرر البهية في شرح البهجة الوردية</w:t>
      </w:r>
      <w:r w:rsidRPr="002273BC">
        <w:rPr>
          <w:rFonts w:ascii="Arabic Transparent" w:hAnsi="Arabic Transparent" w:cs="Arabic Transparent" w:hint="cs"/>
          <w:sz w:val="24"/>
          <w:szCs w:val="24"/>
          <w:rtl/>
          <w:lang w:bidi="ar-JO"/>
        </w:rPr>
        <w:t xml:space="preserve">، ط1، ج2، ص396 المطبعة الميمنية، وانظر: العراقي، ولي الدين أبو زرعة أحمد بن عبد الرحيم (2011). </w:t>
      </w:r>
      <w:r w:rsidRPr="002273BC">
        <w:rPr>
          <w:rFonts w:ascii="Arabic Transparent" w:hAnsi="Arabic Transparent" w:cs="Arabic Transparent" w:hint="cs"/>
          <w:b/>
          <w:bCs/>
          <w:sz w:val="24"/>
          <w:szCs w:val="24"/>
          <w:rtl/>
          <w:lang w:bidi="ar-JO"/>
        </w:rPr>
        <w:t>تحرير الفتاوى على التنبيه والمنهاج والحاوي</w:t>
      </w:r>
      <w:r w:rsidRPr="002273BC">
        <w:rPr>
          <w:rFonts w:ascii="Arabic Transparent" w:hAnsi="Arabic Transparent" w:cs="Arabic Transparent" w:hint="cs"/>
          <w:sz w:val="24"/>
          <w:szCs w:val="24"/>
          <w:rtl/>
          <w:lang w:bidi="ar-JO"/>
        </w:rPr>
        <w:t>، تحقيق: عبد الرحمن فهمي محمد الزواوي، ط1، ج1، ص762، دار المنهاج، جدة.</w:t>
      </w:r>
    </w:p>
  </w:footnote>
  <w:footnote w:id="638">
    <w:p w14:paraId="08C796D9" w14:textId="11394151"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009012EE">
        <w:rPr>
          <w:rFonts w:ascii="Arabic Transparent" w:hAnsi="Arabic Transparent" w:cs="Arabic Transparent" w:hint="cs"/>
          <w:sz w:val="24"/>
          <w:szCs w:val="24"/>
          <w:rtl/>
          <w:lang w:bidi="ar-JO"/>
        </w:rPr>
        <w:t>سبق ذكره انظر: ص122.</w:t>
      </w:r>
    </w:p>
  </w:footnote>
  <w:footnote w:id="639">
    <w:p w14:paraId="6BF2B123" w14:textId="1E7D4375" w:rsidR="004E383D" w:rsidRPr="002273BC" w:rsidRDefault="004E383D" w:rsidP="00EA3738">
      <w:pPr>
        <w:pStyle w:val="FootnoteText"/>
        <w:spacing w:line="360" w:lineRule="auto"/>
        <w:jc w:val="both"/>
        <w:rPr>
          <w:rFonts w:ascii="Arabic Transparent" w:hAnsi="Arabic Transparent" w:cs="Arabic Transparent"/>
          <w:sz w:val="24"/>
          <w:szCs w:val="24"/>
          <w:rtl/>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منهم: القرضاوي، ومحمد تقي العثماني، وعلي القرة داغي، وغير واحد ذكرهم القرضاوي في كتابه، القرضاوي، يوسف</w:t>
      </w:r>
      <w:r w:rsidR="005D7B91"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rPr>
        <w:t xml:space="preserve">(2009) </w:t>
      </w:r>
      <w:r w:rsidRPr="002273BC">
        <w:rPr>
          <w:rFonts w:ascii="Arabic Transparent" w:hAnsi="Arabic Transparent" w:cs="Arabic Transparent" w:hint="cs"/>
          <w:b/>
          <w:bCs/>
          <w:sz w:val="24"/>
          <w:szCs w:val="24"/>
          <w:rtl/>
        </w:rPr>
        <w:t>القواعد الحاكمة لفقه المعاملات</w:t>
      </w:r>
      <w:r w:rsidRPr="002273BC">
        <w:rPr>
          <w:rFonts w:ascii="Arabic Transparent" w:hAnsi="Arabic Transparent" w:cs="Arabic Transparent" w:hint="cs"/>
          <w:sz w:val="24"/>
          <w:szCs w:val="24"/>
          <w:rtl/>
        </w:rPr>
        <w:t>، ط1، ص33، دار الشروق، القاهرة.</w:t>
      </w:r>
    </w:p>
  </w:footnote>
  <w:footnote w:id="640">
    <w:p w14:paraId="58826F4B"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السيوطي، ا</w:t>
      </w:r>
      <w:r w:rsidRPr="002273BC">
        <w:rPr>
          <w:rFonts w:ascii="Arabic Transparent" w:hAnsi="Arabic Transparent" w:cs="Arabic Transparent" w:hint="cs"/>
          <w:b/>
          <w:bCs/>
          <w:sz w:val="24"/>
          <w:szCs w:val="24"/>
          <w:rtl/>
          <w:lang w:bidi="ar-JO"/>
        </w:rPr>
        <w:t>لأشباه والنظائر</w:t>
      </w:r>
      <w:r w:rsidRPr="002273BC">
        <w:rPr>
          <w:rFonts w:ascii="Arabic Transparent" w:hAnsi="Arabic Transparent" w:cs="Arabic Transparent" w:hint="cs"/>
          <w:sz w:val="24"/>
          <w:szCs w:val="24"/>
          <w:rtl/>
          <w:lang w:bidi="ar-JO"/>
        </w:rPr>
        <w:t>، مصدر سابق، ص8.</w:t>
      </w:r>
    </w:p>
  </w:footnote>
  <w:footnote w:id="641">
    <w:p w14:paraId="1EF47986" w14:textId="3C48D8D6"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0058517D">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sz w:val="24"/>
          <w:szCs w:val="24"/>
          <w:rtl/>
          <w:lang w:bidi="ar-JO"/>
        </w:rPr>
        <w:t xml:space="preserve">السرخسي، </w:t>
      </w:r>
      <w:r w:rsidRPr="002273BC">
        <w:rPr>
          <w:rFonts w:ascii="Arabic Transparent" w:hAnsi="Arabic Transparent" w:cs="Arabic Transparent" w:hint="cs"/>
          <w:b/>
          <w:bCs/>
          <w:sz w:val="24"/>
          <w:szCs w:val="24"/>
          <w:rtl/>
          <w:lang w:bidi="ar-JO"/>
        </w:rPr>
        <w:t>المبسوط،</w:t>
      </w:r>
      <w:r w:rsidRPr="002273BC">
        <w:rPr>
          <w:rFonts w:ascii="Arabic Transparent" w:hAnsi="Arabic Transparent" w:cs="Arabic Transparent" w:hint="cs"/>
          <w:sz w:val="24"/>
          <w:szCs w:val="24"/>
          <w:rtl/>
          <w:lang w:bidi="ar-JO"/>
        </w:rPr>
        <w:t xml:space="preserve"> مصدر سابق، ج22، ص23. ومجموعة من المؤلفين، </w:t>
      </w:r>
      <w:r w:rsidRPr="002273BC">
        <w:rPr>
          <w:rFonts w:ascii="Arabic Transparent" w:hAnsi="Arabic Transparent" w:cs="Arabic Transparent" w:hint="cs"/>
          <w:b/>
          <w:bCs/>
          <w:sz w:val="24"/>
          <w:szCs w:val="24"/>
          <w:rtl/>
          <w:lang w:bidi="ar-JO"/>
        </w:rPr>
        <w:t>مجلة الأحكام العدلية</w:t>
      </w:r>
      <w:r w:rsidRPr="002273BC">
        <w:rPr>
          <w:rFonts w:ascii="Arabic Transparent" w:hAnsi="Arabic Transparent" w:cs="Arabic Transparent" w:hint="cs"/>
          <w:sz w:val="24"/>
          <w:szCs w:val="24"/>
          <w:rtl/>
          <w:lang w:bidi="ar-JO"/>
        </w:rPr>
        <w:t>، مصدر سابق، المادة 3، ص16.</w:t>
      </w:r>
    </w:p>
  </w:footnote>
  <w:footnote w:id="642">
    <w:p w14:paraId="23E6C506"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وهم أكثر الحنفية والشافعية، وجميع الظاهرية، السرخسي، </w:t>
      </w:r>
      <w:r w:rsidRPr="002273BC">
        <w:rPr>
          <w:rFonts w:ascii="Arabic Transparent" w:hAnsi="Arabic Transparent" w:cs="Arabic Transparent" w:hint="cs"/>
          <w:b/>
          <w:bCs/>
          <w:sz w:val="24"/>
          <w:szCs w:val="24"/>
          <w:rtl/>
          <w:lang w:bidi="ar-JO"/>
        </w:rPr>
        <w:t>المبسوط،</w:t>
      </w:r>
      <w:r w:rsidRPr="002273BC">
        <w:rPr>
          <w:rFonts w:ascii="Arabic Transparent" w:hAnsi="Arabic Transparent" w:cs="Arabic Transparent" w:hint="cs"/>
          <w:sz w:val="24"/>
          <w:szCs w:val="24"/>
          <w:rtl/>
          <w:lang w:bidi="ar-JO"/>
        </w:rPr>
        <w:t xml:space="preserve"> مصدر سابق، ج22، ص23، الأنصاري، زكريا بن محمد بن أحمد (1895). </w:t>
      </w:r>
      <w:r w:rsidRPr="002273BC">
        <w:rPr>
          <w:rFonts w:ascii="Arabic Transparent" w:hAnsi="Arabic Transparent" w:cs="Arabic Transparent" w:hint="cs"/>
          <w:b/>
          <w:bCs/>
          <w:sz w:val="24"/>
          <w:szCs w:val="24"/>
          <w:rtl/>
          <w:lang w:bidi="ar-JO"/>
        </w:rPr>
        <w:t>أسنى المطالب في شرح روض الطالب،</w:t>
      </w:r>
      <w:r w:rsidRPr="002273BC">
        <w:rPr>
          <w:rFonts w:ascii="Arabic Transparent" w:hAnsi="Arabic Transparent" w:cs="Arabic Transparent" w:hint="cs"/>
          <w:sz w:val="24"/>
          <w:szCs w:val="24"/>
          <w:rtl/>
          <w:lang w:bidi="ar-JO"/>
        </w:rPr>
        <w:t xml:space="preserve"> ط1، ج2، ص82، المطبعة الميمنية، وابن حزم،</w:t>
      </w:r>
      <w:r w:rsidRPr="002273BC">
        <w:rPr>
          <w:rFonts w:ascii="Arabic Transparent" w:hAnsi="Arabic Transparent" w:cs="Arabic Transparent" w:hint="cs"/>
          <w:b/>
          <w:bCs/>
          <w:sz w:val="24"/>
          <w:szCs w:val="24"/>
          <w:rtl/>
          <w:lang w:bidi="ar-JO"/>
        </w:rPr>
        <w:t xml:space="preserve"> المحلى بالآثار</w:t>
      </w:r>
      <w:r w:rsidRPr="002273BC">
        <w:rPr>
          <w:rFonts w:ascii="Arabic Transparent" w:hAnsi="Arabic Transparent" w:cs="Arabic Transparent" w:hint="cs"/>
          <w:sz w:val="24"/>
          <w:szCs w:val="24"/>
          <w:rtl/>
          <w:lang w:bidi="ar-JO"/>
        </w:rPr>
        <w:t>، مصدر سابق، ج1، ص74.</w:t>
      </w:r>
    </w:p>
  </w:footnote>
  <w:footnote w:id="643">
    <w:p w14:paraId="67214B9F" w14:textId="69A420F0"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0058517D">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sz w:val="24"/>
          <w:szCs w:val="24"/>
          <w:rtl/>
          <w:lang w:bidi="ar-JO"/>
        </w:rPr>
        <w:t xml:space="preserve">ابن حجر، </w:t>
      </w:r>
      <w:r w:rsidRPr="002273BC">
        <w:rPr>
          <w:rFonts w:ascii="Arabic Transparent" w:hAnsi="Arabic Transparent" w:cs="Arabic Transparent" w:hint="cs"/>
          <w:b/>
          <w:bCs/>
          <w:sz w:val="24"/>
          <w:szCs w:val="24"/>
          <w:rtl/>
          <w:lang w:bidi="ar-JO"/>
        </w:rPr>
        <w:t>تحفة المحتاج في شرح المنهاج،</w:t>
      </w:r>
      <w:r w:rsidRPr="002273BC">
        <w:rPr>
          <w:rFonts w:ascii="Arabic Transparent" w:hAnsi="Arabic Transparent" w:cs="Arabic Transparent" w:hint="cs"/>
          <w:sz w:val="24"/>
          <w:szCs w:val="24"/>
          <w:rtl/>
          <w:lang w:bidi="ar-JO"/>
        </w:rPr>
        <w:t xml:space="preserve"> مصدر سابق، ج4، ص402، </w:t>
      </w:r>
    </w:p>
  </w:footnote>
  <w:footnote w:id="644">
    <w:p w14:paraId="035F07CE" w14:textId="3F3BC2A3"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الأنصاري، </w:t>
      </w:r>
      <w:r w:rsidRPr="002273BC">
        <w:rPr>
          <w:rFonts w:ascii="Arabic Transparent" w:hAnsi="Arabic Transparent" w:cs="Arabic Transparent" w:hint="cs"/>
          <w:b/>
          <w:bCs/>
          <w:sz w:val="24"/>
          <w:szCs w:val="24"/>
          <w:rtl/>
          <w:lang w:bidi="ar-JO"/>
        </w:rPr>
        <w:t>أسنى المطالب في شرح روض الطالب</w:t>
      </w:r>
      <w:r w:rsidRPr="002273BC">
        <w:rPr>
          <w:rFonts w:ascii="Arabic Transparent" w:hAnsi="Arabic Transparent" w:cs="Arabic Transparent" w:hint="cs"/>
          <w:sz w:val="24"/>
          <w:szCs w:val="24"/>
          <w:rtl/>
          <w:lang w:bidi="ar-JO"/>
        </w:rPr>
        <w:t>، مصدر سابق، ج2، ص82.</w:t>
      </w:r>
    </w:p>
  </w:footnote>
  <w:footnote w:id="645">
    <w:p w14:paraId="6FBB12AB" w14:textId="4A9CA006"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وهي ما اشتهر عند الشافعية: </w:t>
      </w:r>
      <w:r w:rsidRPr="002273BC">
        <w:rPr>
          <w:rFonts w:ascii="Arabic Transparent" w:hAnsi="Arabic Transparent" w:cs="Arabic Transparent" w:hint="cs"/>
          <w:sz w:val="24"/>
          <w:szCs w:val="24"/>
          <w:rtl/>
          <w:lang w:bidi="ar-JO"/>
        </w:rPr>
        <w:t xml:space="preserve">‌الْعبْرَة ‌فِي ‌الْعُقُود بِمَا فِي الظَّاهِر وَنَفس الْأَمر مَعًا، وقالوا: ‌العبرة ‌في ‌العقود لما في نفس الأمر لا بما في ظن المكلّف، فلا تسد الذرائع بناء ً على ظنون لم يصرح بها. </w:t>
      </w:r>
      <w:r w:rsidR="009012EE">
        <w:rPr>
          <w:rFonts w:ascii="Arabic Transparent" w:hAnsi="Arabic Transparent" w:cs="Arabic Transparent" w:hint="cs"/>
          <w:sz w:val="24"/>
          <w:szCs w:val="24"/>
          <w:rtl/>
          <w:lang w:bidi="ar-JO"/>
        </w:rPr>
        <w:t xml:space="preserve">انظر: </w:t>
      </w:r>
      <w:r w:rsidRPr="002273BC">
        <w:rPr>
          <w:rFonts w:ascii="Arabic Transparent" w:hAnsi="Arabic Transparent" w:cs="Arabic Transparent" w:hint="cs"/>
          <w:sz w:val="24"/>
          <w:szCs w:val="24"/>
          <w:rtl/>
          <w:lang w:bidi="ar-JO"/>
        </w:rPr>
        <w:t xml:space="preserve">الجاوي، محمد بن عمر (د.ت). </w:t>
      </w:r>
      <w:r w:rsidRPr="002273BC">
        <w:rPr>
          <w:rFonts w:ascii="Arabic Transparent" w:hAnsi="Arabic Transparent" w:cs="Arabic Transparent" w:hint="cs"/>
          <w:b/>
          <w:bCs/>
          <w:sz w:val="24"/>
          <w:szCs w:val="24"/>
          <w:rtl/>
          <w:lang w:bidi="ar-JO"/>
        </w:rPr>
        <w:t>نهاية الزين في إرشاد المبتدئين</w:t>
      </w:r>
      <w:r w:rsidRPr="002273BC">
        <w:rPr>
          <w:rFonts w:ascii="Arabic Transparent" w:hAnsi="Arabic Transparent" w:cs="Arabic Transparent" w:hint="cs"/>
          <w:sz w:val="24"/>
          <w:szCs w:val="24"/>
          <w:rtl/>
          <w:lang w:bidi="ar-JO"/>
        </w:rPr>
        <w:t>، ط1، ص302، دار الفكر، بيروت.</w:t>
      </w:r>
    </w:p>
  </w:footnote>
  <w:footnote w:id="646">
    <w:p w14:paraId="76C82A18" w14:textId="77777777" w:rsidR="004E383D" w:rsidRPr="002273BC" w:rsidRDefault="004E383D" w:rsidP="00EA3738">
      <w:pPr>
        <w:pStyle w:val="FootnoteText"/>
        <w:spacing w:line="360" w:lineRule="auto"/>
        <w:jc w:val="both"/>
        <w:rPr>
          <w:rFonts w:ascii="Arabic Transparent" w:hAnsi="Arabic Transparent" w:cs="Arabic Transparent"/>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انظر: القرطبي، </w:t>
      </w:r>
      <w:r w:rsidRPr="002273BC">
        <w:rPr>
          <w:rFonts w:ascii="Arabic Transparent" w:hAnsi="Arabic Transparent" w:cs="Arabic Transparent" w:hint="cs"/>
          <w:b/>
          <w:bCs/>
          <w:sz w:val="24"/>
          <w:szCs w:val="24"/>
          <w:rtl/>
          <w:lang w:bidi="ar-JO"/>
        </w:rPr>
        <w:t>الجامع لأحكام القرآن</w:t>
      </w:r>
      <w:r w:rsidRPr="002273BC">
        <w:rPr>
          <w:rFonts w:ascii="Arabic Transparent" w:hAnsi="Arabic Transparent" w:cs="Arabic Transparent" w:hint="cs"/>
          <w:sz w:val="24"/>
          <w:szCs w:val="24"/>
          <w:rtl/>
          <w:lang w:bidi="ar-JO"/>
        </w:rPr>
        <w:t>، مصدر سابق، ج1، ص261.</w:t>
      </w:r>
    </w:p>
  </w:footnote>
  <w:footnote w:id="647">
    <w:p w14:paraId="7803E436" w14:textId="436C15B3"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أخرجه البخاري في صحيحه، البخاري، </w:t>
      </w:r>
      <w:r w:rsidRPr="002273BC">
        <w:rPr>
          <w:rFonts w:ascii="Arabic Transparent" w:hAnsi="Arabic Transparent" w:cs="Arabic Transparent" w:hint="cs"/>
          <w:b/>
          <w:bCs/>
          <w:sz w:val="24"/>
          <w:szCs w:val="24"/>
          <w:rtl/>
          <w:lang w:bidi="ar-JO"/>
        </w:rPr>
        <w:t>صحيح البخاري،</w:t>
      </w:r>
      <w:r w:rsidRPr="002273BC">
        <w:rPr>
          <w:rFonts w:ascii="Arabic Transparent" w:hAnsi="Arabic Transparent" w:cs="Arabic Transparent" w:hint="cs"/>
          <w:sz w:val="24"/>
          <w:szCs w:val="24"/>
          <w:rtl/>
          <w:lang w:bidi="ar-JO"/>
        </w:rPr>
        <w:t xml:space="preserve"> كتاب العلم، باب: مَا كَانَ النَّبِيُّ </w:t>
      </w:r>
      <w:r w:rsidR="005224A0" w:rsidRPr="002273BC">
        <w:rPr>
          <w:rFonts w:ascii="AGA Arabesque" w:eastAsia="AGA Arabesque" w:hAnsi="AGA Arabesque" w:cs="AGA Arabesque"/>
          <w:sz w:val="24"/>
          <w:szCs w:val="24"/>
          <w:lang w:bidi="ar-JO"/>
        </w:rPr>
        <w:t></w:t>
      </w:r>
      <w:r w:rsidRPr="002273BC">
        <w:rPr>
          <w:rFonts w:ascii="Arabic Transparent" w:hAnsi="Arabic Transparent" w:cs="Arabic Transparent" w:hint="cs"/>
          <w:sz w:val="24"/>
          <w:szCs w:val="24"/>
          <w:rtl/>
          <w:lang w:bidi="ar-JO"/>
        </w:rPr>
        <w:t xml:space="preserve"> يَتَخَوَّلُهُمْ بِالْمَوْعِظَةِ وَالْعِلْمِ كَيْ لَا يَنْفِرُوا، رقم 69، ج1، ص38.</w:t>
      </w:r>
    </w:p>
  </w:footnote>
  <w:footnote w:id="648">
    <w:p w14:paraId="4856D172"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ابن نجيم، زين الدين بن إبراهيم بن محمد (1999). </w:t>
      </w:r>
      <w:r w:rsidRPr="002273BC">
        <w:rPr>
          <w:rFonts w:ascii="Arabic Transparent" w:hAnsi="Arabic Transparent" w:cs="Arabic Transparent" w:hint="cs"/>
          <w:b/>
          <w:bCs/>
          <w:sz w:val="24"/>
          <w:szCs w:val="24"/>
          <w:rtl/>
          <w:lang w:bidi="ar-JO"/>
        </w:rPr>
        <w:t>الأشباه والنظائر على مذهب أبي حنيفة النعمان</w:t>
      </w:r>
      <w:r w:rsidRPr="002273BC">
        <w:rPr>
          <w:rFonts w:ascii="Arabic Transparent" w:hAnsi="Arabic Transparent" w:cs="Arabic Transparent" w:hint="cs"/>
          <w:sz w:val="24"/>
          <w:szCs w:val="24"/>
          <w:rtl/>
          <w:lang w:bidi="ar-JO"/>
        </w:rPr>
        <w:t>، وضع حواشيه: زكريا عميرات، ط1، ص73، دار الكتب العلمية، بيروت.</w:t>
      </w:r>
    </w:p>
  </w:footnote>
  <w:footnote w:id="649">
    <w:p w14:paraId="45ADD68F"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القرضاوي، </w:t>
      </w:r>
      <w:r w:rsidRPr="002273BC">
        <w:rPr>
          <w:rFonts w:ascii="Arabic Transparent" w:hAnsi="Arabic Transparent" w:cs="Arabic Transparent" w:hint="cs"/>
          <w:b/>
          <w:bCs/>
          <w:sz w:val="24"/>
          <w:szCs w:val="24"/>
          <w:rtl/>
          <w:lang w:bidi="ar-JO"/>
        </w:rPr>
        <w:t>القواعد الحاكمة لفقه المعاملات</w:t>
      </w:r>
      <w:r w:rsidRPr="002273BC">
        <w:rPr>
          <w:rFonts w:ascii="Arabic Transparent" w:hAnsi="Arabic Transparent" w:cs="Arabic Transparent" w:hint="cs"/>
          <w:sz w:val="24"/>
          <w:szCs w:val="24"/>
          <w:rtl/>
          <w:lang w:bidi="ar-JO"/>
        </w:rPr>
        <w:t>، مصدر سابق، ص101.</w:t>
      </w:r>
    </w:p>
  </w:footnote>
  <w:footnote w:id="650">
    <w:p w14:paraId="390D051D"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السيوطي، </w:t>
      </w:r>
      <w:r w:rsidRPr="002273BC">
        <w:rPr>
          <w:rFonts w:ascii="Arabic Transparent" w:hAnsi="Arabic Transparent" w:cs="Arabic Transparent" w:hint="cs"/>
          <w:b/>
          <w:bCs/>
          <w:sz w:val="24"/>
          <w:szCs w:val="24"/>
          <w:rtl/>
          <w:lang w:bidi="ar-JO"/>
        </w:rPr>
        <w:t>الأشباه والنظائر</w:t>
      </w:r>
      <w:r w:rsidRPr="002273BC">
        <w:rPr>
          <w:rFonts w:ascii="Arabic Transparent" w:hAnsi="Arabic Transparent" w:cs="Arabic Transparent" w:hint="cs"/>
          <w:sz w:val="24"/>
          <w:szCs w:val="24"/>
          <w:rtl/>
          <w:lang w:bidi="ar-JO"/>
        </w:rPr>
        <w:t>، مصدر سابق، ص93.</w:t>
      </w:r>
    </w:p>
  </w:footnote>
  <w:footnote w:id="651">
    <w:p w14:paraId="438A0938"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انظر: ابن حجر، أحمد بن محمد بن علي الهيتمي (2008). </w:t>
      </w:r>
      <w:r w:rsidRPr="002273BC">
        <w:rPr>
          <w:rFonts w:ascii="Arabic Transparent" w:hAnsi="Arabic Transparent" w:cs="Arabic Transparent" w:hint="cs"/>
          <w:b/>
          <w:bCs/>
          <w:sz w:val="24"/>
          <w:szCs w:val="24"/>
          <w:rtl/>
          <w:lang w:bidi="ar-JO"/>
        </w:rPr>
        <w:t>الإعلام بقواطع الإسلام</w:t>
      </w:r>
      <w:r w:rsidRPr="002273BC">
        <w:rPr>
          <w:rFonts w:ascii="Arabic Transparent" w:hAnsi="Arabic Transparent" w:cs="Arabic Transparent" w:hint="cs"/>
          <w:sz w:val="24"/>
          <w:szCs w:val="24"/>
          <w:rtl/>
          <w:lang w:bidi="ar-JO"/>
        </w:rPr>
        <w:t>، تحقيق: محمد عواد العواد، ط1، ص136، دار التقوى، سوريا.</w:t>
      </w:r>
    </w:p>
  </w:footnote>
  <w:footnote w:id="652">
    <w:p w14:paraId="21908176"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العيني، </w:t>
      </w:r>
      <w:r w:rsidRPr="002273BC">
        <w:rPr>
          <w:rFonts w:ascii="Arabic Transparent" w:hAnsi="Arabic Transparent" w:cs="Arabic Transparent" w:hint="cs"/>
          <w:b/>
          <w:bCs/>
          <w:sz w:val="24"/>
          <w:szCs w:val="24"/>
          <w:rtl/>
          <w:lang w:bidi="ar-JO"/>
        </w:rPr>
        <w:t>البناية شرح الهداية</w:t>
      </w:r>
      <w:r w:rsidRPr="002273BC">
        <w:rPr>
          <w:rFonts w:ascii="Arabic Transparent" w:hAnsi="Arabic Transparent" w:cs="Arabic Transparent" w:hint="cs"/>
          <w:sz w:val="24"/>
          <w:szCs w:val="24"/>
          <w:rtl/>
          <w:lang w:bidi="ar-JO"/>
        </w:rPr>
        <w:t xml:space="preserve">، مصدر سابق، ج5، ص188، </w:t>
      </w:r>
    </w:p>
  </w:footnote>
  <w:footnote w:id="653">
    <w:p w14:paraId="3FC356B9"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ابن عبدالبر، </w:t>
      </w:r>
      <w:r w:rsidRPr="002273BC">
        <w:rPr>
          <w:rFonts w:ascii="Arabic Transparent" w:hAnsi="Arabic Transparent" w:cs="Arabic Transparent" w:hint="cs"/>
          <w:b/>
          <w:bCs/>
          <w:sz w:val="24"/>
          <w:szCs w:val="24"/>
          <w:rtl/>
          <w:lang w:bidi="ar-JO"/>
        </w:rPr>
        <w:t>جامع بيان العلم وفضله</w:t>
      </w:r>
      <w:r w:rsidRPr="002273BC">
        <w:rPr>
          <w:rFonts w:ascii="Arabic Transparent" w:hAnsi="Arabic Transparent" w:cs="Arabic Transparent" w:hint="cs"/>
          <w:sz w:val="24"/>
          <w:szCs w:val="24"/>
          <w:rtl/>
          <w:lang w:bidi="ar-JO"/>
        </w:rPr>
        <w:t xml:space="preserve">، مصدر سابق، ج1، ص784، والنووي، </w:t>
      </w:r>
      <w:r w:rsidRPr="002273BC">
        <w:rPr>
          <w:rFonts w:ascii="Arabic Transparent" w:hAnsi="Arabic Transparent" w:cs="Arabic Transparent" w:hint="cs"/>
          <w:b/>
          <w:bCs/>
          <w:sz w:val="24"/>
          <w:szCs w:val="24"/>
          <w:rtl/>
          <w:lang w:bidi="ar-JO"/>
        </w:rPr>
        <w:t>آداب المفتي والمستفتي</w:t>
      </w:r>
      <w:r w:rsidRPr="002273BC">
        <w:rPr>
          <w:rFonts w:ascii="Arabic Transparent" w:hAnsi="Arabic Transparent" w:cs="Arabic Transparent" w:hint="cs"/>
          <w:sz w:val="24"/>
          <w:szCs w:val="24"/>
          <w:rtl/>
          <w:lang w:bidi="ar-JO"/>
        </w:rPr>
        <w:t>، مصدر سابق، ص112.</w:t>
      </w:r>
    </w:p>
  </w:footnote>
  <w:footnote w:id="654">
    <w:p w14:paraId="43E2BC4A"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السرخسي، </w:t>
      </w:r>
      <w:r w:rsidRPr="002273BC">
        <w:rPr>
          <w:rFonts w:ascii="Arabic Transparent" w:hAnsi="Arabic Transparent" w:cs="Arabic Transparent" w:hint="cs"/>
          <w:b/>
          <w:bCs/>
          <w:sz w:val="24"/>
          <w:szCs w:val="24"/>
          <w:rtl/>
          <w:lang w:bidi="ar-JO"/>
        </w:rPr>
        <w:t xml:space="preserve">المبسوط، </w:t>
      </w:r>
      <w:r w:rsidRPr="002273BC">
        <w:rPr>
          <w:rFonts w:ascii="Arabic Transparent" w:hAnsi="Arabic Transparent" w:cs="Arabic Transparent" w:hint="cs"/>
          <w:sz w:val="24"/>
          <w:szCs w:val="24"/>
          <w:rtl/>
          <w:lang w:bidi="ar-JO"/>
        </w:rPr>
        <w:t>مصدر سابق، ج10 ص188.</w:t>
      </w:r>
    </w:p>
  </w:footnote>
  <w:footnote w:id="655">
    <w:p w14:paraId="6C5E4EDA"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القرضاوي، </w:t>
      </w:r>
      <w:r w:rsidRPr="002273BC">
        <w:rPr>
          <w:rFonts w:ascii="Arabic Transparent" w:hAnsi="Arabic Transparent" w:cs="Arabic Transparent"/>
          <w:b/>
          <w:bCs/>
          <w:sz w:val="24"/>
          <w:szCs w:val="24"/>
          <w:rtl/>
          <w:lang w:bidi="ar-JO"/>
        </w:rPr>
        <w:t>القواعد الحاكمة لفقه المعاملات،</w:t>
      </w:r>
      <w:r w:rsidRPr="002273BC">
        <w:rPr>
          <w:rFonts w:ascii="Arabic Transparent" w:hAnsi="Arabic Transparent" w:cs="Arabic Transparent" w:hint="cs"/>
          <w:sz w:val="24"/>
          <w:szCs w:val="24"/>
          <w:rtl/>
          <w:lang w:bidi="ar-JO"/>
        </w:rPr>
        <w:t xml:space="preserve"> مصدر سابق، ص45.</w:t>
      </w:r>
    </w:p>
  </w:footnote>
  <w:footnote w:id="656">
    <w:p w14:paraId="7903F794"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السيوطي، </w:t>
      </w:r>
      <w:r w:rsidRPr="002273BC">
        <w:rPr>
          <w:rFonts w:ascii="Arabic Transparent" w:hAnsi="Arabic Transparent" w:cs="Arabic Transparent" w:hint="cs"/>
          <w:b/>
          <w:bCs/>
          <w:sz w:val="24"/>
          <w:szCs w:val="24"/>
          <w:rtl/>
          <w:lang w:bidi="ar-JO"/>
        </w:rPr>
        <w:t>الأشباه والنظائر</w:t>
      </w:r>
      <w:r w:rsidRPr="002273BC">
        <w:rPr>
          <w:rFonts w:ascii="Arabic Transparent" w:hAnsi="Arabic Transparent" w:cs="Arabic Transparent" w:hint="cs"/>
          <w:sz w:val="24"/>
          <w:szCs w:val="24"/>
          <w:rtl/>
          <w:lang w:bidi="ar-JO"/>
        </w:rPr>
        <w:t>، مصدر سابق، ج5، ص188/ ج11، ص404.</w:t>
      </w:r>
    </w:p>
  </w:footnote>
  <w:footnote w:id="657">
    <w:p w14:paraId="283DE8AC" w14:textId="1BDE8F12"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00DE6CEB">
        <w:rPr>
          <w:rFonts w:ascii="Arabic Transparent" w:hAnsi="Arabic Transparent" w:cs="Arabic Transparent" w:hint="cs"/>
          <w:sz w:val="24"/>
          <w:szCs w:val="24"/>
          <w:rtl/>
          <w:lang w:bidi="ar-JO"/>
        </w:rPr>
        <w:t xml:space="preserve">المصدر السابق نفسه، </w:t>
      </w:r>
      <w:r w:rsidR="00DE6CEB" w:rsidRPr="00DE6CEB">
        <w:rPr>
          <w:rFonts w:ascii="Arabic Transparent" w:hAnsi="Arabic Transparent" w:cs="Arabic Transparent"/>
          <w:sz w:val="24"/>
          <w:szCs w:val="24"/>
          <w:rtl/>
          <w:lang w:bidi="ar-JO"/>
        </w:rPr>
        <w:t>ج5، ص188</w:t>
      </w:r>
      <w:r w:rsidR="00DE6CEB">
        <w:rPr>
          <w:rFonts w:ascii="Arabic Transparent" w:hAnsi="Arabic Transparent" w:cs="Arabic Transparent" w:hint="cs"/>
          <w:sz w:val="24"/>
          <w:szCs w:val="24"/>
          <w:rtl/>
          <w:lang w:bidi="ar-JO"/>
        </w:rPr>
        <w:t>.</w:t>
      </w:r>
    </w:p>
  </w:footnote>
  <w:footnote w:id="658">
    <w:p w14:paraId="6A13C45B"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ابن منظور، </w:t>
      </w:r>
      <w:r w:rsidRPr="002273BC">
        <w:rPr>
          <w:rFonts w:ascii="Arabic Transparent" w:hAnsi="Arabic Transparent" w:cs="Arabic Transparent" w:hint="cs"/>
          <w:b/>
          <w:bCs/>
          <w:sz w:val="24"/>
          <w:szCs w:val="24"/>
          <w:rtl/>
          <w:lang w:bidi="ar-JO"/>
        </w:rPr>
        <w:t>لسان العرب،</w:t>
      </w:r>
      <w:r w:rsidRPr="002273BC">
        <w:rPr>
          <w:rFonts w:ascii="Arabic Transparent" w:hAnsi="Arabic Transparent" w:cs="Arabic Transparent" w:hint="cs"/>
          <w:sz w:val="24"/>
          <w:szCs w:val="24"/>
          <w:rtl/>
          <w:lang w:bidi="ar-JO"/>
        </w:rPr>
        <w:t xml:space="preserve"> مصدر سابق، ج11، ص185.</w:t>
      </w:r>
    </w:p>
  </w:footnote>
  <w:footnote w:id="659">
    <w:p w14:paraId="1360C7E7" w14:textId="5BC5E193"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عرفها مجمع الفقه الإسلامي: "الأخذ برخص الفقهاء؛ بمعنى اتباع ما هو أخف من أقوالهم"، </w:t>
      </w:r>
      <w:r w:rsidRPr="002273BC">
        <w:rPr>
          <w:rFonts w:ascii="Arabic Transparent" w:hAnsi="Arabic Transparent" w:cs="Arabic Transparent" w:hint="cs"/>
          <w:b/>
          <w:bCs/>
          <w:sz w:val="24"/>
          <w:szCs w:val="24"/>
          <w:rtl/>
          <w:lang w:bidi="ar-JO"/>
        </w:rPr>
        <w:t>مجلة مجمع الفقه الإسلامي</w:t>
      </w:r>
      <w:r w:rsidRPr="002273BC">
        <w:rPr>
          <w:rFonts w:ascii="Arabic Transparent" w:hAnsi="Arabic Transparent" w:cs="Arabic Transparent" w:hint="cs"/>
          <w:sz w:val="24"/>
          <w:szCs w:val="24"/>
          <w:rtl/>
          <w:lang w:bidi="ar-JO"/>
        </w:rPr>
        <w:t>، منظمة المؤتمر الإسلامي، جدة، ع8</w:t>
      </w:r>
      <w:r w:rsidR="005D7B91" w:rsidRPr="002273BC">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sz w:val="24"/>
          <w:szCs w:val="24"/>
          <w:rtl/>
          <w:lang w:bidi="ar-JO"/>
        </w:rPr>
        <w:t>ج1، ص639.</w:t>
      </w:r>
    </w:p>
  </w:footnote>
  <w:footnote w:id="660">
    <w:p w14:paraId="02E1B187"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ابن القيم، </w:t>
      </w:r>
      <w:r w:rsidRPr="002273BC">
        <w:rPr>
          <w:rFonts w:ascii="Arabic Transparent" w:hAnsi="Arabic Transparent" w:cs="Arabic Transparent" w:hint="cs"/>
          <w:b/>
          <w:bCs/>
          <w:sz w:val="24"/>
          <w:szCs w:val="24"/>
          <w:rtl/>
          <w:lang w:bidi="ar-JO"/>
        </w:rPr>
        <w:t>إعلام الموقعين</w:t>
      </w:r>
      <w:r w:rsidRPr="002273BC">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b/>
          <w:bCs/>
          <w:sz w:val="24"/>
          <w:szCs w:val="24"/>
          <w:rtl/>
          <w:lang w:bidi="ar-JO"/>
        </w:rPr>
        <w:t>عن رب العالمين</w:t>
      </w:r>
      <w:r w:rsidRPr="002273BC">
        <w:rPr>
          <w:rFonts w:ascii="Arabic Transparent" w:hAnsi="Arabic Transparent" w:cs="Arabic Transparent" w:hint="cs"/>
          <w:sz w:val="24"/>
          <w:szCs w:val="24"/>
          <w:rtl/>
          <w:lang w:bidi="ar-JO"/>
        </w:rPr>
        <w:t>، مصدر سابق، ج3، ص188.</w:t>
      </w:r>
    </w:p>
  </w:footnote>
  <w:footnote w:id="661">
    <w:p w14:paraId="27643BE5"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المصدر السابق نفسه، ج3، ص188.</w:t>
      </w:r>
    </w:p>
  </w:footnote>
  <w:footnote w:id="662">
    <w:p w14:paraId="4B5A8E58"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المصدر السابق نفسه، ج3، ص188.</w:t>
      </w:r>
    </w:p>
  </w:footnote>
  <w:footnote w:id="663">
    <w:p w14:paraId="6C13A1C1" w14:textId="24AD5289"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0075141A">
        <w:rPr>
          <w:rFonts w:ascii="Arabic Transparent" w:hAnsi="Arabic Transparent" w:cs="Arabic Transparent" w:hint="cs"/>
          <w:sz w:val="24"/>
          <w:szCs w:val="24"/>
          <w:rtl/>
          <w:lang w:bidi="ar-JO"/>
        </w:rPr>
        <w:t xml:space="preserve">انظر </w:t>
      </w:r>
      <w:r w:rsidRPr="002273BC">
        <w:rPr>
          <w:rFonts w:ascii="Arabic Transparent" w:hAnsi="Arabic Transparent" w:cs="Arabic Transparent" w:hint="cs"/>
          <w:sz w:val="24"/>
          <w:szCs w:val="24"/>
          <w:rtl/>
          <w:lang w:bidi="ar-JO"/>
        </w:rPr>
        <w:t xml:space="preserve">المسعودي، محمد(1995) </w:t>
      </w:r>
      <w:r w:rsidRPr="002273BC">
        <w:rPr>
          <w:rFonts w:ascii="Arabic Transparent" w:hAnsi="Arabic Transparent" w:cs="Arabic Transparent" w:hint="cs"/>
          <w:b/>
          <w:bCs/>
          <w:sz w:val="24"/>
          <w:szCs w:val="24"/>
          <w:rtl/>
          <w:lang w:bidi="ar-JO"/>
        </w:rPr>
        <w:t>كتاب الحيل،</w:t>
      </w:r>
      <w:r w:rsidRPr="002273BC">
        <w:rPr>
          <w:rFonts w:ascii="Arabic Transparent" w:hAnsi="Arabic Transparent" w:cs="Arabic Transparent" w:hint="cs"/>
          <w:sz w:val="24"/>
          <w:szCs w:val="24"/>
          <w:rtl/>
          <w:lang w:bidi="ar-JO"/>
        </w:rPr>
        <w:t xml:space="preserve"> ط1، ص109، مطابع الجامعة الإسلامية، السعودية.</w:t>
      </w:r>
    </w:p>
  </w:footnote>
  <w:footnote w:id="664">
    <w:p w14:paraId="48315682" w14:textId="0ADD2E70"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الشاطبي،</w:t>
      </w:r>
      <w:r w:rsidRPr="002273BC">
        <w:rPr>
          <w:rFonts w:ascii="Arabic Transparent" w:hAnsi="Arabic Transparent" w:cs="Arabic Transparent" w:hint="cs"/>
          <w:b/>
          <w:bCs/>
          <w:sz w:val="24"/>
          <w:szCs w:val="24"/>
          <w:rtl/>
          <w:lang w:bidi="ar-JO"/>
        </w:rPr>
        <w:t xml:space="preserve"> الموافقات</w:t>
      </w:r>
      <w:r w:rsidRPr="002273BC">
        <w:rPr>
          <w:rFonts w:ascii="Arabic Transparent" w:hAnsi="Arabic Transparent" w:cs="Arabic Transparent" w:hint="cs"/>
          <w:sz w:val="24"/>
          <w:szCs w:val="24"/>
          <w:rtl/>
          <w:lang w:bidi="ar-JO"/>
        </w:rPr>
        <w:t xml:space="preserve">، مصدر سابق، ج12، ص6812، ابن القيم، </w:t>
      </w:r>
      <w:r w:rsidRPr="002273BC">
        <w:rPr>
          <w:rFonts w:ascii="Arabic Transparent" w:hAnsi="Arabic Transparent" w:cs="Arabic Transparent" w:hint="cs"/>
          <w:b/>
          <w:bCs/>
          <w:sz w:val="24"/>
          <w:szCs w:val="24"/>
          <w:rtl/>
          <w:lang w:bidi="ar-JO"/>
        </w:rPr>
        <w:t>إعلام الموقعين عن رب العالمين</w:t>
      </w:r>
      <w:r w:rsidRPr="002273BC">
        <w:rPr>
          <w:rFonts w:ascii="Arabic Transparent" w:hAnsi="Arabic Transparent" w:cs="Arabic Transparent" w:hint="cs"/>
          <w:sz w:val="24"/>
          <w:szCs w:val="24"/>
          <w:rtl/>
          <w:lang w:bidi="ar-JO"/>
        </w:rPr>
        <w:t>،</w:t>
      </w:r>
      <w:r w:rsidR="00CB2C5A" w:rsidRPr="002273BC">
        <w:rPr>
          <w:rFonts w:ascii="Arabic Transparent" w:hAnsi="Arabic Transparent" w:cs="Arabic Transparent" w:hint="cs"/>
          <w:sz w:val="24"/>
          <w:szCs w:val="24"/>
          <w:rtl/>
          <w:lang w:bidi="ar-JO"/>
        </w:rPr>
        <w:t xml:space="preserve"> مصدر سابق،</w:t>
      </w:r>
      <w:r w:rsidRPr="002273BC">
        <w:rPr>
          <w:rFonts w:ascii="Arabic Transparent" w:hAnsi="Arabic Transparent" w:cs="Arabic Transparent" w:hint="cs"/>
          <w:sz w:val="24"/>
          <w:szCs w:val="24"/>
          <w:rtl/>
          <w:lang w:bidi="ar-JO"/>
        </w:rPr>
        <w:t xml:space="preserve"> ج3، ص147.</w:t>
      </w:r>
    </w:p>
  </w:footnote>
  <w:footnote w:id="665">
    <w:p w14:paraId="27D09A8F"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ابن عبدالسلام، </w:t>
      </w:r>
      <w:r w:rsidRPr="002273BC">
        <w:rPr>
          <w:rFonts w:ascii="Arabic Transparent" w:hAnsi="Arabic Transparent" w:cs="Arabic Transparent" w:hint="cs"/>
          <w:b/>
          <w:bCs/>
          <w:sz w:val="24"/>
          <w:szCs w:val="24"/>
          <w:rtl/>
          <w:lang w:bidi="ar-JO"/>
        </w:rPr>
        <w:t>قواعد الأحكام في مصالح الأنام،</w:t>
      </w:r>
      <w:r w:rsidRPr="002273BC">
        <w:rPr>
          <w:rFonts w:ascii="Arabic Transparent" w:hAnsi="Arabic Transparent" w:cs="Arabic Transparent" w:hint="cs"/>
          <w:sz w:val="24"/>
          <w:szCs w:val="24"/>
          <w:rtl/>
          <w:lang w:bidi="ar-JO"/>
        </w:rPr>
        <w:t xml:space="preserve"> مصدر سابق، ج1، ص54.</w:t>
      </w:r>
    </w:p>
  </w:footnote>
  <w:footnote w:id="666">
    <w:p w14:paraId="08C637EB"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ابن فارس، </w:t>
      </w:r>
      <w:r w:rsidRPr="002273BC">
        <w:rPr>
          <w:rFonts w:ascii="Arabic Transparent" w:hAnsi="Arabic Transparent" w:cs="Arabic Transparent" w:hint="cs"/>
          <w:b/>
          <w:bCs/>
          <w:sz w:val="24"/>
          <w:szCs w:val="24"/>
          <w:rtl/>
          <w:lang w:bidi="ar-JO"/>
        </w:rPr>
        <w:t>معجم مقاييس اللغة،</w:t>
      </w:r>
      <w:r w:rsidRPr="002273BC">
        <w:rPr>
          <w:rFonts w:ascii="Arabic Transparent" w:hAnsi="Arabic Transparent" w:cs="Arabic Transparent" w:hint="cs"/>
          <w:sz w:val="24"/>
          <w:szCs w:val="24"/>
          <w:rtl/>
          <w:lang w:bidi="ar-JO"/>
        </w:rPr>
        <w:t xml:space="preserve"> مصدر سابق، ج5، ص275.</w:t>
      </w:r>
    </w:p>
  </w:footnote>
  <w:footnote w:id="667">
    <w:p w14:paraId="375BEF4A" w14:textId="71C54862"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مجمع الفقه الإسلامي الدولي، </w:t>
      </w:r>
      <w:r w:rsidRPr="002273BC">
        <w:rPr>
          <w:rFonts w:ascii="Arabic Transparent" w:hAnsi="Arabic Transparent" w:cs="Arabic Transparent" w:hint="cs"/>
          <w:b/>
          <w:bCs/>
          <w:sz w:val="24"/>
          <w:szCs w:val="24"/>
          <w:rtl/>
          <w:lang w:bidi="ar-JO"/>
        </w:rPr>
        <w:t>قرار رقم 70 (1/8)</w:t>
      </w:r>
      <w:r w:rsidR="00CB2C5A" w:rsidRPr="002273BC">
        <w:rPr>
          <w:rFonts w:ascii="Arabic Transparent" w:hAnsi="Arabic Transparent" w:cs="Arabic Transparent" w:hint="cs"/>
          <w:b/>
          <w:bCs/>
          <w:sz w:val="24"/>
          <w:szCs w:val="24"/>
          <w:rtl/>
          <w:lang w:bidi="ar-JO"/>
        </w:rPr>
        <w:t xml:space="preserve"> </w:t>
      </w:r>
      <w:r w:rsidR="00CB2C5A" w:rsidRPr="002273BC">
        <w:rPr>
          <w:rFonts w:ascii="Arabic Transparent" w:hAnsi="Arabic Transparent" w:cs="Arabic Transparent"/>
          <w:b/>
          <w:bCs/>
          <w:sz w:val="24"/>
          <w:szCs w:val="24"/>
          <w:rtl/>
          <w:lang w:bidi="ar-JO"/>
        </w:rPr>
        <w:t>بشأن الأخذ بالرخصة وحكمه</w:t>
      </w:r>
      <w:r w:rsidR="00CB2C5A" w:rsidRPr="002273BC">
        <w:rPr>
          <w:rFonts w:ascii="Arabic Transparent" w:hAnsi="Arabic Transparent" w:cs="Arabic Transparent" w:hint="cs"/>
          <w:b/>
          <w:bCs/>
          <w:sz w:val="24"/>
          <w:szCs w:val="24"/>
          <w:rtl/>
          <w:lang w:bidi="ar-JO"/>
        </w:rPr>
        <w:t xml:space="preserve">، </w:t>
      </w:r>
      <w:r w:rsidRPr="002273BC">
        <w:rPr>
          <w:rFonts w:ascii="Arabic Transparent" w:hAnsi="Arabic Transparent" w:cs="Arabic Transparent" w:hint="cs"/>
          <w:sz w:val="24"/>
          <w:szCs w:val="24"/>
          <w:rtl/>
          <w:lang w:bidi="ar-JO"/>
        </w:rPr>
        <w:t>الدورة الثامنة، منظمة التعاون الإسلامي، جدة.</w:t>
      </w:r>
      <w:r w:rsidR="00CB2C5A" w:rsidRPr="002273BC">
        <w:rPr>
          <w:rFonts w:ascii="Arabic Transparent" w:hAnsi="Arabic Transparent" w:cs="Arabic Transparent" w:hint="cs"/>
          <w:sz w:val="24"/>
          <w:szCs w:val="24"/>
          <w:rtl/>
          <w:lang w:bidi="ar-JO"/>
        </w:rPr>
        <w:t xml:space="preserve"> تاريخ الاطلاع: 2/ 3/ 2026م على الرابط: </w:t>
      </w:r>
      <w:r w:rsidR="00CB2C5A" w:rsidRPr="002273BC">
        <w:rPr>
          <w:rFonts w:ascii="Arabic Transparent" w:hAnsi="Arabic Transparent" w:cs="Arabic Transparent"/>
          <w:sz w:val="24"/>
          <w:szCs w:val="24"/>
          <w:lang w:bidi="ar-JO"/>
        </w:rPr>
        <w:t>https://iifa-aifi.org/ar/1950.html</w:t>
      </w:r>
    </w:p>
  </w:footnote>
  <w:footnote w:id="668">
    <w:p w14:paraId="5CF7B735" w14:textId="3EA7152C"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منهم، الدسوقي، </w:t>
      </w:r>
      <w:r w:rsidRPr="002273BC">
        <w:rPr>
          <w:rFonts w:ascii="Arabic Transparent" w:hAnsi="Arabic Transparent" w:cs="Arabic Transparent" w:hint="cs"/>
          <w:b/>
          <w:bCs/>
          <w:sz w:val="24"/>
          <w:szCs w:val="24"/>
          <w:rtl/>
          <w:lang w:bidi="ar-JO"/>
        </w:rPr>
        <w:t>حاشية الدسوقي على الشرح الكبير</w:t>
      </w:r>
      <w:r w:rsidRPr="002273BC">
        <w:rPr>
          <w:rFonts w:ascii="Arabic Transparent" w:hAnsi="Arabic Transparent" w:cs="Arabic Transparent" w:hint="cs"/>
          <w:sz w:val="24"/>
          <w:szCs w:val="24"/>
          <w:rtl/>
          <w:lang w:bidi="ar-JO"/>
        </w:rPr>
        <w:t xml:space="preserve">، مصدر سابق، ج1، ص20، وابن الهمام، الكمال، </w:t>
      </w:r>
      <w:r w:rsidRPr="002273BC">
        <w:rPr>
          <w:rFonts w:ascii="Arabic Transparent" w:hAnsi="Arabic Transparent" w:cs="Arabic Transparent" w:hint="cs"/>
          <w:b/>
          <w:bCs/>
          <w:sz w:val="24"/>
          <w:szCs w:val="24"/>
          <w:rtl/>
          <w:lang w:bidi="ar-JO"/>
        </w:rPr>
        <w:t>فتح القدير</w:t>
      </w:r>
      <w:r w:rsidRPr="002273BC">
        <w:rPr>
          <w:rFonts w:ascii="Arabic Transparent" w:hAnsi="Arabic Transparent" w:cs="Arabic Transparent" w:hint="cs"/>
          <w:sz w:val="24"/>
          <w:szCs w:val="24"/>
          <w:rtl/>
          <w:lang w:bidi="ar-JO"/>
        </w:rPr>
        <w:t>، ج7، ص258، وابن تيمية</w:t>
      </w:r>
      <w:r w:rsidRPr="002273BC">
        <w:rPr>
          <w:rFonts w:ascii="Arabic Transparent" w:hAnsi="Arabic Transparent" w:cs="Arabic Transparent" w:hint="cs"/>
          <w:b/>
          <w:bCs/>
          <w:sz w:val="24"/>
          <w:szCs w:val="24"/>
          <w:rtl/>
          <w:lang w:bidi="ar-JO"/>
        </w:rPr>
        <w:t>، مجموع الفتاوى</w:t>
      </w:r>
      <w:r w:rsidRPr="002273BC">
        <w:rPr>
          <w:rFonts w:ascii="Arabic Transparent" w:hAnsi="Arabic Transparent" w:cs="Arabic Transparent" w:hint="cs"/>
          <w:sz w:val="24"/>
          <w:szCs w:val="24"/>
          <w:rtl/>
          <w:lang w:bidi="ar-JO"/>
        </w:rPr>
        <w:t>، مصدر سابق، ج20، ص222، الجوزية، ابن القيم</w:t>
      </w:r>
      <w:r w:rsidRPr="002273BC">
        <w:rPr>
          <w:rFonts w:ascii="Arabic Transparent" w:hAnsi="Arabic Transparent" w:cs="Arabic Transparent" w:hint="cs"/>
          <w:b/>
          <w:bCs/>
          <w:sz w:val="24"/>
          <w:szCs w:val="24"/>
          <w:rtl/>
          <w:lang w:bidi="ar-JO"/>
        </w:rPr>
        <w:t>، إعلام الموقعين عن رب العالمين</w:t>
      </w:r>
      <w:r w:rsidRPr="002273BC">
        <w:rPr>
          <w:rFonts w:ascii="Arabic Transparent" w:hAnsi="Arabic Transparent" w:cs="Arabic Transparent" w:hint="cs"/>
          <w:sz w:val="24"/>
          <w:szCs w:val="24"/>
          <w:rtl/>
          <w:lang w:bidi="ar-JO"/>
        </w:rPr>
        <w:t>، مصدر سابق، ج6، ص204.</w:t>
      </w:r>
    </w:p>
  </w:footnote>
  <w:footnote w:id="669">
    <w:p w14:paraId="263C577A"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منهم، الباني، محمد (1932). </w:t>
      </w:r>
      <w:r w:rsidRPr="002273BC">
        <w:rPr>
          <w:rFonts w:ascii="Arabic Transparent" w:hAnsi="Arabic Transparent" w:cs="Arabic Transparent" w:hint="cs"/>
          <w:b/>
          <w:bCs/>
          <w:sz w:val="24"/>
          <w:szCs w:val="24"/>
          <w:rtl/>
          <w:lang w:bidi="ar-JO"/>
        </w:rPr>
        <w:t>عمدة التحقيق في التقليد والتلفيق</w:t>
      </w:r>
      <w:r w:rsidRPr="002273BC">
        <w:rPr>
          <w:rFonts w:ascii="Arabic Transparent" w:hAnsi="Arabic Transparent" w:cs="Arabic Transparent" w:hint="cs"/>
          <w:sz w:val="24"/>
          <w:szCs w:val="24"/>
          <w:rtl/>
          <w:lang w:bidi="ar-JO"/>
        </w:rPr>
        <w:t xml:space="preserve">، ط1، ص105 مطبعة حكومة دمشق، والقرضاوي، </w:t>
      </w:r>
      <w:r w:rsidRPr="002273BC">
        <w:rPr>
          <w:rFonts w:ascii="Arabic Transparent" w:hAnsi="Arabic Transparent" w:cs="Arabic Transparent" w:hint="cs"/>
          <w:b/>
          <w:bCs/>
          <w:sz w:val="24"/>
          <w:szCs w:val="24"/>
          <w:rtl/>
          <w:lang w:bidi="ar-JO"/>
        </w:rPr>
        <w:t>الحلال والحرام في الإسلام</w:t>
      </w:r>
      <w:r w:rsidRPr="002273BC">
        <w:rPr>
          <w:rFonts w:ascii="Arabic Transparent" w:hAnsi="Arabic Transparent" w:cs="Arabic Transparent" w:hint="cs"/>
          <w:sz w:val="24"/>
          <w:szCs w:val="24"/>
          <w:rtl/>
          <w:lang w:bidi="ar-JO"/>
        </w:rPr>
        <w:t xml:space="preserve">، مصدر سابق، ص100، الزحيلي، </w:t>
      </w:r>
      <w:r w:rsidRPr="002273BC">
        <w:rPr>
          <w:rFonts w:ascii="Arabic Transparent" w:hAnsi="Arabic Transparent" w:cs="Arabic Transparent" w:hint="cs"/>
          <w:b/>
          <w:bCs/>
          <w:sz w:val="24"/>
          <w:szCs w:val="24"/>
          <w:rtl/>
          <w:lang w:bidi="ar-JO"/>
        </w:rPr>
        <w:t>الفقه الإسلامي وأدلته</w:t>
      </w:r>
      <w:r w:rsidRPr="002273BC">
        <w:rPr>
          <w:rFonts w:ascii="Arabic Transparent" w:hAnsi="Arabic Transparent" w:cs="Arabic Transparent" w:hint="cs"/>
          <w:sz w:val="24"/>
          <w:szCs w:val="24"/>
          <w:rtl/>
          <w:lang w:bidi="ar-JO"/>
        </w:rPr>
        <w:t>، مصدر سابق، ج1، ص108.</w:t>
      </w:r>
    </w:p>
  </w:footnote>
  <w:footnote w:id="670">
    <w:p w14:paraId="73F4BA62" w14:textId="36636EB9"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دائرة الإفتاء العام الأردنية، </w:t>
      </w:r>
      <w:r w:rsidRPr="002273BC">
        <w:rPr>
          <w:rFonts w:ascii="Arabic Transparent" w:hAnsi="Arabic Transparent" w:cs="Arabic Transparent" w:hint="cs"/>
          <w:b/>
          <w:bCs/>
          <w:sz w:val="24"/>
          <w:szCs w:val="24"/>
          <w:rtl/>
          <w:lang w:bidi="ar-JO"/>
        </w:rPr>
        <w:t>"ضوابط التلفيق والخروج عن المذهب الفقهي</w:t>
      </w:r>
      <w:r w:rsidRPr="002273BC">
        <w:rPr>
          <w:rFonts w:ascii="Arabic Transparent" w:hAnsi="Arabic Transparent" w:cs="Arabic Transparent" w:hint="cs"/>
          <w:sz w:val="24"/>
          <w:szCs w:val="24"/>
          <w:rtl/>
          <w:lang w:bidi="ar-JO"/>
        </w:rPr>
        <w:t>"، فتوى رقم 3875، الموقع الرسمي لدائرة الإفتاء العام، المملكة الأردنية الهاشمية</w:t>
      </w:r>
      <w:r w:rsidR="005D7B91" w:rsidRPr="002273BC">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sz w:val="24"/>
          <w:szCs w:val="24"/>
          <w:rtl/>
          <w:lang w:bidi="ar-JO"/>
        </w:rPr>
        <w:t xml:space="preserve">متاح على: </w:t>
      </w:r>
      <w:hyperlink r:id="rId6" w:history="1">
        <w:r w:rsidRPr="002273BC">
          <w:rPr>
            <w:rStyle w:val="Hyperlink"/>
            <w:rFonts w:ascii="Arabic Transparent" w:hAnsi="Arabic Transparent" w:cs="Arabic Transparent" w:hint="cs"/>
            <w:sz w:val="24"/>
            <w:szCs w:val="24"/>
            <w:lang w:bidi="ar-JO"/>
          </w:rPr>
          <w:t>www.aliftaa.jo</w:t>
        </w:r>
      </w:hyperlink>
      <w:r w:rsidRPr="002273BC">
        <w:rPr>
          <w:rFonts w:ascii="Arabic Transparent" w:hAnsi="Arabic Transparent" w:cs="Arabic Transparent" w:hint="cs"/>
          <w:sz w:val="24"/>
          <w:szCs w:val="24"/>
          <w:rtl/>
          <w:lang w:bidi="ar-JO"/>
        </w:rPr>
        <w:t xml:space="preserve"> </w:t>
      </w:r>
      <w:r w:rsidR="00EB165A" w:rsidRPr="002273BC">
        <w:rPr>
          <w:rFonts w:ascii="Arabic Transparent" w:hAnsi="Arabic Transparent" w:cs="Arabic Transparent" w:hint="cs"/>
          <w:sz w:val="24"/>
          <w:szCs w:val="24"/>
          <w:rtl/>
          <w:lang w:bidi="ar-JO"/>
        </w:rPr>
        <w:t>تاريخ الاطلاع</w:t>
      </w:r>
      <w:r w:rsidRPr="002273BC">
        <w:rPr>
          <w:rFonts w:ascii="Arabic Transparent" w:hAnsi="Arabic Transparent" w:cs="Arabic Transparent" w:hint="cs"/>
          <w:sz w:val="24"/>
          <w:szCs w:val="24"/>
          <w:rtl/>
          <w:lang w:bidi="ar-JO"/>
        </w:rPr>
        <w:t>: 25/4/2026م.</w:t>
      </w:r>
    </w:p>
  </w:footnote>
  <w:footnote w:id="671">
    <w:p w14:paraId="0E9F445B" w14:textId="2392668A"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EA3738">
        <w:rPr>
          <w:rFonts w:ascii="Arabic Transparent" w:hAnsi="Arabic Transparent" w:cs="Arabic Transparent" w:hint="cs"/>
          <w:b/>
          <w:bCs/>
          <w:sz w:val="24"/>
          <w:szCs w:val="24"/>
          <w:rtl/>
          <w:lang w:bidi="ar-JO"/>
        </w:rPr>
        <w:t>مجلة مجمع الفقه الإسلامي الدولي</w:t>
      </w:r>
      <w:r w:rsidRPr="002273BC">
        <w:rPr>
          <w:rFonts w:ascii="Arabic Transparent" w:hAnsi="Arabic Transparent" w:cs="Arabic Transparent" w:hint="cs"/>
          <w:sz w:val="24"/>
          <w:szCs w:val="24"/>
          <w:rtl/>
          <w:lang w:bidi="ar-JO"/>
        </w:rPr>
        <w:t>، منظمة التعاون الإسلامي، جدة، ع8</w:t>
      </w:r>
      <w:r w:rsidR="005D7B91" w:rsidRPr="002273BC">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sz w:val="24"/>
          <w:szCs w:val="24"/>
          <w:rtl/>
          <w:lang w:bidi="ar-JO"/>
        </w:rPr>
        <w:t>ج1، ص639.</w:t>
      </w:r>
    </w:p>
  </w:footnote>
  <w:footnote w:id="672">
    <w:p w14:paraId="0F0E0930"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هيئة المحاسبة والمراجعة للمؤسسات المالية الإسلامية - أيوفي (2015). </w:t>
      </w:r>
      <w:r w:rsidRPr="002273BC">
        <w:rPr>
          <w:rFonts w:ascii="Arabic Transparent" w:hAnsi="Arabic Transparent" w:cs="Arabic Transparent" w:hint="cs"/>
          <w:b/>
          <w:bCs/>
          <w:sz w:val="24"/>
          <w:szCs w:val="24"/>
          <w:rtl/>
          <w:lang w:bidi="ar-JO"/>
        </w:rPr>
        <w:t>المعايير الشرعية،</w:t>
      </w:r>
      <w:r w:rsidRPr="002273BC">
        <w:rPr>
          <w:rFonts w:ascii="Arabic Transparent" w:hAnsi="Arabic Transparent" w:cs="Arabic Transparent" w:hint="cs"/>
          <w:sz w:val="24"/>
          <w:szCs w:val="24"/>
          <w:rtl/>
          <w:lang w:bidi="ar-JO"/>
        </w:rPr>
        <w:t xml:space="preserve"> ط2، المعيار الأول، ص32، المنامة، البحرين.</w:t>
      </w:r>
    </w:p>
  </w:footnote>
  <w:footnote w:id="673">
    <w:p w14:paraId="28833DC5"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مجموعة من المؤلفين، </w:t>
      </w:r>
      <w:r w:rsidRPr="002273BC">
        <w:rPr>
          <w:rFonts w:ascii="Arabic Transparent" w:hAnsi="Arabic Transparent" w:cs="Arabic Transparent" w:hint="cs"/>
          <w:b/>
          <w:bCs/>
          <w:sz w:val="24"/>
          <w:szCs w:val="24"/>
          <w:rtl/>
          <w:lang w:bidi="ar-JO"/>
        </w:rPr>
        <w:t>الموسوعة الفقهية الكويتية،</w:t>
      </w:r>
      <w:r w:rsidRPr="002273BC">
        <w:rPr>
          <w:rFonts w:ascii="Arabic Transparent" w:hAnsi="Arabic Transparent" w:cs="Arabic Transparent" w:hint="cs"/>
          <w:sz w:val="24"/>
          <w:szCs w:val="24"/>
          <w:rtl/>
          <w:lang w:bidi="ar-JO"/>
        </w:rPr>
        <w:t xml:space="preserve"> مصدر سابق، ج13، ص294.</w:t>
      </w:r>
    </w:p>
  </w:footnote>
  <w:footnote w:id="674">
    <w:p w14:paraId="4DE58568" w14:textId="00F8B6E5"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lang w:bidi="ar-JO"/>
        </w:rPr>
        <w:t xml:space="preserve"> انظر: الباني، </w:t>
      </w:r>
      <w:r w:rsidRPr="002273BC">
        <w:rPr>
          <w:rFonts w:ascii="Arabic Transparent" w:hAnsi="Arabic Transparent" w:cs="Arabic Transparent" w:hint="cs"/>
          <w:b/>
          <w:bCs/>
          <w:sz w:val="24"/>
          <w:szCs w:val="24"/>
          <w:rtl/>
          <w:lang w:bidi="ar-JO"/>
        </w:rPr>
        <w:t>عمدة التحقيق في التقليد والتلفيق،</w:t>
      </w:r>
      <w:r w:rsidRPr="002273BC">
        <w:rPr>
          <w:rFonts w:ascii="Arabic Transparent" w:hAnsi="Arabic Transparent" w:cs="Arabic Transparent" w:hint="cs"/>
          <w:sz w:val="24"/>
          <w:szCs w:val="24"/>
          <w:rtl/>
          <w:lang w:bidi="ar-JO"/>
        </w:rPr>
        <w:t xml:space="preserve"> مصدر سابق، 105-108.</w:t>
      </w:r>
    </w:p>
  </w:footnote>
  <w:footnote w:id="675">
    <w:p w14:paraId="793BD49F" w14:textId="654FE795" w:rsidR="004E383D" w:rsidRPr="002273BC" w:rsidRDefault="004E383D" w:rsidP="00EA3738">
      <w:pPr>
        <w:pStyle w:val="FootnoteText"/>
        <w:spacing w:line="360" w:lineRule="auto"/>
        <w:jc w:val="both"/>
        <w:rPr>
          <w:rFonts w:ascii="Arabic Transparent" w:hAnsi="Arabic Transparent" w:cs="Arabic Transparent"/>
          <w:sz w:val="24"/>
          <w:szCs w:val="24"/>
          <w:rtl/>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0075141A">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sz w:val="24"/>
          <w:szCs w:val="24"/>
          <w:rtl/>
        </w:rPr>
        <w:t xml:space="preserve">القرافي، أحمد بن إدريس بن عبد الرحمن، شهاب الدين أبو العباس (1994)، </w:t>
      </w:r>
      <w:r w:rsidRPr="002273BC">
        <w:rPr>
          <w:rFonts w:ascii="Arabic Transparent" w:hAnsi="Arabic Transparent" w:cs="Arabic Transparent" w:hint="cs"/>
          <w:b/>
          <w:bCs/>
          <w:sz w:val="24"/>
          <w:szCs w:val="24"/>
          <w:rtl/>
        </w:rPr>
        <w:t>الذخيرة</w:t>
      </w:r>
      <w:r w:rsidRPr="002273BC">
        <w:rPr>
          <w:rFonts w:ascii="Arabic Transparent" w:hAnsi="Arabic Transparent" w:cs="Arabic Transparent" w:hint="cs"/>
          <w:sz w:val="24"/>
          <w:szCs w:val="24"/>
          <w:rtl/>
        </w:rPr>
        <w:t>، تحقيق: محمد حجي وسعيد أعراب، ومحمد بوخبزة، ط1، ج1، ص256، دار الغرب الإسلامي، بيروت.</w:t>
      </w:r>
    </w:p>
  </w:footnote>
  <w:footnote w:id="676">
    <w:p w14:paraId="0758E2E8" w14:textId="77777777" w:rsidR="004E383D" w:rsidRPr="002273BC" w:rsidRDefault="004E383D" w:rsidP="00EA3738">
      <w:pPr>
        <w:pStyle w:val="FootnoteText"/>
        <w:spacing w:line="360" w:lineRule="auto"/>
        <w:jc w:val="both"/>
        <w:rPr>
          <w:rFonts w:ascii="Arabic Transparent" w:hAnsi="Arabic Transparent" w:cs="Arabic Transparent"/>
          <w:sz w:val="24"/>
          <w:szCs w:val="24"/>
          <w:rtl/>
        </w:rPr>
      </w:pP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القرطبي، </w:t>
      </w:r>
      <w:r w:rsidRPr="002273BC">
        <w:rPr>
          <w:rFonts w:ascii="Arabic Transparent" w:hAnsi="Arabic Transparent" w:cs="Arabic Transparent" w:hint="cs"/>
          <w:b/>
          <w:bCs/>
          <w:sz w:val="24"/>
          <w:szCs w:val="24"/>
          <w:rtl/>
        </w:rPr>
        <w:t>الجامع لأحكام القرآن</w:t>
      </w:r>
      <w:r w:rsidRPr="002273BC">
        <w:rPr>
          <w:rFonts w:ascii="Arabic Transparent" w:hAnsi="Arabic Transparent" w:cs="Arabic Transparent" w:hint="cs"/>
          <w:sz w:val="24"/>
          <w:szCs w:val="24"/>
          <w:rtl/>
        </w:rPr>
        <w:t>، مصدر سابق، ج5، ص223.</w:t>
      </w:r>
    </w:p>
  </w:footnote>
  <w:footnote w:id="677">
    <w:p w14:paraId="78059D98" w14:textId="77777777" w:rsidR="004E383D" w:rsidRPr="002273BC" w:rsidRDefault="004E383D" w:rsidP="00EA3738">
      <w:pPr>
        <w:spacing w:line="360" w:lineRule="auto"/>
        <w:jc w:val="both"/>
        <w:rPr>
          <w:rFonts w:ascii="Arabic Transparent" w:hAnsi="Arabic Transparent" w:cs="Arabic Transparent"/>
          <w:sz w:val="24"/>
          <w:szCs w:val="24"/>
          <w:rtl/>
        </w:rPr>
      </w:pP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وهما المالكية والحنابلة، انظر: ابن رشد، محمد بن أحمد القرطبي، أبو الوليد (1993)، </w:t>
      </w:r>
      <w:r w:rsidRPr="002273BC">
        <w:rPr>
          <w:rFonts w:ascii="Arabic Transparent" w:hAnsi="Arabic Transparent" w:cs="Arabic Transparent" w:hint="cs"/>
          <w:b/>
          <w:bCs/>
          <w:sz w:val="24"/>
          <w:szCs w:val="24"/>
          <w:rtl/>
        </w:rPr>
        <w:t>مسائل أبي الوليد ابن رشد</w:t>
      </w:r>
      <w:r w:rsidRPr="002273BC">
        <w:rPr>
          <w:rFonts w:ascii="Arabic Transparent" w:hAnsi="Arabic Transparent" w:cs="Arabic Transparent" w:hint="cs"/>
          <w:sz w:val="24"/>
          <w:szCs w:val="24"/>
          <w:rtl/>
        </w:rPr>
        <w:t xml:space="preserve">، تحقيق: محمد الحبيب التجكاني، ط2، ج1، ص728، دار الجيل، بيروت، وانظر: ابن قدامة، </w:t>
      </w:r>
      <w:r w:rsidRPr="002273BC">
        <w:rPr>
          <w:rFonts w:ascii="Arabic Transparent" w:hAnsi="Arabic Transparent" w:cs="Arabic Transparent" w:hint="cs"/>
          <w:b/>
          <w:bCs/>
          <w:sz w:val="24"/>
          <w:szCs w:val="24"/>
          <w:rtl/>
        </w:rPr>
        <w:t>المغني</w:t>
      </w:r>
      <w:r w:rsidRPr="002273BC">
        <w:rPr>
          <w:rFonts w:ascii="Arabic Transparent" w:hAnsi="Arabic Transparent" w:cs="Arabic Transparent" w:hint="cs"/>
          <w:sz w:val="24"/>
          <w:szCs w:val="24"/>
          <w:rtl/>
        </w:rPr>
        <w:t>، مصدر سابق، ج1، ص66.</w:t>
      </w:r>
    </w:p>
  </w:footnote>
  <w:footnote w:id="678">
    <w:p w14:paraId="0A7BBCB8" w14:textId="70C4A70D" w:rsidR="004E383D" w:rsidRPr="002273BC" w:rsidRDefault="004E383D" w:rsidP="00EA3738">
      <w:pPr>
        <w:spacing w:line="360" w:lineRule="auto"/>
        <w:jc w:val="both"/>
        <w:rPr>
          <w:rFonts w:ascii="Arabic Transparent" w:hAnsi="Arabic Transparent" w:cs="Arabic Transparent"/>
          <w:sz w:val="24"/>
          <w:szCs w:val="24"/>
          <w:rtl/>
        </w:rPr>
      </w:pP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وهم الحنفية، انظر: الكاساني، </w:t>
      </w:r>
      <w:r w:rsidRPr="002273BC">
        <w:rPr>
          <w:rFonts w:ascii="Arabic Transparent" w:hAnsi="Arabic Transparent" w:cs="Arabic Transparent" w:hint="cs"/>
          <w:b/>
          <w:bCs/>
          <w:sz w:val="24"/>
          <w:szCs w:val="24"/>
          <w:rtl/>
        </w:rPr>
        <w:t>بدائع الصنائع في ترتيب الشرائع،</w:t>
      </w:r>
      <w:r w:rsidRPr="002273BC">
        <w:rPr>
          <w:rFonts w:ascii="Arabic Transparent" w:hAnsi="Arabic Transparent" w:cs="Arabic Transparent" w:hint="cs"/>
          <w:sz w:val="24"/>
          <w:szCs w:val="24"/>
          <w:rtl/>
        </w:rPr>
        <w:t xml:space="preserve"> </w:t>
      </w:r>
      <w:r w:rsidR="00EB165A" w:rsidRPr="002273BC">
        <w:rPr>
          <w:rFonts w:ascii="Arabic Transparent" w:hAnsi="Arabic Transparent" w:cs="Arabic Transparent" w:hint="cs"/>
          <w:sz w:val="24"/>
          <w:szCs w:val="24"/>
          <w:rtl/>
        </w:rPr>
        <w:t xml:space="preserve">مصدر سابق، </w:t>
      </w:r>
      <w:r w:rsidRPr="002273BC">
        <w:rPr>
          <w:rFonts w:ascii="Arabic Transparent" w:hAnsi="Arabic Transparent" w:cs="Arabic Transparent" w:hint="cs"/>
          <w:sz w:val="24"/>
          <w:szCs w:val="24"/>
          <w:rtl/>
        </w:rPr>
        <w:t>ج1، ص416</w:t>
      </w:r>
      <w:r w:rsidR="00EB165A" w:rsidRPr="002273BC">
        <w:rPr>
          <w:rFonts w:ascii="Arabic Transparent" w:hAnsi="Arabic Transparent" w:cs="Arabic Transparent" w:hint="cs"/>
          <w:sz w:val="24"/>
          <w:szCs w:val="24"/>
          <w:rtl/>
        </w:rPr>
        <w:t>.</w:t>
      </w:r>
    </w:p>
  </w:footnote>
  <w:footnote w:id="679">
    <w:p w14:paraId="480392EB" w14:textId="737F557C" w:rsidR="004E383D" w:rsidRPr="002273BC" w:rsidRDefault="004E383D" w:rsidP="00EA3738">
      <w:pPr>
        <w:pStyle w:val="FootnoteText"/>
        <w:spacing w:line="360" w:lineRule="auto"/>
        <w:jc w:val="both"/>
        <w:rPr>
          <w:rFonts w:ascii="Arabic Transparent" w:hAnsi="Arabic Transparent" w:cs="Arabic Transparent"/>
          <w:sz w:val="24"/>
          <w:szCs w:val="24"/>
          <w:rtl/>
        </w:rPr>
      </w:pP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0075141A">
        <w:rPr>
          <w:rFonts w:ascii="Arabic Transparent" w:hAnsi="Arabic Transparent" w:cs="Arabic Transparent" w:hint="cs"/>
          <w:sz w:val="24"/>
          <w:szCs w:val="24"/>
          <w:rtl/>
        </w:rPr>
        <w:t xml:space="preserve">انظر: </w:t>
      </w:r>
      <w:r w:rsidRPr="002273BC">
        <w:rPr>
          <w:rFonts w:ascii="Arabic Transparent" w:hAnsi="Arabic Transparent" w:cs="Arabic Transparent" w:hint="cs"/>
          <w:sz w:val="24"/>
          <w:szCs w:val="24"/>
          <w:rtl/>
        </w:rPr>
        <w:t xml:space="preserve">السرخسي، </w:t>
      </w:r>
      <w:r w:rsidRPr="002273BC">
        <w:rPr>
          <w:rFonts w:ascii="Arabic Transparent" w:hAnsi="Arabic Transparent" w:cs="Arabic Transparent" w:hint="cs"/>
          <w:b/>
          <w:bCs/>
          <w:sz w:val="24"/>
          <w:szCs w:val="24"/>
          <w:rtl/>
        </w:rPr>
        <w:t>أصول السرخسي</w:t>
      </w:r>
      <w:r w:rsidR="00EB165A" w:rsidRPr="002273BC">
        <w:rPr>
          <w:rFonts w:ascii="Arabic Transparent" w:hAnsi="Arabic Transparent" w:cs="Arabic Transparent" w:hint="cs"/>
          <w:sz w:val="24"/>
          <w:szCs w:val="24"/>
          <w:rtl/>
        </w:rPr>
        <w:t>،</w:t>
      </w:r>
      <w:r w:rsidRPr="002273BC">
        <w:rPr>
          <w:rFonts w:ascii="Arabic Transparent" w:hAnsi="Arabic Transparent" w:cs="Arabic Transparent" w:hint="cs"/>
          <w:sz w:val="24"/>
          <w:szCs w:val="24"/>
          <w:rtl/>
        </w:rPr>
        <w:t xml:space="preserve"> </w:t>
      </w:r>
      <w:r w:rsidR="00EB165A" w:rsidRPr="002273BC">
        <w:rPr>
          <w:rFonts w:ascii="Arabic Transparent" w:hAnsi="Arabic Transparent" w:cs="Arabic Transparent" w:hint="cs"/>
          <w:sz w:val="24"/>
          <w:szCs w:val="24"/>
          <w:rtl/>
        </w:rPr>
        <w:t>مصدر سابق،</w:t>
      </w:r>
      <w:r w:rsidRPr="002273BC">
        <w:rPr>
          <w:rFonts w:ascii="Arabic Transparent" w:hAnsi="Arabic Transparent" w:cs="Arabic Transparent" w:hint="cs"/>
          <w:sz w:val="24"/>
          <w:szCs w:val="24"/>
          <w:rtl/>
        </w:rPr>
        <w:t xml:space="preserve"> ج2، ص200</w:t>
      </w:r>
      <w:r w:rsidR="00EB165A" w:rsidRPr="002273BC">
        <w:rPr>
          <w:rFonts w:ascii="Arabic Transparent" w:hAnsi="Arabic Transparent" w:cs="Arabic Transparent" w:hint="cs"/>
          <w:sz w:val="24"/>
          <w:szCs w:val="24"/>
          <w:rtl/>
        </w:rPr>
        <w:t>.</w:t>
      </w:r>
    </w:p>
  </w:footnote>
  <w:footnote w:id="680">
    <w:p w14:paraId="4C28246D" w14:textId="78F5B4A1"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0075141A">
        <w:rPr>
          <w:rFonts w:ascii="Arabic Transparent" w:hAnsi="Arabic Transparent" w:cs="Arabic Transparent" w:hint="cs"/>
          <w:sz w:val="24"/>
          <w:szCs w:val="24"/>
          <w:rtl/>
        </w:rPr>
        <w:t xml:space="preserve">انظر: </w:t>
      </w:r>
      <w:r w:rsidRPr="002273BC">
        <w:rPr>
          <w:rFonts w:ascii="Arabic Transparent" w:hAnsi="Arabic Transparent" w:cs="Arabic Transparent" w:hint="cs"/>
          <w:sz w:val="24"/>
          <w:szCs w:val="24"/>
          <w:rtl/>
          <w:lang w:bidi="ar-JO"/>
        </w:rPr>
        <w:t xml:space="preserve">خلاف، </w:t>
      </w:r>
      <w:r w:rsidRPr="002273BC">
        <w:rPr>
          <w:rFonts w:ascii="Arabic Transparent" w:hAnsi="Arabic Transparent" w:cs="Arabic Transparent" w:hint="cs"/>
          <w:b/>
          <w:bCs/>
          <w:sz w:val="24"/>
          <w:szCs w:val="24"/>
          <w:rtl/>
          <w:lang w:bidi="ar-JO"/>
        </w:rPr>
        <w:t>علم أصول الفقه</w:t>
      </w:r>
      <w:r w:rsidRPr="002273BC">
        <w:rPr>
          <w:rFonts w:ascii="Arabic Transparent" w:hAnsi="Arabic Transparent" w:cs="Arabic Transparent" w:hint="cs"/>
          <w:sz w:val="24"/>
          <w:szCs w:val="24"/>
          <w:rtl/>
          <w:lang w:bidi="ar-JO"/>
        </w:rPr>
        <w:t>، مصدر سابق، ص80.</w:t>
      </w:r>
    </w:p>
  </w:footnote>
  <w:footnote w:id="681">
    <w:p w14:paraId="3B0A4862" w14:textId="77777777" w:rsidR="004E383D" w:rsidRPr="002273BC" w:rsidRDefault="004E383D" w:rsidP="00EA3738">
      <w:pPr>
        <w:pStyle w:val="FootnoteText"/>
        <w:spacing w:line="360" w:lineRule="auto"/>
        <w:jc w:val="both"/>
        <w:rPr>
          <w:rFonts w:ascii="Arabic Transparent" w:hAnsi="Arabic Transparent" w:cs="Arabic Transparent"/>
          <w:sz w:val="24"/>
          <w:szCs w:val="24"/>
          <w:rtl/>
        </w:rPr>
      </w:pP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انظر: الجويني، </w:t>
      </w:r>
      <w:r w:rsidRPr="002273BC">
        <w:rPr>
          <w:rFonts w:ascii="Arabic Transparent" w:hAnsi="Arabic Transparent" w:cs="Arabic Transparent" w:hint="cs"/>
          <w:b/>
          <w:bCs/>
          <w:sz w:val="24"/>
          <w:szCs w:val="24"/>
          <w:rtl/>
        </w:rPr>
        <w:t>التلخيص في أصول الفقه</w:t>
      </w:r>
      <w:r w:rsidRPr="002273BC">
        <w:rPr>
          <w:rFonts w:ascii="Arabic Transparent" w:hAnsi="Arabic Transparent" w:cs="Arabic Transparent" w:hint="cs"/>
          <w:sz w:val="24"/>
          <w:szCs w:val="24"/>
          <w:rtl/>
        </w:rPr>
        <w:t>، مصدر سابق، ج1، ص136.</w:t>
      </w:r>
    </w:p>
  </w:footnote>
  <w:footnote w:id="682">
    <w:p w14:paraId="1487A8D4" w14:textId="77777777" w:rsidR="004E383D" w:rsidRPr="002273BC" w:rsidRDefault="004E383D" w:rsidP="00EA3738">
      <w:pPr>
        <w:pStyle w:val="FootnoteText"/>
        <w:spacing w:line="360" w:lineRule="auto"/>
        <w:jc w:val="both"/>
        <w:rPr>
          <w:rFonts w:ascii="Arabic Transparent" w:hAnsi="Arabic Transparent" w:cs="Arabic Transparent"/>
          <w:sz w:val="24"/>
          <w:szCs w:val="24"/>
          <w:rtl/>
        </w:rPr>
      </w:pP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انظر: الخرشي، </w:t>
      </w:r>
      <w:r w:rsidRPr="002273BC">
        <w:rPr>
          <w:rFonts w:ascii="Arabic Transparent" w:hAnsi="Arabic Transparent" w:cs="Arabic Transparent" w:hint="cs"/>
          <w:b/>
          <w:bCs/>
          <w:sz w:val="24"/>
          <w:szCs w:val="24"/>
          <w:rtl/>
        </w:rPr>
        <w:t>شرح مختصر خليل</w:t>
      </w:r>
      <w:r w:rsidRPr="002273BC">
        <w:rPr>
          <w:rFonts w:ascii="Arabic Transparent" w:hAnsi="Arabic Transparent" w:cs="Arabic Transparent" w:hint="cs"/>
          <w:sz w:val="24"/>
          <w:szCs w:val="24"/>
          <w:rtl/>
        </w:rPr>
        <w:t>، مصدر سابق، ج4، ص144.</w:t>
      </w:r>
    </w:p>
  </w:footnote>
  <w:footnote w:id="683">
    <w:p w14:paraId="33647C99" w14:textId="77777777" w:rsidR="004E383D" w:rsidRPr="002273BC" w:rsidRDefault="004E383D" w:rsidP="00EA3738">
      <w:pPr>
        <w:pStyle w:val="FootnoteText"/>
        <w:spacing w:line="360" w:lineRule="auto"/>
        <w:jc w:val="both"/>
        <w:rPr>
          <w:rFonts w:ascii="Arabic Transparent" w:hAnsi="Arabic Transparent" w:cs="Arabic Transparent"/>
          <w:sz w:val="24"/>
          <w:szCs w:val="24"/>
          <w:rtl/>
        </w:rPr>
      </w:pP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انظر: ابن عاشور، </w:t>
      </w:r>
      <w:r w:rsidRPr="002273BC">
        <w:rPr>
          <w:rFonts w:ascii="Arabic Transparent" w:hAnsi="Arabic Transparent" w:cs="Arabic Transparent" w:hint="cs"/>
          <w:b/>
          <w:bCs/>
          <w:sz w:val="24"/>
          <w:szCs w:val="24"/>
          <w:rtl/>
        </w:rPr>
        <w:t>التحرير والتنوير</w:t>
      </w:r>
      <w:r w:rsidRPr="002273BC">
        <w:rPr>
          <w:rFonts w:ascii="Arabic Transparent" w:hAnsi="Arabic Transparent" w:cs="Arabic Transparent" w:hint="cs"/>
          <w:sz w:val="24"/>
          <w:szCs w:val="24"/>
          <w:rtl/>
        </w:rPr>
        <w:t>، مصدر سابق، ج1، ص455.</w:t>
      </w:r>
    </w:p>
  </w:footnote>
  <w:footnote w:id="684">
    <w:p w14:paraId="310CBA2C"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انظر: الإمام مالك، </w:t>
      </w:r>
      <w:r w:rsidRPr="002273BC">
        <w:rPr>
          <w:rFonts w:ascii="Arabic Transparent" w:hAnsi="Arabic Transparent" w:cs="Arabic Transparent" w:hint="cs"/>
          <w:b/>
          <w:bCs/>
          <w:sz w:val="24"/>
          <w:szCs w:val="24"/>
          <w:rtl/>
        </w:rPr>
        <w:t xml:space="preserve">المدونة، </w:t>
      </w:r>
      <w:r w:rsidRPr="00EA3738">
        <w:rPr>
          <w:rFonts w:ascii="Arabic Transparent" w:hAnsi="Arabic Transparent" w:cs="Arabic Transparent" w:hint="cs"/>
          <w:sz w:val="24"/>
          <w:szCs w:val="24"/>
          <w:rtl/>
        </w:rPr>
        <w:t>مصدر سابق</w:t>
      </w:r>
      <w:r w:rsidRPr="002273BC">
        <w:rPr>
          <w:rFonts w:ascii="Arabic Transparent" w:hAnsi="Arabic Transparent" w:cs="Arabic Transparent" w:hint="cs"/>
          <w:b/>
          <w:bCs/>
          <w:sz w:val="24"/>
          <w:szCs w:val="24"/>
          <w:rtl/>
        </w:rPr>
        <w:t xml:space="preserve">، </w:t>
      </w:r>
      <w:r w:rsidRPr="002273BC">
        <w:rPr>
          <w:rFonts w:ascii="Arabic Transparent" w:hAnsi="Arabic Transparent" w:cs="Arabic Transparent" w:hint="cs"/>
          <w:sz w:val="24"/>
          <w:szCs w:val="24"/>
          <w:rtl/>
        </w:rPr>
        <w:t xml:space="preserve">ص207، وانظر: القيرواني، ابن أبي زيد عبد الله بن عبد الرحمن (2021)، </w:t>
      </w:r>
      <w:r w:rsidRPr="002273BC">
        <w:rPr>
          <w:rFonts w:ascii="Arabic Transparent" w:hAnsi="Arabic Transparent" w:cs="Arabic Transparent" w:hint="cs"/>
          <w:b/>
          <w:bCs/>
          <w:sz w:val="24"/>
          <w:szCs w:val="24"/>
          <w:rtl/>
        </w:rPr>
        <w:t>الرسالة لابن أبي زيد القيرواني</w:t>
      </w:r>
      <w:r w:rsidRPr="002273BC">
        <w:rPr>
          <w:rFonts w:ascii="Arabic Transparent" w:hAnsi="Arabic Transparent" w:cs="Arabic Transparent" w:hint="cs"/>
          <w:sz w:val="24"/>
          <w:szCs w:val="24"/>
          <w:rtl/>
        </w:rPr>
        <w:t xml:space="preserve"> – نسخة التتائي، جمعها وحققها إبراهيم أحمد إبراهيم السناري، ط1، ص212، معهد المخطوطات العربية، القاهرة.</w:t>
      </w:r>
    </w:p>
  </w:footnote>
  <w:footnote w:id="685">
    <w:p w14:paraId="504EF37D" w14:textId="77777777" w:rsidR="004E383D" w:rsidRPr="002273BC" w:rsidRDefault="004E383D" w:rsidP="00EA3738">
      <w:pPr>
        <w:pStyle w:val="FootnoteText"/>
        <w:spacing w:line="360" w:lineRule="auto"/>
        <w:jc w:val="both"/>
        <w:rPr>
          <w:rFonts w:ascii="Arabic Transparent" w:hAnsi="Arabic Transparent" w:cs="Arabic Transparent"/>
          <w:sz w:val="24"/>
          <w:szCs w:val="24"/>
          <w:rtl/>
        </w:rPr>
      </w:pPr>
      <w:r w:rsidRPr="002273BC">
        <w:rPr>
          <w:rFonts w:ascii="Arabic Transparent" w:hAnsi="Arabic Transparent" w:cs="Arabic Transparent"/>
          <w:sz w:val="24"/>
          <w:szCs w:val="24"/>
        </w:rPr>
        <w:t xml:space="preserve"> </w:t>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انظر: ابن تيمية</w:t>
      </w:r>
      <w:r w:rsidRPr="002273BC">
        <w:rPr>
          <w:rFonts w:ascii="Arabic Transparent" w:hAnsi="Arabic Transparent" w:cs="Arabic Transparent" w:hint="cs"/>
          <w:b/>
          <w:bCs/>
          <w:sz w:val="24"/>
          <w:szCs w:val="24"/>
          <w:rtl/>
        </w:rPr>
        <w:t>، مجموع فتاوى</w:t>
      </w:r>
      <w:r w:rsidRPr="002273BC">
        <w:rPr>
          <w:rFonts w:ascii="Arabic Transparent" w:hAnsi="Arabic Transparent" w:cs="Arabic Transparent" w:hint="cs"/>
          <w:sz w:val="24"/>
          <w:szCs w:val="24"/>
          <w:rtl/>
        </w:rPr>
        <w:t>، مصدر سابق، ج30، ص223، وانظر: ابن القيم</w:t>
      </w:r>
      <w:r w:rsidRPr="002273BC">
        <w:rPr>
          <w:rFonts w:ascii="Arabic Transparent" w:hAnsi="Arabic Transparent" w:cs="Arabic Transparent" w:hint="cs"/>
          <w:b/>
          <w:bCs/>
          <w:sz w:val="24"/>
          <w:szCs w:val="24"/>
          <w:rtl/>
        </w:rPr>
        <w:t>، إعلام الموقعين عن ربِّ العالمين</w:t>
      </w:r>
      <w:r w:rsidRPr="002273BC">
        <w:rPr>
          <w:rFonts w:ascii="Arabic Transparent" w:hAnsi="Arabic Transparent" w:cs="Arabic Transparent" w:hint="cs"/>
          <w:sz w:val="24"/>
          <w:szCs w:val="24"/>
          <w:rtl/>
        </w:rPr>
        <w:t>، مصدر سابق، ج3، ص124.</w:t>
      </w:r>
    </w:p>
  </w:footnote>
  <w:footnote w:id="686">
    <w:p w14:paraId="7FDFE383" w14:textId="77777777" w:rsidR="004E383D" w:rsidRPr="002273BC" w:rsidRDefault="004E383D" w:rsidP="00EA3738">
      <w:pPr>
        <w:pStyle w:val="FootnoteText"/>
        <w:spacing w:line="360" w:lineRule="auto"/>
        <w:jc w:val="both"/>
        <w:rPr>
          <w:rFonts w:ascii="Arabic Transparent" w:hAnsi="Arabic Transparent" w:cs="Arabic Transparent"/>
          <w:sz w:val="24"/>
          <w:szCs w:val="24"/>
          <w:rtl/>
        </w:rPr>
      </w:pP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الشاطبي، </w:t>
      </w:r>
      <w:r w:rsidRPr="002273BC">
        <w:rPr>
          <w:rFonts w:ascii="Arabic Transparent" w:hAnsi="Arabic Transparent" w:cs="Arabic Transparent" w:hint="cs"/>
          <w:b/>
          <w:bCs/>
          <w:sz w:val="24"/>
          <w:szCs w:val="24"/>
          <w:rtl/>
        </w:rPr>
        <w:t>الموافقات</w:t>
      </w:r>
      <w:r w:rsidRPr="002273BC">
        <w:rPr>
          <w:rFonts w:ascii="Arabic Transparent" w:hAnsi="Arabic Transparent" w:cs="Arabic Transparent" w:hint="cs"/>
          <w:sz w:val="24"/>
          <w:szCs w:val="24"/>
          <w:rtl/>
        </w:rPr>
        <w:t>، مصدر سابق، ج1، ص397.</w:t>
      </w:r>
    </w:p>
  </w:footnote>
  <w:footnote w:id="687">
    <w:p w14:paraId="4B282860" w14:textId="04247871"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أخرجه البخاري في صحيحه، البخاري، </w:t>
      </w:r>
      <w:r w:rsidR="00EB165A" w:rsidRPr="002273BC">
        <w:rPr>
          <w:rFonts w:ascii="Arabic Transparent" w:hAnsi="Arabic Transparent" w:cs="Arabic Transparent" w:hint="cs"/>
          <w:b/>
          <w:bCs/>
          <w:sz w:val="24"/>
          <w:szCs w:val="24"/>
          <w:rtl/>
          <w:lang w:bidi="ar-JO"/>
        </w:rPr>
        <w:t>صحيح البخاري</w:t>
      </w:r>
      <w:r w:rsidRPr="002273BC">
        <w:rPr>
          <w:rFonts w:ascii="Arabic Transparent" w:hAnsi="Arabic Transparent" w:cs="Arabic Transparent" w:hint="cs"/>
          <w:sz w:val="24"/>
          <w:szCs w:val="24"/>
          <w:rtl/>
          <w:lang w:bidi="ar-JO"/>
        </w:rPr>
        <w:t>، مصدر سابق، كتاب الوكالة، باب الوكالة في الصرف والميزان، رقم (2180)، ج2، ص808.</w:t>
      </w:r>
    </w:p>
  </w:footnote>
  <w:footnote w:id="688">
    <w:p w14:paraId="5EA1DA97"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النووي، </w:t>
      </w:r>
      <w:r w:rsidRPr="002273BC">
        <w:rPr>
          <w:rFonts w:ascii="Arabic Transparent" w:hAnsi="Arabic Transparent" w:cs="Arabic Transparent" w:hint="cs"/>
          <w:b/>
          <w:bCs/>
          <w:sz w:val="24"/>
          <w:szCs w:val="24"/>
          <w:rtl/>
          <w:lang w:bidi="ar-JO"/>
        </w:rPr>
        <w:t>شرح النووي على مسلم،</w:t>
      </w:r>
      <w:r w:rsidRPr="002273BC">
        <w:rPr>
          <w:rFonts w:ascii="Arabic Transparent" w:hAnsi="Arabic Transparent" w:cs="Arabic Transparent" w:hint="cs"/>
          <w:sz w:val="24"/>
          <w:szCs w:val="24"/>
          <w:rtl/>
          <w:lang w:bidi="ar-JO"/>
        </w:rPr>
        <w:t xml:space="preserve"> مصدر سابق، ج11، ص9.</w:t>
      </w:r>
    </w:p>
  </w:footnote>
  <w:footnote w:id="689">
    <w:p w14:paraId="024BCC65" w14:textId="4A787310"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المراطلة:</w:t>
      </w:r>
      <w:r w:rsidRPr="002273BC">
        <w:rPr>
          <w:rFonts w:ascii="Arabic Transparent" w:hAnsi="Arabic Transparent" w:cs="Arabic Transparent" w:hint="cs"/>
          <w:sz w:val="24"/>
          <w:szCs w:val="24"/>
          <w:rtl/>
          <w:lang w:bidi="ar-JO"/>
        </w:rPr>
        <w:t xml:space="preserve"> هي أن يوضع أحد الذهبين في كفة والآخر في كفة بغير صنجة: (هو ما يتخذ مدورًا على كفتي الميزان)، فإذا استوى لسان الميزان بينهما أخذ كل واحد منهما ذهب صاحبه بدلًا من ذهب نفسه؛ لأن التماثل يحصل بهما كما لو كان بصنجة ولا يراعى في ذلك إلا الوزن دون العدد، فإن كان إحدى الذهبين أكثر عددًا أو أقل وهمًا متساويان في الوزن فلا بأس، القاضي عبد الوهاب، البغدادي، (د.ت). </w:t>
      </w:r>
      <w:r w:rsidRPr="002273BC">
        <w:rPr>
          <w:rFonts w:ascii="Arabic Transparent" w:hAnsi="Arabic Transparent" w:cs="Arabic Transparent" w:hint="cs"/>
          <w:b/>
          <w:bCs/>
          <w:sz w:val="24"/>
          <w:szCs w:val="24"/>
          <w:rtl/>
          <w:lang w:bidi="ar-JO"/>
        </w:rPr>
        <w:t>المعونة على مذهب عالم المدينة</w:t>
      </w:r>
      <w:r w:rsidRPr="002273BC">
        <w:rPr>
          <w:rFonts w:ascii="Arabic Transparent" w:hAnsi="Arabic Transparent" w:cs="Arabic Transparent" w:hint="cs"/>
          <w:sz w:val="24"/>
          <w:szCs w:val="24"/>
          <w:rtl/>
          <w:lang w:bidi="ar-JO"/>
        </w:rPr>
        <w:t xml:space="preserve"> "الإمام مالك بن أنس". تحقيق ودراسة: حميش عبد الحق، ط1،</w:t>
      </w:r>
      <w:r w:rsidR="00EA3738">
        <w:rPr>
          <w:rFonts w:ascii="Arabic Transparent" w:hAnsi="Arabic Transparent" w:cs="Arabic Transparent" w:hint="cs"/>
          <w:sz w:val="24"/>
          <w:szCs w:val="24"/>
          <w:rtl/>
          <w:lang w:bidi="ar-JO"/>
        </w:rPr>
        <w:t xml:space="preserve"> ج2، ص1027</w:t>
      </w:r>
      <w:r w:rsidRPr="002273BC">
        <w:rPr>
          <w:rFonts w:ascii="Arabic Transparent" w:hAnsi="Arabic Transparent" w:cs="Arabic Transparent" w:hint="cs"/>
          <w:sz w:val="24"/>
          <w:szCs w:val="24"/>
          <w:rtl/>
          <w:lang w:bidi="ar-JO"/>
        </w:rPr>
        <w:t xml:space="preserve"> المكتبة التجارية، مصطفى أحمد الباز، مكة المكرمة.</w:t>
      </w:r>
    </w:p>
  </w:footnote>
  <w:footnote w:id="690">
    <w:p w14:paraId="30ECE3A2" w14:textId="384D2E06" w:rsidR="004E383D" w:rsidRPr="002273BC" w:rsidRDefault="004E383D" w:rsidP="00EA3738">
      <w:pPr>
        <w:pStyle w:val="FootnoteText"/>
        <w:spacing w:line="336" w:lineRule="auto"/>
        <w:jc w:val="both"/>
        <w:rPr>
          <w:rFonts w:ascii="Arabic Transparent" w:hAnsi="Arabic Transparent" w:cs="Arabic Transparent"/>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القيرواني، عبدالله عبدالرحمن النفزي، (1999)، </w:t>
      </w:r>
      <w:r w:rsidRPr="002273BC">
        <w:rPr>
          <w:rFonts w:ascii="Arabic Transparent" w:hAnsi="Arabic Transparent" w:cs="Arabic Transparent"/>
          <w:b/>
          <w:bCs/>
          <w:sz w:val="24"/>
          <w:szCs w:val="24"/>
          <w:rtl/>
          <w:lang w:bidi="ar-JO"/>
        </w:rPr>
        <w:t>النوادر والزيادات على ما في المدونة من غيرها من الأمهات</w:t>
      </w:r>
      <w:r w:rsidRPr="002273BC">
        <w:rPr>
          <w:rFonts w:ascii="Arabic Transparent" w:hAnsi="Arabic Transparent" w:cs="Arabic Transparent" w:hint="cs"/>
          <w:b/>
          <w:bCs/>
          <w:sz w:val="24"/>
          <w:szCs w:val="24"/>
          <w:rtl/>
          <w:lang w:bidi="ar-JO"/>
        </w:rPr>
        <w:t>،</w:t>
      </w:r>
      <w:r w:rsidRPr="002273BC">
        <w:rPr>
          <w:rFonts w:ascii="Arabic Transparent" w:hAnsi="Arabic Transparent" w:cs="Arabic Transparent" w:hint="cs"/>
          <w:sz w:val="24"/>
          <w:szCs w:val="24"/>
          <w:rtl/>
          <w:lang w:bidi="ar-JO"/>
        </w:rPr>
        <w:t xml:space="preserve"> ط1، </w:t>
      </w:r>
      <w:r w:rsidR="00EB165A" w:rsidRPr="002273BC">
        <w:rPr>
          <w:rFonts w:ascii="Arabic Transparent" w:hAnsi="Arabic Transparent" w:cs="Arabic Transparent" w:hint="cs"/>
          <w:sz w:val="24"/>
          <w:szCs w:val="24"/>
          <w:rtl/>
          <w:lang w:bidi="ar-JO"/>
        </w:rPr>
        <w:t xml:space="preserve">ص233، </w:t>
      </w:r>
      <w:r w:rsidRPr="002273BC">
        <w:rPr>
          <w:rFonts w:ascii="Arabic Transparent" w:hAnsi="Arabic Transparent" w:cs="Arabic Transparent" w:hint="cs"/>
          <w:sz w:val="24"/>
          <w:szCs w:val="24"/>
          <w:rtl/>
          <w:lang w:bidi="ar-JO"/>
        </w:rPr>
        <w:t>دار الغرب الإسلامي- بيروت.</w:t>
      </w:r>
    </w:p>
  </w:footnote>
  <w:footnote w:id="691">
    <w:p w14:paraId="0AE58663" w14:textId="77777777" w:rsidR="004E383D" w:rsidRPr="002273BC" w:rsidRDefault="004E383D" w:rsidP="00EA3738">
      <w:pPr>
        <w:pStyle w:val="FootnoteText"/>
        <w:spacing w:line="336" w:lineRule="auto"/>
        <w:jc w:val="both"/>
        <w:rPr>
          <w:rFonts w:ascii="Arabic Transparent" w:hAnsi="Arabic Transparent" w:cs="Arabic Transparent"/>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عند الحنفية الأموال الربوية جيدها ورديئها سواء، ويسقط التفاوت باعتبار الجودة بوضع الشارع الحكيم، انظر: السرخسي، </w:t>
      </w:r>
      <w:r w:rsidRPr="002273BC">
        <w:rPr>
          <w:rFonts w:ascii="Arabic Transparent" w:hAnsi="Arabic Transparent" w:cs="Arabic Transparent" w:hint="cs"/>
          <w:b/>
          <w:bCs/>
          <w:sz w:val="24"/>
          <w:szCs w:val="24"/>
          <w:rtl/>
          <w:lang w:bidi="ar-JO"/>
        </w:rPr>
        <w:t>المبسوط</w:t>
      </w:r>
      <w:r w:rsidRPr="002273BC">
        <w:rPr>
          <w:rFonts w:ascii="Arabic Transparent" w:hAnsi="Arabic Transparent" w:cs="Arabic Transparent" w:hint="cs"/>
          <w:sz w:val="24"/>
          <w:szCs w:val="24"/>
          <w:rtl/>
          <w:lang w:bidi="ar-JO"/>
        </w:rPr>
        <w:t>، مصدر سابق، ج12، ص186.</w:t>
      </w:r>
    </w:p>
  </w:footnote>
  <w:footnote w:id="692">
    <w:p w14:paraId="226147DA" w14:textId="77777777" w:rsidR="004E383D" w:rsidRPr="002273BC" w:rsidRDefault="004E383D" w:rsidP="00EA3738">
      <w:pPr>
        <w:pStyle w:val="FootnoteText"/>
        <w:spacing w:line="336"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الصقلي، أبو بكر محمد بن عبد الله بن يونس التميمي (2013</w:t>
      </w:r>
      <w:r w:rsidRPr="002273BC">
        <w:rPr>
          <w:rFonts w:ascii="Arabic Transparent" w:hAnsi="Arabic Transparent" w:cs="Arabic Transparent" w:hint="cs"/>
          <w:b/>
          <w:bCs/>
          <w:sz w:val="24"/>
          <w:szCs w:val="24"/>
          <w:rtl/>
          <w:lang w:bidi="ar-JO"/>
        </w:rPr>
        <w:t>). الجامع لمسائل المدونة</w:t>
      </w:r>
      <w:r w:rsidRPr="002273BC">
        <w:rPr>
          <w:rFonts w:ascii="Arabic Transparent" w:hAnsi="Arabic Transparent" w:cs="Arabic Transparent" w:hint="cs"/>
          <w:sz w:val="24"/>
          <w:szCs w:val="24"/>
          <w:rtl/>
          <w:lang w:bidi="ar-JO"/>
        </w:rPr>
        <w:t>، تحقيق: مجموعة باحثين في رسائل دكتوراه. ط1، ج12، ص495، معهد البحوث العلمية وإحياء التراث الإسلامي – جامعة أم القرى.</w:t>
      </w:r>
    </w:p>
  </w:footnote>
  <w:footnote w:id="693">
    <w:p w14:paraId="090E3F67" w14:textId="77777777" w:rsidR="004E383D" w:rsidRPr="002273BC" w:rsidRDefault="004E383D" w:rsidP="00EA3738">
      <w:pPr>
        <w:pStyle w:val="FootnoteText"/>
        <w:spacing w:line="336"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انظر: الباجي، </w:t>
      </w:r>
      <w:r w:rsidRPr="002273BC">
        <w:rPr>
          <w:rFonts w:ascii="Arabic Transparent" w:hAnsi="Arabic Transparent" w:cs="Arabic Transparent" w:hint="cs"/>
          <w:b/>
          <w:bCs/>
          <w:sz w:val="24"/>
          <w:szCs w:val="24"/>
          <w:rtl/>
          <w:lang w:bidi="ar-JO"/>
        </w:rPr>
        <w:t>المنتقى شرح الموطأ</w:t>
      </w:r>
      <w:r w:rsidRPr="002273BC">
        <w:rPr>
          <w:rFonts w:ascii="Arabic Transparent" w:hAnsi="Arabic Transparent" w:cs="Arabic Transparent" w:hint="cs"/>
          <w:sz w:val="24"/>
          <w:szCs w:val="24"/>
          <w:rtl/>
          <w:lang w:bidi="ar-JO"/>
        </w:rPr>
        <w:t>، مصدر سابق، ج4، ص275.</w:t>
      </w:r>
    </w:p>
  </w:footnote>
  <w:footnote w:id="694">
    <w:p w14:paraId="02A317A8" w14:textId="77777777" w:rsidR="004E383D" w:rsidRPr="002273BC" w:rsidRDefault="004E383D" w:rsidP="00EA3738">
      <w:pPr>
        <w:pStyle w:val="FootnoteText"/>
        <w:spacing w:line="336"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ابن العربي، القاضي محمد بن عبد الله أبو بكر (1999). </w:t>
      </w:r>
      <w:r w:rsidRPr="002273BC">
        <w:rPr>
          <w:rFonts w:ascii="Arabic Transparent" w:hAnsi="Arabic Transparent" w:cs="Arabic Transparent" w:hint="cs"/>
          <w:b/>
          <w:bCs/>
          <w:sz w:val="24"/>
          <w:szCs w:val="24"/>
          <w:rtl/>
          <w:lang w:bidi="ar-JO"/>
        </w:rPr>
        <w:t>المحصول في أصول الفقه</w:t>
      </w:r>
      <w:r w:rsidRPr="002273BC">
        <w:rPr>
          <w:rFonts w:ascii="Arabic Transparent" w:hAnsi="Arabic Transparent" w:cs="Arabic Transparent" w:hint="cs"/>
          <w:sz w:val="24"/>
          <w:szCs w:val="24"/>
          <w:rtl/>
          <w:lang w:bidi="ar-JO"/>
        </w:rPr>
        <w:t>، تحقيق حسين علي اليدري – سعيد فودة. ط1، ص131-132، دار البيارق، عمان.</w:t>
      </w:r>
    </w:p>
  </w:footnote>
  <w:footnote w:id="695">
    <w:p w14:paraId="45CF3537" w14:textId="77777777" w:rsidR="004E383D" w:rsidRPr="002273BC" w:rsidRDefault="004E383D" w:rsidP="00EA3738">
      <w:pPr>
        <w:pStyle w:val="FootnoteText"/>
        <w:spacing w:line="336"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الشاطبي، إبراهيم بن موسى بن محمد اللخمي الغرناطي (1992</w:t>
      </w:r>
      <w:r w:rsidRPr="002273BC">
        <w:rPr>
          <w:rFonts w:ascii="Arabic Transparent" w:hAnsi="Arabic Transparent" w:cs="Arabic Transparent" w:hint="cs"/>
          <w:b/>
          <w:bCs/>
          <w:sz w:val="24"/>
          <w:szCs w:val="24"/>
          <w:rtl/>
          <w:lang w:bidi="ar-JO"/>
        </w:rPr>
        <w:t>). الاعتصام.</w:t>
      </w:r>
      <w:r w:rsidRPr="002273BC">
        <w:rPr>
          <w:rFonts w:ascii="Arabic Transparent" w:hAnsi="Arabic Transparent" w:cs="Arabic Transparent" w:hint="cs"/>
          <w:sz w:val="24"/>
          <w:szCs w:val="24"/>
          <w:rtl/>
          <w:lang w:bidi="ar-JO"/>
        </w:rPr>
        <w:t xml:space="preserve"> تحقيق سليم بن عيد الهلالي. ط1، ج2، ص642، دار ابن عفان، السعودية.</w:t>
      </w:r>
    </w:p>
  </w:footnote>
  <w:footnote w:id="696">
    <w:p w14:paraId="393946C4" w14:textId="390D1363" w:rsidR="004E383D" w:rsidRPr="002273BC" w:rsidRDefault="004E383D" w:rsidP="00EA3738">
      <w:pPr>
        <w:spacing w:line="336" w:lineRule="auto"/>
        <w:jc w:val="both"/>
        <w:rPr>
          <w:rFonts w:ascii="Arabic Transparent" w:hAnsi="Arabic Transparent" w:cs="Arabic Transparent"/>
          <w:sz w:val="24"/>
          <w:szCs w:val="24"/>
          <w:rtl/>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007A662C">
        <w:rPr>
          <w:rFonts w:ascii="Arabic Transparent" w:hAnsi="Arabic Transparent" w:cs="Arabic Transparent" w:hint="cs"/>
          <w:sz w:val="24"/>
          <w:szCs w:val="24"/>
          <w:rtl/>
        </w:rPr>
        <w:t xml:space="preserve">انظر: </w:t>
      </w:r>
      <w:r w:rsidRPr="002273BC">
        <w:rPr>
          <w:rFonts w:ascii="Arabic Transparent" w:hAnsi="Arabic Transparent" w:cs="Arabic Transparent" w:hint="cs"/>
          <w:sz w:val="24"/>
          <w:szCs w:val="24"/>
          <w:rtl/>
        </w:rPr>
        <w:t xml:space="preserve">الإمام مالك، بن أنس (1985). </w:t>
      </w:r>
      <w:r w:rsidRPr="002273BC">
        <w:rPr>
          <w:rFonts w:ascii="Arabic Transparent" w:hAnsi="Arabic Transparent" w:cs="Arabic Transparent" w:hint="cs"/>
          <w:b/>
          <w:bCs/>
          <w:sz w:val="24"/>
          <w:szCs w:val="24"/>
          <w:rtl/>
        </w:rPr>
        <w:t xml:space="preserve">الموطأ </w:t>
      </w:r>
      <w:r w:rsidRPr="002273BC">
        <w:rPr>
          <w:rFonts w:ascii="Arabic Transparent" w:hAnsi="Arabic Transparent" w:cs="Arabic Transparent" w:hint="cs"/>
          <w:sz w:val="24"/>
          <w:szCs w:val="24"/>
          <w:rtl/>
        </w:rPr>
        <w:t xml:space="preserve">(رواية يحيى بن يحيى الليثي؛ صححه ورقمه وخرج أحاديثه وعلق عليه: محمد فؤاد عبد الباقي)، </w:t>
      </w:r>
      <w:r w:rsidR="00DA3039" w:rsidRPr="002273BC">
        <w:rPr>
          <w:rFonts w:ascii="Arabic Transparent" w:hAnsi="Arabic Transparent" w:cs="Arabic Transparent" w:hint="cs"/>
          <w:sz w:val="24"/>
          <w:szCs w:val="24"/>
          <w:rtl/>
        </w:rPr>
        <w:t>د.ط،</w:t>
      </w:r>
      <w:r w:rsidR="005D7B91"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rPr>
        <w:t>ج2، ص638، دار إحياء التراث العربي، بيروت.</w:t>
      </w:r>
    </w:p>
  </w:footnote>
  <w:footnote w:id="697">
    <w:p w14:paraId="655C9821" w14:textId="2A0F0475" w:rsidR="004E383D" w:rsidRPr="002273BC" w:rsidRDefault="004E383D" w:rsidP="00EA3738">
      <w:pPr>
        <w:pStyle w:val="FootnoteText"/>
        <w:spacing w:line="336"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007A662C">
        <w:rPr>
          <w:rFonts w:ascii="Arabic Transparent" w:hAnsi="Arabic Transparent" w:cs="Arabic Transparent" w:hint="cs"/>
          <w:sz w:val="24"/>
          <w:szCs w:val="24"/>
          <w:rtl/>
          <w:lang w:bidi="ar-JO"/>
        </w:rPr>
        <w:t xml:space="preserve">أخرجه البخاري في صحيحه، </w:t>
      </w:r>
      <w:r w:rsidR="007A662C" w:rsidRPr="00D41725">
        <w:rPr>
          <w:rFonts w:ascii="Arabic Transparent" w:hAnsi="Arabic Transparent" w:cs="Arabic Transparent" w:hint="cs"/>
          <w:b/>
          <w:bCs/>
          <w:sz w:val="24"/>
          <w:szCs w:val="24"/>
          <w:rtl/>
          <w:lang w:bidi="ar-JO"/>
        </w:rPr>
        <w:t>صحيح البخاري</w:t>
      </w:r>
      <w:r w:rsidR="007A662C">
        <w:rPr>
          <w:rFonts w:ascii="Arabic Transparent" w:hAnsi="Arabic Transparent" w:cs="Arabic Transparent" w:hint="cs"/>
          <w:sz w:val="24"/>
          <w:szCs w:val="24"/>
          <w:rtl/>
          <w:lang w:bidi="ar-JO"/>
        </w:rPr>
        <w:t>، مصدر سابق، كتاب البيوع، باب</w:t>
      </w:r>
      <w:r w:rsidR="00C51CA9">
        <w:rPr>
          <w:rFonts w:ascii="Arabic Transparent" w:hAnsi="Arabic Transparent" w:cs="Arabic Transparent" w:hint="cs"/>
          <w:sz w:val="24"/>
          <w:szCs w:val="24"/>
          <w:rtl/>
          <w:lang w:bidi="ar-JO"/>
        </w:rPr>
        <w:t>، باب بيع الشعير بالشعير، ج2، ص761، ر</w:t>
      </w:r>
      <w:r w:rsidR="00C51CA9" w:rsidRPr="00C51CA9">
        <w:rPr>
          <w:rtl/>
        </w:rPr>
        <w:t xml:space="preserve"> </w:t>
      </w:r>
      <w:r w:rsidR="00C51CA9">
        <w:rPr>
          <w:rFonts w:ascii="Arabic Transparent" w:hAnsi="Arabic Transparent" w:cs="Arabic Transparent" w:hint="cs"/>
          <w:sz w:val="24"/>
          <w:szCs w:val="24"/>
          <w:rtl/>
          <w:lang w:bidi="ar-JO"/>
        </w:rPr>
        <w:t>2065.</w:t>
      </w:r>
    </w:p>
  </w:footnote>
  <w:footnote w:id="698">
    <w:p w14:paraId="2C451C68"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انظر: الزرقاني، </w:t>
      </w:r>
      <w:r w:rsidRPr="002273BC">
        <w:rPr>
          <w:rFonts w:ascii="Arabic Transparent" w:hAnsi="Arabic Transparent" w:cs="Arabic Transparent" w:hint="cs"/>
          <w:b/>
          <w:bCs/>
          <w:sz w:val="24"/>
          <w:szCs w:val="24"/>
          <w:rtl/>
          <w:lang w:bidi="ar-JO"/>
        </w:rPr>
        <w:t>شرح الزرقاني على موطأ الإمام مالك</w:t>
      </w:r>
      <w:r w:rsidRPr="002273BC">
        <w:rPr>
          <w:rFonts w:ascii="Arabic Transparent" w:hAnsi="Arabic Transparent" w:cs="Arabic Transparent" w:hint="cs"/>
          <w:sz w:val="24"/>
          <w:szCs w:val="24"/>
          <w:rtl/>
          <w:lang w:bidi="ar-JO"/>
        </w:rPr>
        <w:t>، مصدر سابق، ج3، ص284.</w:t>
      </w:r>
    </w:p>
  </w:footnote>
  <w:footnote w:id="699">
    <w:p w14:paraId="725F8344" w14:textId="77777777" w:rsidR="004E383D" w:rsidRPr="002273BC" w:rsidRDefault="004E383D"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انظر: ابن القيم، </w:t>
      </w:r>
      <w:r w:rsidRPr="002273BC">
        <w:rPr>
          <w:rFonts w:ascii="Arabic Transparent" w:hAnsi="Arabic Transparent" w:cs="Arabic Transparent" w:hint="cs"/>
          <w:b/>
          <w:bCs/>
          <w:sz w:val="24"/>
          <w:szCs w:val="24"/>
          <w:rtl/>
          <w:lang w:bidi="ar-JO"/>
        </w:rPr>
        <w:t>إعلام الموقعين عن رب العالمين</w:t>
      </w:r>
      <w:r w:rsidRPr="002273BC">
        <w:rPr>
          <w:rFonts w:ascii="Arabic Transparent" w:hAnsi="Arabic Transparent" w:cs="Arabic Transparent" w:hint="cs"/>
          <w:sz w:val="24"/>
          <w:szCs w:val="24"/>
          <w:rtl/>
          <w:lang w:bidi="ar-JO"/>
        </w:rPr>
        <w:t>، مصدر سابق، ج2، ص44.</w:t>
      </w:r>
    </w:p>
  </w:footnote>
  <w:footnote w:id="700">
    <w:p w14:paraId="74E4648D"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ابن منظور، </w:t>
      </w:r>
      <w:r w:rsidRPr="002273BC">
        <w:rPr>
          <w:rFonts w:ascii="Arabic Transparent" w:hAnsi="Arabic Transparent" w:cs="Arabic Transparent" w:hint="cs"/>
          <w:b/>
          <w:bCs/>
          <w:sz w:val="24"/>
          <w:szCs w:val="24"/>
          <w:rtl/>
          <w:lang w:bidi="ar-JO"/>
        </w:rPr>
        <w:t>لسان العرب</w:t>
      </w:r>
      <w:r w:rsidRPr="002273BC">
        <w:rPr>
          <w:rFonts w:ascii="Arabic Transparent" w:hAnsi="Arabic Transparent" w:cs="Arabic Transparent" w:hint="cs"/>
          <w:sz w:val="24"/>
          <w:szCs w:val="24"/>
          <w:rtl/>
          <w:lang w:bidi="ar-JO"/>
        </w:rPr>
        <w:t>، مصدر سابق، ج10، ص375.</w:t>
      </w:r>
    </w:p>
  </w:footnote>
  <w:footnote w:id="701">
    <w:p w14:paraId="78F2585A"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قلعجي، </w:t>
      </w:r>
      <w:r w:rsidRPr="002273BC">
        <w:rPr>
          <w:rFonts w:ascii="Arabic Transparent" w:hAnsi="Arabic Transparent" w:cs="Arabic Transparent" w:hint="cs"/>
          <w:b/>
          <w:bCs/>
          <w:sz w:val="24"/>
          <w:szCs w:val="24"/>
          <w:rtl/>
          <w:lang w:bidi="ar-JO"/>
        </w:rPr>
        <w:t>معجم لغة الفقهاء،</w:t>
      </w:r>
      <w:r w:rsidRPr="002273BC">
        <w:rPr>
          <w:rFonts w:ascii="Arabic Transparent" w:hAnsi="Arabic Transparent" w:cs="Arabic Transparent" w:hint="cs"/>
          <w:sz w:val="24"/>
          <w:szCs w:val="24"/>
          <w:rtl/>
          <w:lang w:bidi="ar-JO"/>
        </w:rPr>
        <w:t xml:space="preserve"> مصدر سابق، ص150.</w:t>
      </w:r>
    </w:p>
  </w:footnote>
  <w:footnote w:id="702">
    <w:p w14:paraId="04345A87"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مجموعة من المؤلفين، </w:t>
      </w:r>
      <w:r w:rsidRPr="002273BC">
        <w:rPr>
          <w:rFonts w:ascii="Arabic Transparent" w:hAnsi="Arabic Transparent" w:cs="Arabic Transparent" w:hint="cs"/>
          <w:b/>
          <w:bCs/>
          <w:sz w:val="24"/>
          <w:szCs w:val="24"/>
          <w:rtl/>
          <w:lang w:bidi="ar-JO"/>
        </w:rPr>
        <w:t>المعجم الوسيط،</w:t>
      </w:r>
      <w:r w:rsidRPr="002273BC">
        <w:rPr>
          <w:rFonts w:ascii="Arabic Transparent" w:hAnsi="Arabic Transparent" w:cs="Arabic Transparent" w:hint="cs"/>
          <w:sz w:val="24"/>
          <w:szCs w:val="24"/>
          <w:rtl/>
          <w:lang w:bidi="ar-JO"/>
        </w:rPr>
        <w:t xml:space="preserve"> مصدر سابق،ج2،ص1025</w:t>
      </w:r>
    </w:p>
  </w:footnote>
  <w:footnote w:id="703">
    <w:p w14:paraId="67819AD2" w14:textId="7BFB125F"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انظر:</w:t>
      </w:r>
      <w:r w:rsidR="00B154EE" w:rsidRPr="002273BC">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sz w:val="24"/>
          <w:szCs w:val="24"/>
          <w:rtl/>
          <w:lang w:bidi="ar-JO"/>
        </w:rPr>
        <w:t xml:space="preserve">البهوتي، </w:t>
      </w:r>
      <w:r w:rsidRPr="002273BC">
        <w:rPr>
          <w:rFonts w:ascii="Arabic Transparent" w:hAnsi="Arabic Transparent" w:cs="Arabic Transparent" w:hint="cs"/>
          <w:b/>
          <w:bCs/>
          <w:sz w:val="24"/>
          <w:szCs w:val="24"/>
          <w:rtl/>
          <w:lang w:bidi="ar-JO"/>
        </w:rPr>
        <w:t>كشّاف القناع</w:t>
      </w:r>
      <w:r w:rsidRPr="002273BC">
        <w:rPr>
          <w:rFonts w:ascii="Arabic Transparent" w:hAnsi="Arabic Transparent" w:cs="Arabic Transparent" w:hint="cs"/>
          <w:sz w:val="24"/>
          <w:szCs w:val="24"/>
          <w:rtl/>
          <w:lang w:bidi="ar-JO"/>
        </w:rPr>
        <w:t>، مصدر سابق، ج7، ص382.</w:t>
      </w:r>
    </w:p>
  </w:footnote>
  <w:footnote w:id="704">
    <w:p w14:paraId="721D69D0"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انظر: آل رشود، رياض بن راشد عبد الله. (2013). </w:t>
      </w:r>
      <w:r w:rsidRPr="002273BC">
        <w:rPr>
          <w:rFonts w:ascii="Arabic Transparent" w:hAnsi="Arabic Transparent" w:cs="Arabic Transparent" w:hint="cs"/>
          <w:b/>
          <w:bCs/>
          <w:sz w:val="24"/>
          <w:szCs w:val="24"/>
          <w:rtl/>
          <w:lang w:bidi="ar-JO"/>
        </w:rPr>
        <w:t>التورق المصرفي</w:t>
      </w:r>
      <w:r w:rsidRPr="002273BC">
        <w:rPr>
          <w:rFonts w:ascii="Arabic Transparent" w:hAnsi="Arabic Transparent" w:cs="Arabic Transparent" w:hint="cs"/>
          <w:sz w:val="24"/>
          <w:szCs w:val="24"/>
          <w:rtl/>
          <w:lang w:bidi="ar-JO"/>
        </w:rPr>
        <w:t>. ط1، ص23 الدوحة: وزارة الأوقاف والشؤون الإسلامية، قطر.</w:t>
      </w:r>
    </w:p>
  </w:footnote>
  <w:footnote w:id="705">
    <w:p w14:paraId="6D71569B"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ابن فارس، </w:t>
      </w:r>
      <w:r w:rsidRPr="002273BC">
        <w:rPr>
          <w:rFonts w:ascii="Arabic Transparent" w:hAnsi="Arabic Transparent" w:cs="Arabic Transparent" w:hint="cs"/>
          <w:b/>
          <w:bCs/>
          <w:sz w:val="24"/>
          <w:szCs w:val="24"/>
          <w:rtl/>
          <w:lang w:bidi="ar-JO"/>
        </w:rPr>
        <w:t>معجم مقاييس اللغة</w:t>
      </w:r>
      <w:r w:rsidRPr="002273BC">
        <w:rPr>
          <w:rFonts w:ascii="Arabic Transparent" w:hAnsi="Arabic Transparent" w:cs="Arabic Transparent" w:hint="cs"/>
          <w:sz w:val="24"/>
          <w:szCs w:val="24"/>
          <w:rtl/>
          <w:lang w:bidi="ar-JO"/>
        </w:rPr>
        <w:t>، مصدر سابق، ج5، ص443.</w:t>
      </w:r>
    </w:p>
  </w:footnote>
  <w:footnote w:id="706">
    <w:p w14:paraId="301476DD"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المصدر السابق ذاته، ج5، ص443.</w:t>
      </w:r>
    </w:p>
  </w:footnote>
  <w:footnote w:id="707">
    <w:p w14:paraId="1C20CE2F"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المعيدي، عبد الله بن راضي (2017). </w:t>
      </w:r>
      <w:r w:rsidRPr="002273BC">
        <w:rPr>
          <w:rFonts w:ascii="Arabic Transparent" w:hAnsi="Arabic Transparent" w:cs="Arabic Transparent" w:hint="cs"/>
          <w:b/>
          <w:bCs/>
          <w:sz w:val="24"/>
          <w:szCs w:val="24"/>
          <w:rtl/>
          <w:lang w:bidi="ar-JO"/>
        </w:rPr>
        <w:t>أحكام عقود التمويل في الفقه الإسلامي</w:t>
      </w:r>
      <w:r w:rsidRPr="002273BC">
        <w:rPr>
          <w:rFonts w:ascii="Arabic Transparent" w:hAnsi="Arabic Transparent" w:cs="Arabic Transparent" w:hint="cs"/>
          <w:sz w:val="24"/>
          <w:szCs w:val="24"/>
          <w:rtl/>
          <w:lang w:bidi="ar-JO"/>
        </w:rPr>
        <w:t>، ط1، ص96، دار كنوز إشبيليا للنشر والتوزيع، الرياض.</w:t>
      </w:r>
    </w:p>
  </w:footnote>
  <w:footnote w:id="708">
    <w:p w14:paraId="3192A902"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الزبيدي، </w:t>
      </w:r>
      <w:r w:rsidRPr="002273BC">
        <w:rPr>
          <w:rFonts w:ascii="Arabic Transparent" w:hAnsi="Arabic Transparent" w:cs="Arabic Transparent" w:hint="cs"/>
          <w:b/>
          <w:bCs/>
          <w:sz w:val="24"/>
          <w:szCs w:val="24"/>
          <w:rtl/>
          <w:lang w:bidi="ar-JO"/>
        </w:rPr>
        <w:t>الاجتهاد في مناط الحكم الشرعي</w:t>
      </w:r>
      <w:r w:rsidRPr="002273BC">
        <w:rPr>
          <w:rFonts w:ascii="Arabic Transparent" w:hAnsi="Arabic Transparent" w:cs="Arabic Transparent" w:hint="cs"/>
          <w:sz w:val="24"/>
          <w:szCs w:val="24"/>
          <w:rtl/>
          <w:lang w:bidi="ar-JO"/>
        </w:rPr>
        <w:t>، مصدر سابق، ص559.</w:t>
      </w:r>
    </w:p>
  </w:footnote>
  <w:footnote w:id="709">
    <w:p w14:paraId="626A7396"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الدبو، إبراهيم فاضل (2009). </w:t>
      </w:r>
      <w:r w:rsidRPr="002273BC">
        <w:rPr>
          <w:rFonts w:ascii="Arabic Transparent" w:hAnsi="Arabic Transparent" w:cs="Arabic Transparent" w:hint="cs"/>
          <w:b/>
          <w:bCs/>
          <w:sz w:val="24"/>
          <w:szCs w:val="24"/>
          <w:rtl/>
          <w:lang w:bidi="ar-JO"/>
        </w:rPr>
        <w:t>التورق: حقيقته وأنواعه (الفقهي المعروف والمصرفي المنظم)،</w:t>
      </w:r>
      <w:r w:rsidRPr="002273BC">
        <w:rPr>
          <w:rFonts w:ascii="Arabic Transparent" w:hAnsi="Arabic Transparent" w:cs="Arabic Transparent" w:hint="cs"/>
          <w:sz w:val="24"/>
          <w:szCs w:val="24"/>
          <w:rtl/>
          <w:lang w:bidi="ar-JO"/>
        </w:rPr>
        <w:t xml:space="preserve"> بحث مقدَّم إلى الدورة التاسعة عشرة لمجمع الفقه الإسلامي الدولي، ص344، إمارة الشارقة، الإمارات العربية المتحدة. </w:t>
      </w:r>
    </w:p>
  </w:footnote>
  <w:footnote w:id="710">
    <w:p w14:paraId="28E134BC"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دار الإفتاء المصرية (2015</w:t>
      </w:r>
      <w:r w:rsidRPr="002273BC">
        <w:rPr>
          <w:rFonts w:ascii="Arabic Transparent" w:hAnsi="Arabic Transparent" w:cs="Arabic Transparent" w:hint="cs"/>
          <w:b/>
          <w:bCs/>
          <w:sz w:val="24"/>
          <w:szCs w:val="24"/>
          <w:rtl/>
          <w:lang w:bidi="ar-JO"/>
        </w:rPr>
        <w:t>). التورق المصرفي</w:t>
      </w:r>
      <w:r w:rsidRPr="002273BC">
        <w:rPr>
          <w:rFonts w:ascii="Arabic Transparent" w:hAnsi="Arabic Transparent" w:cs="Arabic Transparent" w:hint="cs"/>
          <w:sz w:val="24"/>
          <w:szCs w:val="24"/>
          <w:rtl/>
          <w:lang w:bidi="ar-JO"/>
        </w:rPr>
        <w:t xml:space="preserve">، فتوى بحثية، دار الإفتاء المصرية، القاهرة. متاح على: </w:t>
      </w:r>
      <w:r w:rsidRPr="002273BC">
        <w:rPr>
          <w:rFonts w:ascii="Arabic Transparent" w:hAnsi="Arabic Transparent" w:cs="Arabic Transparent" w:hint="cs"/>
          <w:sz w:val="24"/>
          <w:szCs w:val="24"/>
          <w:lang w:bidi="ar-JO"/>
        </w:rPr>
        <w:t>dar-alifta.org/ar/fatwaresearch/details/254</w:t>
      </w:r>
      <w:r w:rsidRPr="002273BC">
        <w:rPr>
          <w:rFonts w:ascii="Arabic Transparent" w:hAnsi="Arabic Transparent" w:cs="Arabic Transparent" w:hint="cs"/>
          <w:sz w:val="24"/>
          <w:szCs w:val="24"/>
          <w:rtl/>
          <w:lang w:bidi="ar-JO"/>
        </w:rPr>
        <w:t>، تاريخ الاطلاع: 7/3/2026م.</w:t>
      </w:r>
    </w:p>
  </w:footnote>
  <w:footnote w:id="711">
    <w:p w14:paraId="62B0D1B5"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هيئة المحاسبة والمراجعة للمؤسسات المالية الإسلامية – </w:t>
      </w:r>
      <w:r w:rsidRPr="002273BC">
        <w:rPr>
          <w:rFonts w:ascii="Arabic Transparent" w:hAnsi="Arabic Transparent" w:cs="Arabic Transparent" w:hint="cs"/>
          <w:b/>
          <w:bCs/>
          <w:sz w:val="24"/>
          <w:szCs w:val="24"/>
          <w:rtl/>
          <w:lang w:bidi="ar-JO"/>
        </w:rPr>
        <w:t>أيوفي قرار رقم (30)</w:t>
      </w:r>
      <w:r w:rsidRPr="002273BC">
        <w:rPr>
          <w:rFonts w:ascii="Arabic Transparent" w:hAnsi="Arabic Transparent" w:cs="Arabic Transparent" w:hint="cs"/>
          <w:sz w:val="24"/>
          <w:szCs w:val="24"/>
          <w:rtl/>
          <w:lang w:bidi="ar-JO"/>
        </w:rPr>
        <w:t>، مصدر سابق، ص405.</w:t>
      </w:r>
    </w:p>
  </w:footnote>
  <w:footnote w:id="712">
    <w:p w14:paraId="3469FC8C"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زاهد، ذبيح الله، ونوري، سمي الله، وعثماني، رحمة الله (2023). </w:t>
      </w:r>
      <w:r w:rsidRPr="002273BC">
        <w:rPr>
          <w:rFonts w:ascii="Arabic Transparent" w:hAnsi="Arabic Transparent" w:cs="Arabic Transparent" w:hint="cs"/>
          <w:b/>
          <w:bCs/>
          <w:sz w:val="24"/>
          <w:szCs w:val="24"/>
          <w:rtl/>
          <w:lang w:bidi="ar-JO"/>
        </w:rPr>
        <w:t>آراء المذاهب الفقهية وأدلتهم في حكم التورق</w:t>
      </w:r>
      <w:r w:rsidRPr="002273BC">
        <w:rPr>
          <w:rFonts w:ascii="Arabic Transparent" w:hAnsi="Arabic Transparent" w:cs="Arabic Transparent" w:hint="cs"/>
          <w:sz w:val="24"/>
          <w:szCs w:val="24"/>
          <w:rtl/>
          <w:lang w:bidi="ar-JO"/>
        </w:rPr>
        <w:t>، مجلة جامعة الزيتونة الدولية للنشر العلمي الدولي، العدد 17، ص150–188، سوريا، حلب</w:t>
      </w:r>
    </w:p>
  </w:footnote>
  <w:footnote w:id="713">
    <w:p w14:paraId="610A60FF" w14:textId="608D11BB"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lang w:bidi="ar-JO"/>
        </w:rPr>
        <w:t xml:space="preserve"> عثمان، إبراهيم (2013م). </w:t>
      </w:r>
      <w:r w:rsidRPr="002273BC">
        <w:rPr>
          <w:rFonts w:ascii="Arabic Transparent" w:hAnsi="Arabic Transparent" w:cs="Arabic Transparent" w:hint="cs"/>
          <w:b/>
          <w:bCs/>
          <w:sz w:val="24"/>
          <w:szCs w:val="24"/>
          <w:rtl/>
          <w:lang w:bidi="ar-JO"/>
        </w:rPr>
        <w:t>التَّورُّق الحقيقة والأنواع (الفقهي المعروف والمصرفي المنظم)</w:t>
      </w:r>
      <w:r w:rsidRPr="002273BC">
        <w:rPr>
          <w:rFonts w:ascii="Arabic Transparent" w:hAnsi="Arabic Transparent" w:cs="Arabic Transparent" w:hint="cs"/>
          <w:sz w:val="24"/>
          <w:szCs w:val="24"/>
          <w:rtl/>
          <w:lang w:bidi="ar-JO"/>
        </w:rPr>
        <w:t>، مجلة مجمع الفقه الإسلامي الدولي، العدد التاسع عشر، الدورة التاسعة عشرة، ط1، ج3، ص1460- 1461، الأمانة العامة للأوقاف بالشارقة، الإمارات العربية المتحدة.</w:t>
      </w:r>
    </w:p>
  </w:footnote>
  <w:footnote w:id="714">
    <w:p w14:paraId="6638042E" w14:textId="09E2FC1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الشاذلي، حسن، بحث: </w:t>
      </w:r>
      <w:r w:rsidRPr="002273BC">
        <w:rPr>
          <w:rFonts w:ascii="Arabic Transparent" w:hAnsi="Arabic Transparent" w:cs="Arabic Transparent" w:hint="cs"/>
          <w:b/>
          <w:bCs/>
          <w:sz w:val="24"/>
          <w:szCs w:val="24"/>
          <w:rtl/>
          <w:lang w:bidi="ar-JO"/>
        </w:rPr>
        <w:t>التَّورُّق حقيقته وحكمه مقدم لمجلة مجمع الفقه الإسلامي الدولي</w:t>
      </w:r>
      <w:r w:rsidRPr="002273BC">
        <w:rPr>
          <w:rFonts w:ascii="Arabic Transparent" w:hAnsi="Arabic Transparent" w:cs="Arabic Transparent" w:hint="cs"/>
          <w:sz w:val="24"/>
          <w:szCs w:val="24"/>
          <w:rtl/>
          <w:lang w:bidi="ar-JO"/>
        </w:rPr>
        <w:t xml:space="preserve">، مصدر سابق، ع19، ج3، </w:t>
      </w:r>
      <w:r w:rsidR="00EA3738">
        <w:rPr>
          <w:rFonts w:ascii="Arabic Transparent" w:hAnsi="Arabic Transparent" w:cs="Arabic Transparent" w:hint="cs"/>
          <w:sz w:val="24"/>
          <w:szCs w:val="24"/>
          <w:rtl/>
          <w:lang w:bidi="ar-JO"/>
        </w:rPr>
        <w:t>ص</w:t>
      </w:r>
      <w:r w:rsidRPr="002273BC">
        <w:rPr>
          <w:rFonts w:ascii="Arabic Transparent" w:hAnsi="Arabic Transparent" w:cs="Arabic Transparent" w:hint="cs"/>
          <w:sz w:val="24"/>
          <w:szCs w:val="24"/>
          <w:rtl/>
          <w:lang w:bidi="ar-JO"/>
        </w:rPr>
        <w:t xml:space="preserve">1450. </w:t>
      </w:r>
    </w:p>
  </w:footnote>
  <w:footnote w:id="715">
    <w:p w14:paraId="0E0547FC"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حماد</w:t>
      </w:r>
      <w:r w:rsidRPr="002273BC">
        <w:rPr>
          <w:rFonts w:ascii="Arabic Transparent" w:hAnsi="Arabic Transparent" w:cs="Arabic Transparent" w:hint="cs"/>
          <w:sz w:val="24"/>
          <w:szCs w:val="24"/>
          <w:rtl/>
          <w:lang w:bidi="ar-JO"/>
        </w:rPr>
        <w:t xml:space="preserve">، نزيه، بحث: </w:t>
      </w:r>
      <w:r w:rsidRPr="002273BC">
        <w:rPr>
          <w:rFonts w:ascii="Arabic Transparent" w:hAnsi="Arabic Transparent" w:cs="Arabic Transparent" w:hint="cs"/>
          <w:b/>
          <w:bCs/>
          <w:sz w:val="24"/>
          <w:szCs w:val="24"/>
          <w:rtl/>
          <w:lang w:bidi="ar-JO"/>
        </w:rPr>
        <w:t>التَّورُّق حكمه وتطبيقاته المعاصرة مقدم لمجلة مجمع الفقه الإسلامي الدولي</w:t>
      </w:r>
      <w:r w:rsidRPr="002273BC">
        <w:rPr>
          <w:rFonts w:ascii="Arabic Transparent" w:hAnsi="Arabic Transparent" w:cs="Arabic Transparent" w:hint="cs"/>
          <w:sz w:val="24"/>
          <w:szCs w:val="24"/>
          <w:rtl/>
          <w:lang w:bidi="ar-JO"/>
        </w:rPr>
        <w:t>، مصدر سابق، ع19، ج3، ص1477.</w:t>
      </w:r>
    </w:p>
  </w:footnote>
  <w:footnote w:id="716">
    <w:p w14:paraId="7BA737E7"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الحيد، أحمد بن سعد بن فهد (2023). </w:t>
      </w:r>
      <w:r w:rsidRPr="002273BC">
        <w:rPr>
          <w:rFonts w:ascii="Arabic Transparent" w:hAnsi="Arabic Transparent" w:cs="Arabic Transparent" w:hint="cs"/>
          <w:b/>
          <w:bCs/>
          <w:sz w:val="24"/>
          <w:szCs w:val="24"/>
          <w:rtl/>
          <w:lang w:bidi="ar-JO"/>
        </w:rPr>
        <w:t>التورق المنظم – دراسة فقهية تطبيقية،</w:t>
      </w:r>
      <w:r w:rsidRPr="002273BC">
        <w:rPr>
          <w:rFonts w:ascii="Arabic Transparent" w:hAnsi="Arabic Transparent" w:cs="Arabic Transparent" w:hint="cs"/>
          <w:sz w:val="24"/>
          <w:szCs w:val="24"/>
          <w:rtl/>
          <w:lang w:bidi="ar-JO"/>
        </w:rPr>
        <w:t xml:space="preserve"> مج27، ع2، ص1749، كلية الشريعة بالرياض، جامعة الإمام محمد بن سعود الإسلامية، الرياض، المملكة العربية السعودية.</w:t>
      </w:r>
    </w:p>
  </w:footnote>
  <w:footnote w:id="717">
    <w:p w14:paraId="5918A34F" w14:textId="1EEE2906"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من العلماء المعاصرين الذين أجازوا التَّورُّق "الشيخ عبد الله بن سليمان المنيع عضو هيئة كبار العلماء في المملكة العربية السعودية، والدكتور محمد عبد الغفار الشريف، والدكتور موسى آدم عيسى، الدكتور علي القره داغي عميد كلية الشريعة بقطر، والدكتور محمد تقي العثماني القاضي بالباكستان، والشيخ محمد إبراهيم آل الشيخ مفتي السعودية الأسبق، وهيئة كبار العلماء في المملكة العربية السعودية، والمجمع الفقهي بمكة المكرمة، والموسوعة الفقهية بالكويت"، نقلاً عن الحنيطي، هناء محمد هلال (٢٠٠٥م). </w:t>
      </w:r>
      <w:r w:rsidRPr="002273BC">
        <w:rPr>
          <w:rFonts w:ascii="Arabic Transparent" w:hAnsi="Arabic Transparent" w:cs="Arabic Transparent" w:hint="cs"/>
          <w:b/>
          <w:bCs/>
          <w:sz w:val="24"/>
          <w:szCs w:val="24"/>
          <w:rtl/>
          <w:lang w:bidi="ar-JO"/>
        </w:rPr>
        <w:t>بيع العينة والتورق: دراسة تطبيقية على المصارف الإسلامية</w:t>
      </w:r>
      <w:r w:rsidRPr="002273BC">
        <w:rPr>
          <w:rFonts w:ascii="Arabic Transparent" w:hAnsi="Arabic Transparent" w:cs="Arabic Transparent" w:hint="cs"/>
          <w:sz w:val="24"/>
          <w:szCs w:val="24"/>
          <w:rtl/>
          <w:lang w:bidi="ar-JO"/>
        </w:rPr>
        <w:t>، رسالة دكتوراة، إشراف: أ.د. عبد السلام العبادي، الأكاديمية العربية للعلوم المصرفية،ط1، ص138، دار كنوز إشبيليا للنشر والتوزيع، الرياض</w:t>
      </w:r>
    </w:p>
  </w:footnote>
  <w:footnote w:id="718">
    <w:p w14:paraId="213DFA6C" w14:textId="2E166513"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00E661D0">
        <w:rPr>
          <w:rFonts w:ascii="Arabic Transparent" w:hAnsi="Arabic Transparent" w:cs="Arabic Transparent" w:hint="cs"/>
          <w:sz w:val="24"/>
          <w:szCs w:val="24"/>
          <w:rtl/>
          <w:lang w:bidi="ar-JO"/>
        </w:rPr>
        <w:t>سبق تخرجه انظر ص68.</w:t>
      </w:r>
    </w:p>
  </w:footnote>
  <w:footnote w:id="719">
    <w:p w14:paraId="61BCCA36" w14:textId="608496A2"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lang w:bidi="ar-JO"/>
        </w:rPr>
        <w:t xml:space="preserve">المرداوي، </w:t>
      </w:r>
      <w:r w:rsidRPr="002273BC">
        <w:rPr>
          <w:rFonts w:ascii="Arabic Transparent" w:hAnsi="Arabic Transparent" w:cs="Arabic Transparent" w:hint="cs"/>
          <w:b/>
          <w:bCs/>
          <w:sz w:val="24"/>
          <w:szCs w:val="24"/>
          <w:rtl/>
          <w:lang w:bidi="ar-JO"/>
        </w:rPr>
        <w:t>الإنصاف،</w:t>
      </w:r>
      <w:r w:rsidRPr="002273BC">
        <w:rPr>
          <w:rFonts w:ascii="Arabic Transparent" w:hAnsi="Arabic Transparent" w:cs="Arabic Transparent" w:hint="cs"/>
          <w:sz w:val="24"/>
          <w:szCs w:val="24"/>
          <w:rtl/>
          <w:lang w:bidi="ar-JO"/>
        </w:rPr>
        <w:t xml:space="preserve"> مصدر سابق، ج4، ص469.</w:t>
      </w:r>
    </w:p>
  </w:footnote>
  <w:footnote w:id="720">
    <w:p w14:paraId="22A676AD"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الزركشي، بدر الدين محمد بن عبد الله بن بهادر (1985). </w:t>
      </w:r>
      <w:r w:rsidRPr="002273BC">
        <w:rPr>
          <w:rFonts w:ascii="Arabic Transparent" w:hAnsi="Arabic Transparent" w:cs="Arabic Transparent" w:hint="cs"/>
          <w:b/>
          <w:bCs/>
          <w:sz w:val="24"/>
          <w:szCs w:val="24"/>
          <w:rtl/>
          <w:lang w:bidi="ar-JO"/>
        </w:rPr>
        <w:t>المنثور في القواعد الفقهية</w:t>
      </w:r>
      <w:r w:rsidRPr="002273BC">
        <w:rPr>
          <w:rFonts w:ascii="Arabic Transparent" w:hAnsi="Arabic Transparent" w:cs="Arabic Transparent" w:hint="cs"/>
          <w:sz w:val="24"/>
          <w:szCs w:val="24"/>
          <w:rtl/>
          <w:lang w:bidi="ar-JO"/>
        </w:rPr>
        <w:t xml:space="preserve"> (تحقيق: تيسير فائق أحمد محمود، مراجعة: عبد الستار أبو غدة)، ط2، ج1، ص88، وزارة الأوقاف والشؤون الإسلامية، الكويت.</w:t>
      </w:r>
    </w:p>
  </w:footnote>
  <w:footnote w:id="721">
    <w:p w14:paraId="67238464" w14:textId="638A0FCD"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وفيه قول النبي </w:t>
      </w:r>
      <w:r w:rsidRPr="002273BC">
        <w:rPr>
          <w:rFonts w:ascii="AGA Arabesque" w:eastAsia="AGA Arabesque" w:hAnsi="AGA Arabesque" w:cs="AGA Arabesque"/>
          <w:sz w:val="24"/>
          <w:szCs w:val="24"/>
          <w:lang w:bidi="ar-JO"/>
        </w:rPr>
        <w:t></w:t>
      </w:r>
      <w:r w:rsidRPr="002273BC">
        <w:rPr>
          <w:rFonts w:ascii="Arabic Transparent" w:hAnsi="Arabic Transparent" w:cs="Arabic Transparent" w:hint="cs"/>
          <w:sz w:val="24"/>
          <w:szCs w:val="24"/>
          <w:rtl/>
          <w:lang w:bidi="ar-JO"/>
        </w:rPr>
        <w:t xml:space="preserve"> لعامل الزكاة عندما كان يبادل الجيد بالرديء: </w:t>
      </w:r>
      <w:r w:rsidR="009A0B33">
        <w:rPr>
          <w:rFonts w:ascii="Arabic Transparent" w:hAnsi="Arabic Transparent" w:cs="Arabic Transparent" w:hint="cs"/>
          <w:sz w:val="24"/>
          <w:szCs w:val="24"/>
          <w:rtl/>
          <w:lang w:bidi="ar-JO"/>
        </w:rPr>
        <w:t>(</w:t>
      </w:r>
      <w:r w:rsidRPr="002273BC">
        <w:rPr>
          <w:rFonts w:ascii="Arabic Transparent" w:hAnsi="Arabic Transparent" w:cs="Arabic Transparent" w:hint="cs"/>
          <w:sz w:val="24"/>
          <w:szCs w:val="24"/>
          <w:rtl/>
          <w:lang w:bidi="ar-JO"/>
        </w:rPr>
        <w:t>لاَ تَفْعَلْ، بِعِ الجَمْعَ بِالدَّرَاهِمِ، ثُمَّ ابْتَعِ بِالدَّرَاهِمِ جَنِيبًا</w:t>
      </w:r>
      <w:r w:rsidR="009A0B33">
        <w:rPr>
          <w:rFonts w:ascii="Arabic Transparent" w:hAnsi="Arabic Transparent" w:cs="Arabic Transparent" w:hint="cs"/>
          <w:sz w:val="24"/>
          <w:szCs w:val="24"/>
          <w:rtl/>
          <w:lang w:bidi="ar-JO"/>
        </w:rPr>
        <w:t>)</w:t>
      </w:r>
      <w:r w:rsidRPr="002273BC">
        <w:rPr>
          <w:rFonts w:ascii="Arabic Transparent" w:hAnsi="Arabic Transparent" w:cs="Arabic Transparent" w:hint="cs"/>
          <w:sz w:val="24"/>
          <w:szCs w:val="24"/>
          <w:rtl/>
          <w:lang w:bidi="ar-JO"/>
        </w:rPr>
        <w:t xml:space="preserve">، سبق تخريجه </w:t>
      </w:r>
      <w:r w:rsidR="009A0B33">
        <w:rPr>
          <w:rFonts w:ascii="Arabic Transparent" w:hAnsi="Arabic Transparent" w:cs="Arabic Transparent" w:hint="cs"/>
          <w:sz w:val="24"/>
          <w:szCs w:val="24"/>
          <w:rtl/>
          <w:lang w:bidi="ar-JO"/>
        </w:rPr>
        <w:t>ص59، هامش 3.</w:t>
      </w:r>
    </w:p>
  </w:footnote>
  <w:footnote w:id="722">
    <w:p w14:paraId="589ADD59" w14:textId="678E2FBC"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lang w:bidi="ar-JO"/>
        </w:rPr>
        <w:t xml:space="preserve"> هيئة المحاسبة والمراجعة للمؤسسات المالية الإسلامية – أيوفي (2015</w:t>
      </w:r>
      <w:r w:rsidRPr="002273BC">
        <w:rPr>
          <w:rFonts w:ascii="Arabic Transparent" w:hAnsi="Arabic Transparent" w:cs="Arabic Transparent" w:hint="cs"/>
          <w:b/>
          <w:bCs/>
          <w:sz w:val="24"/>
          <w:szCs w:val="24"/>
          <w:rtl/>
          <w:lang w:bidi="ar-JO"/>
        </w:rPr>
        <w:t>). المعايير الشرعية</w:t>
      </w:r>
      <w:r w:rsidRPr="002273BC">
        <w:rPr>
          <w:rFonts w:ascii="Arabic Transparent" w:hAnsi="Arabic Transparent" w:cs="Arabic Transparent" w:hint="cs"/>
          <w:sz w:val="24"/>
          <w:szCs w:val="24"/>
          <w:rtl/>
          <w:lang w:bidi="ar-JO"/>
        </w:rPr>
        <w:t xml:space="preserve"> </w:t>
      </w:r>
      <w:r w:rsidRPr="002273BC">
        <w:rPr>
          <w:rFonts w:ascii="Arabic Transparent" w:hAnsi="Arabic Transparent" w:cs="Arabic Transparent"/>
          <w:sz w:val="24"/>
          <w:szCs w:val="24"/>
          <w:rtl/>
          <w:lang w:bidi="ar-JO"/>
        </w:rPr>
        <w:t>رقم (30): التورق</w:t>
      </w:r>
      <w:r w:rsidR="005D7B91" w:rsidRPr="002273BC">
        <w:rPr>
          <w:rFonts w:ascii="Arabic Transparent" w:hAnsi="Arabic Transparent" w:cs="Arabic Transparent"/>
          <w:sz w:val="24"/>
          <w:szCs w:val="24"/>
          <w:rtl/>
          <w:lang w:bidi="ar-JO"/>
        </w:rPr>
        <w:t xml:space="preserve">، </w:t>
      </w:r>
      <w:r w:rsidRPr="002273BC">
        <w:rPr>
          <w:rFonts w:ascii="Arabic Transparent" w:hAnsi="Arabic Transparent" w:cs="Arabic Transparent" w:hint="cs"/>
          <w:sz w:val="24"/>
          <w:szCs w:val="24"/>
          <w:rtl/>
          <w:lang w:bidi="ar-JO"/>
        </w:rPr>
        <w:t>مصدر سابق، المعيار</w:t>
      </w:r>
      <w:r w:rsidR="005D7B91" w:rsidRPr="002273BC">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sz w:val="24"/>
          <w:szCs w:val="24"/>
          <w:rtl/>
          <w:lang w:bidi="ar-JO"/>
        </w:rPr>
        <w:t>ص412.</w:t>
      </w:r>
    </w:p>
  </w:footnote>
  <w:footnote w:id="723">
    <w:p w14:paraId="482A842F" w14:textId="77777777" w:rsidR="00201DD5" w:rsidRPr="002273BC" w:rsidRDefault="00201DD5" w:rsidP="00EA3738">
      <w:pPr>
        <w:pStyle w:val="FootnoteText"/>
        <w:spacing w:line="360" w:lineRule="auto"/>
        <w:jc w:val="both"/>
        <w:rPr>
          <w:rFonts w:ascii="Arabic Transparent" w:hAnsi="Arabic Transparent" w:cs="Arabic Transparent"/>
          <w:rtl/>
          <w:lang w:bidi="ar-JO"/>
        </w:rPr>
      </w:pPr>
      <w:r w:rsidRPr="002273BC">
        <w:rPr>
          <w:rFonts w:ascii="Arabic Transparent" w:hAnsi="Arabic Transparent" w:cs="Arabic Transparent" w:hint="cs"/>
        </w:rPr>
        <w:t>(</w:t>
      </w:r>
      <w:r w:rsidRPr="002273BC">
        <w:rPr>
          <w:rStyle w:val="FootnoteReference"/>
          <w:rFonts w:ascii="Arabic Transparent" w:hAnsi="Arabic Transparent" w:cs="Arabic Transparent" w:hint="cs"/>
          <w:vertAlign w:val="baseline"/>
        </w:rPr>
        <w:footnoteRef/>
      </w:r>
      <w:r w:rsidRPr="002273BC">
        <w:rPr>
          <w:rFonts w:ascii="Arabic Transparent" w:hAnsi="Arabic Transparent" w:cs="Arabic Transparent" w:hint="cs"/>
        </w:rPr>
        <w:t>)</w:t>
      </w:r>
      <w:r w:rsidRPr="002273BC">
        <w:rPr>
          <w:rFonts w:ascii="Arabic Transparent" w:hAnsi="Arabic Transparent" w:cs="Arabic Transparent" w:hint="cs"/>
          <w:rtl/>
        </w:rPr>
        <w:t xml:space="preserve"> </w:t>
      </w:r>
      <w:r w:rsidRPr="002273BC">
        <w:rPr>
          <w:rFonts w:ascii="Arabic Transparent" w:hAnsi="Arabic Transparent" w:cs="Arabic Transparent" w:hint="cs"/>
          <w:sz w:val="24"/>
          <w:szCs w:val="24"/>
          <w:rtl/>
          <w:lang w:bidi="ar-JO"/>
        </w:rPr>
        <w:t xml:space="preserve">الحيد، التورق المنظم – </w:t>
      </w:r>
      <w:r w:rsidRPr="002273BC">
        <w:rPr>
          <w:rFonts w:ascii="Arabic Transparent" w:hAnsi="Arabic Transparent" w:cs="Arabic Transparent" w:hint="cs"/>
          <w:b/>
          <w:bCs/>
          <w:sz w:val="24"/>
          <w:szCs w:val="24"/>
          <w:rtl/>
          <w:lang w:bidi="ar-JO"/>
        </w:rPr>
        <w:t>دراسة فقهية تطبيقية</w:t>
      </w:r>
      <w:r w:rsidRPr="002273BC">
        <w:rPr>
          <w:rFonts w:ascii="Arabic Transparent" w:hAnsi="Arabic Transparent" w:cs="Arabic Transparent" w:hint="cs"/>
          <w:sz w:val="24"/>
          <w:szCs w:val="24"/>
          <w:rtl/>
          <w:lang w:bidi="ar-JO"/>
        </w:rPr>
        <w:t>، مصدر سابق، ص1749.</w:t>
      </w:r>
    </w:p>
  </w:footnote>
  <w:footnote w:id="724">
    <w:p w14:paraId="221DEBA6"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المصدر السابق نفسه. ص1749.</w:t>
      </w:r>
    </w:p>
  </w:footnote>
  <w:footnote w:id="725">
    <w:p w14:paraId="70E5FA58"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المجمع الفقهي الإسلامي التابع لرابطة العالم الإسلامي (2003م). </w:t>
      </w:r>
      <w:r w:rsidRPr="002273BC">
        <w:rPr>
          <w:rFonts w:ascii="Arabic Transparent" w:hAnsi="Arabic Transparent" w:cs="Arabic Transparent" w:hint="cs"/>
          <w:b/>
          <w:bCs/>
          <w:sz w:val="24"/>
          <w:szCs w:val="24"/>
          <w:rtl/>
          <w:lang w:bidi="ar-JO"/>
        </w:rPr>
        <w:t>قرار بشأن التورق المصرفي المنظم</w:t>
      </w:r>
      <w:r w:rsidRPr="002273BC">
        <w:rPr>
          <w:rFonts w:ascii="Arabic Transparent" w:hAnsi="Arabic Transparent" w:cs="Arabic Transparent" w:hint="cs"/>
          <w:sz w:val="24"/>
          <w:szCs w:val="24"/>
          <w:rtl/>
          <w:lang w:bidi="ar-JO"/>
        </w:rPr>
        <w:t>، الدورة السابعة عشرة، مكة المكرمة، 19-23 شوال 1424هـ، الموافق 13-17 ديسمبر 2003م.</w:t>
      </w:r>
    </w:p>
  </w:footnote>
  <w:footnote w:id="726">
    <w:p w14:paraId="41C20744"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مجلس مجمع الفقه الإسلامي الدولي (2009). </w:t>
      </w:r>
      <w:r w:rsidRPr="002273BC">
        <w:rPr>
          <w:rFonts w:ascii="Arabic Transparent" w:hAnsi="Arabic Transparent" w:cs="Arabic Transparent" w:hint="cs"/>
          <w:b/>
          <w:bCs/>
          <w:sz w:val="24"/>
          <w:szCs w:val="24"/>
          <w:rtl/>
          <w:lang w:bidi="ar-JO"/>
        </w:rPr>
        <w:t>قرار رقم 179 (19/5): بشأن التورق: حقيقته، أنواعه (الفقهي المعروف والمصرفي المنظم)،</w:t>
      </w:r>
      <w:r w:rsidRPr="002273BC">
        <w:rPr>
          <w:rFonts w:ascii="Arabic Transparent" w:hAnsi="Arabic Transparent" w:cs="Arabic Transparent" w:hint="cs"/>
          <w:sz w:val="24"/>
          <w:szCs w:val="24"/>
          <w:rtl/>
          <w:lang w:bidi="ar-JO"/>
        </w:rPr>
        <w:t xml:space="preserve"> الدورة التاسعة عشرة، إمارة الشارقة، الإمارات العربية المتحدة، 26–30 أبريل 2009، مجمع الفقه الإسلامي الدولي – جدة، المملكة العربية السعودية. متاح على: </w:t>
      </w:r>
      <w:r w:rsidRPr="002273BC">
        <w:rPr>
          <w:rFonts w:ascii="Arabic Transparent" w:hAnsi="Arabic Transparent" w:cs="Arabic Transparent" w:hint="cs"/>
          <w:sz w:val="24"/>
          <w:szCs w:val="24"/>
          <w:lang w:bidi="ar-JO"/>
        </w:rPr>
        <w:t>iifa-aifi.org/ar/2302.html</w:t>
      </w:r>
      <w:r w:rsidRPr="002273BC">
        <w:rPr>
          <w:rFonts w:ascii="Arabic Transparent" w:hAnsi="Arabic Transparent" w:cs="Arabic Transparent" w:hint="cs"/>
          <w:sz w:val="24"/>
          <w:szCs w:val="24"/>
          <w:rtl/>
          <w:lang w:bidi="ar-JO"/>
        </w:rPr>
        <w:t>، تاريخ الاطلاع: 7 أبريل 2026</w:t>
      </w:r>
    </w:p>
  </w:footnote>
  <w:footnote w:id="727">
    <w:p w14:paraId="4B9D9AF0"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المجلس الأوروبي للإفتاء والبحوث (2018). </w:t>
      </w:r>
      <w:r w:rsidRPr="002273BC">
        <w:rPr>
          <w:rFonts w:ascii="Arabic Transparent" w:hAnsi="Arabic Transparent" w:cs="Arabic Transparent" w:hint="cs"/>
          <w:b/>
          <w:bCs/>
          <w:sz w:val="24"/>
          <w:szCs w:val="24"/>
          <w:rtl/>
          <w:lang w:bidi="ar-JO"/>
        </w:rPr>
        <w:t>قرار رقم (2/19): حكم التورق، رقم الفتوى: 4205، قسم المعاملات، المجلس الأوروبي للإفتاء والبحوث،</w:t>
      </w:r>
      <w:r w:rsidRPr="002273BC">
        <w:rPr>
          <w:rFonts w:ascii="Arabic Transparent" w:hAnsi="Arabic Transparent" w:cs="Arabic Transparent" w:hint="cs"/>
          <w:sz w:val="24"/>
          <w:szCs w:val="24"/>
          <w:rtl/>
          <w:lang w:bidi="ar-JO"/>
        </w:rPr>
        <w:t xml:space="preserve"> أيرلندا. متاح على: </w:t>
      </w:r>
      <w:r w:rsidRPr="002273BC">
        <w:rPr>
          <w:rFonts w:ascii="Arabic Transparent" w:hAnsi="Arabic Transparent" w:cs="Arabic Transparent" w:hint="cs"/>
          <w:sz w:val="24"/>
          <w:szCs w:val="24"/>
          <w:lang w:bidi="ar-JO"/>
        </w:rPr>
        <w:t>e-cfr.org/blog/2018/11/07</w:t>
      </w:r>
      <w:r w:rsidRPr="002273BC">
        <w:rPr>
          <w:rFonts w:ascii="Arabic Transparent" w:hAnsi="Arabic Transparent" w:cs="Arabic Transparent" w:hint="cs"/>
          <w:sz w:val="24"/>
          <w:szCs w:val="24"/>
          <w:rtl/>
          <w:lang w:bidi="ar-JO"/>
        </w:rPr>
        <w:t>/حكم-التورق، تاريخ الاطلاع: 7 أبريل 2026.</w:t>
      </w:r>
    </w:p>
  </w:footnote>
  <w:footnote w:id="728">
    <w:p w14:paraId="784DBDDA"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مجلس الإفتاء والبحوث والدراسات الإسلامية – الأردن (2021). </w:t>
      </w:r>
      <w:r w:rsidRPr="002273BC">
        <w:rPr>
          <w:rFonts w:ascii="Arabic Transparent" w:hAnsi="Arabic Transparent" w:cs="Arabic Transparent" w:hint="cs"/>
          <w:b/>
          <w:bCs/>
          <w:sz w:val="24"/>
          <w:szCs w:val="24"/>
          <w:rtl/>
          <w:lang w:bidi="ar-JO"/>
        </w:rPr>
        <w:t>قرار رقم (307) (15/ 2021): حرمة التورق المصرفي "التمويل الشخصي" مقاصدياً، الجلسة السادسة عشرة</w:t>
      </w:r>
      <w:r w:rsidRPr="002273BC">
        <w:rPr>
          <w:rFonts w:ascii="Arabic Transparent" w:hAnsi="Arabic Transparent" w:cs="Arabic Transparent" w:hint="cs"/>
          <w:sz w:val="24"/>
          <w:szCs w:val="24"/>
          <w:rtl/>
          <w:lang w:bidi="ar-JO"/>
        </w:rPr>
        <w:t xml:space="preserve">، 30 ديسمبر 2021، دائرة الإفتاء العام، عمّان، الأردن. متاح على: </w:t>
      </w:r>
      <w:r w:rsidRPr="002273BC">
        <w:rPr>
          <w:rFonts w:ascii="Arabic Transparent" w:hAnsi="Arabic Transparent" w:cs="Arabic Transparent" w:hint="cs"/>
          <w:sz w:val="24"/>
          <w:szCs w:val="24"/>
          <w:lang w:bidi="ar-JO"/>
        </w:rPr>
        <w:t>aliftaa.jo/decision/1694</w:t>
      </w:r>
      <w:r w:rsidRPr="002273BC">
        <w:rPr>
          <w:rFonts w:ascii="Arabic Transparent" w:hAnsi="Arabic Transparent" w:cs="Arabic Transparent" w:hint="cs"/>
          <w:sz w:val="24"/>
          <w:szCs w:val="24"/>
          <w:rtl/>
          <w:lang w:bidi="ar-JO"/>
        </w:rPr>
        <w:t xml:space="preserve">، تاريخ الاطلاع: 7 آثار 2026، </w:t>
      </w:r>
      <w:r w:rsidRPr="002273BC">
        <w:rPr>
          <w:rFonts w:ascii="Arabic Transparent" w:hAnsi="Arabic Transparent" w:cs="Arabic Transparent"/>
          <w:sz w:val="24"/>
          <w:szCs w:val="24"/>
          <w:rtl/>
          <w:lang w:bidi="ar-JO"/>
        </w:rPr>
        <w:t xml:space="preserve">وفي قرار آخر أجازت الدائرة التَّورُّق الفردي، ضمن جملة من الضوابط التي يجب أن تأخذ بعين الاعتبار انظر: لجنة الإفتاء – دائرة الإفتاء العام الأردنية (2010). حكم التورق، فتوى بحثية رقم 866، تصنيف: الربا والقرض، 25 يوليو 2010، دائرة الإفتاء العام – عمّان، الأردن. متاح على: </w:t>
      </w:r>
      <w:r w:rsidRPr="002273BC">
        <w:rPr>
          <w:rFonts w:ascii="Arabic Transparent" w:hAnsi="Arabic Transparent" w:cs="Arabic Transparent"/>
          <w:sz w:val="24"/>
          <w:szCs w:val="24"/>
          <w:lang w:bidi="ar-JO"/>
        </w:rPr>
        <w:t>aliftaa.jo/fatwa/866</w:t>
      </w:r>
      <w:r w:rsidRPr="002273BC">
        <w:rPr>
          <w:rFonts w:ascii="Arabic Transparent" w:hAnsi="Arabic Transparent" w:cs="Arabic Transparent"/>
          <w:sz w:val="24"/>
          <w:szCs w:val="24"/>
          <w:rtl/>
          <w:lang w:bidi="ar-JO"/>
        </w:rPr>
        <w:t>، تاريخ الاطلاع: 7</w:t>
      </w:r>
      <w:r w:rsidRPr="002273BC">
        <w:rPr>
          <w:rFonts w:ascii="Arabic Transparent" w:hAnsi="Arabic Transparent" w:cs="Arabic Transparent" w:hint="cs"/>
          <w:sz w:val="24"/>
          <w:szCs w:val="24"/>
          <w:rtl/>
          <w:lang w:bidi="ar-JO"/>
        </w:rPr>
        <w:t>/3/</w:t>
      </w:r>
      <w:r w:rsidRPr="002273BC">
        <w:rPr>
          <w:rFonts w:ascii="Arabic Transparent" w:hAnsi="Arabic Transparent" w:cs="Arabic Transparent"/>
          <w:sz w:val="24"/>
          <w:szCs w:val="24"/>
          <w:rtl/>
          <w:lang w:bidi="ar-JO"/>
        </w:rPr>
        <w:t xml:space="preserve"> 2026.</w:t>
      </w:r>
    </w:p>
  </w:footnote>
  <w:footnote w:id="729">
    <w:p w14:paraId="59795E23" w14:textId="7D77912E"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lang w:bidi="ar-JO"/>
        </w:rPr>
        <w:t xml:space="preserve"> الدبو</w:t>
      </w:r>
      <w:r w:rsidR="005D7B91" w:rsidRPr="002273BC">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sz w:val="24"/>
          <w:szCs w:val="24"/>
          <w:rtl/>
          <w:lang w:bidi="ar-JO"/>
        </w:rPr>
        <w:t xml:space="preserve">إبراهيم (2013)، </w:t>
      </w:r>
      <w:r w:rsidRPr="002273BC">
        <w:rPr>
          <w:rFonts w:ascii="Arabic Transparent" w:hAnsi="Arabic Transparent" w:cs="Arabic Transparent" w:hint="cs"/>
          <w:b/>
          <w:bCs/>
          <w:sz w:val="24"/>
          <w:szCs w:val="24"/>
          <w:rtl/>
          <w:lang w:bidi="ar-JO"/>
        </w:rPr>
        <w:t>التَّورُّق حقيقته وأنواعه (الفقهي المعروف والمصرفي المنظم) منشور في مجلة مجمع الفقه الإسلامي الدولي،</w:t>
      </w:r>
      <w:r w:rsidRPr="002273BC">
        <w:rPr>
          <w:rFonts w:ascii="Arabic Transparent" w:hAnsi="Arabic Transparent" w:cs="Arabic Transparent" w:hint="cs"/>
          <w:sz w:val="24"/>
          <w:szCs w:val="24"/>
          <w:rtl/>
          <w:lang w:bidi="ar-JO"/>
        </w:rPr>
        <w:t xml:space="preserve"> الدورة</w:t>
      </w:r>
      <w:r w:rsidR="006D14B6" w:rsidRPr="002273BC">
        <w:rPr>
          <w:rFonts w:ascii="Arabic Transparent" w:hAnsi="Arabic Transparent" w:cs="Arabic Transparent" w:hint="cs"/>
          <w:sz w:val="24"/>
          <w:szCs w:val="24"/>
          <w:rtl/>
          <w:lang w:bidi="ar-JO"/>
        </w:rPr>
        <w:t>:</w:t>
      </w:r>
      <w:r w:rsidRPr="002273BC">
        <w:rPr>
          <w:rFonts w:ascii="Arabic Transparent" w:hAnsi="Arabic Transparent" w:cs="Arabic Transparent" w:hint="cs"/>
          <w:sz w:val="24"/>
          <w:szCs w:val="24"/>
          <w:rtl/>
          <w:lang w:bidi="ar-JO"/>
        </w:rPr>
        <w:t xml:space="preserve"> 19، العدد 19، ج3، ص65.</w:t>
      </w:r>
    </w:p>
  </w:footnote>
  <w:footnote w:id="730">
    <w:p w14:paraId="201D4DFE" w14:textId="09EC4545"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الحداد، أحمد، </w:t>
      </w:r>
      <w:r w:rsidRPr="002273BC">
        <w:rPr>
          <w:rFonts w:ascii="Arabic Transparent" w:hAnsi="Arabic Transparent" w:cs="Arabic Transparent" w:hint="cs"/>
          <w:b/>
          <w:bCs/>
          <w:sz w:val="24"/>
          <w:szCs w:val="24"/>
          <w:rtl/>
          <w:lang w:bidi="ar-JO"/>
        </w:rPr>
        <w:t>التَّورُّق المنتظم صورته وحكمه</w:t>
      </w:r>
      <w:r w:rsidR="005D7B91" w:rsidRPr="002273BC">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sz w:val="24"/>
          <w:szCs w:val="24"/>
          <w:rtl/>
          <w:lang w:bidi="ar-JO"/>
        </w:rPr>
        <w:t>مصدر سابق، ج3، ص87.</w:t>
      </w:r>
    </w:p>
  </w:footnote>
  <w:footnote w:id="731">
    <w:p w14:paraId="1F45C49E" w14:textId="143E4059"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حسان، حسين حامد، </w:t>
      </w:r>
      <w:r w:rsidRPr="002273BC">
        <w:rPr>
          <w:rFonts w:ascii="Arabic Transparent" w:hAnsi="Arabic Transparent" w:cs="Arabic Transparent" w:hint="cs"/>
          <w:b/>
          <w:bCs/>
          <w:sz w:val="24"/>
          <w:szCs w:val="24"/>
          <w:rtl/>
          <w:lang w:bidi="ar-JO"/>
        </w:rPr>
        <w:t>التورق المصرفي المنظم</w:t>
      </w:r>
      <w:r w:rsidR="005D7B91" w:rsidRPr="002273BC">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sz w:val="24"/>
          <w:szCs w:val="24"/>
          <w:rtl/>
          <w:lang w:bidi="ar-JO"/>
        </w:rPr>
        <w:t>مصدر سابق،ج3، ص181.</w:t>
      </w:r>
    </w:p>
  </w:footnote>
  <w:footnote w:id="732">
    <w:p w14:paraId="5294B5D8" w14:textId="31F0681E"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سويلم، سامي،</w:t>
      </w:r>
      <w:r w:rsidR="005D7B91" w:rsidRPr="002273BC">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b/>
          <w:bCs/>
          <w:sz w:val="24"/>
          <w:szCs w:val="24"/>
          <w:rtl/>
          <w:lang w:bidi="ar-JO"/>
        </w:rPr>
        <w:t>منتجات التَّورُّق المصرفية</w:t>
      </w:r>
      <w:r w:rsidR="005D7B91" w:rsidRPr="002273BC">
        <w:rPr>
          <w:rFonts w:ascii="Arabic Transparent" w:hAnsi="Arabic Transparent" w:cs="Arabic Transparent" w:hint="cs"/>
          <w:b/>
          <w:bCs/>
          <w:sz w:val="24"/>
          <w:szCs w:val="24"/>
          <w:rtl/>
          <w:lang w:bidi="ar-JO"/>
        </w:rPr>
        <w:t xml:space="preserve">، </w:t>
      </w:r>
      <w:r w:rsidRPr="002273BC">
        <w:rPr>
          <w:rFonts w:ascii="Arabic Transparent" w:hAnsi="Arabic Transparent" w:cs="Arabic Transparent" w:hint="cs"/>
          <w:sz w:val="24"/>
          <w:szCs w:val="24"/>
          <w:rtl/>
          <w:lang w:bidi="ar-JO"/>
        </w:rPr>
        <w:t>مصدر سابق،ج3، ص285.</w:t>
      </w:r>
    </w:p>
  </w:footnote>
  <w:footnote w:id="733">
    <w:p w14:paraId="2E10EE25"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أبو هراوة، سعيد، </w:t>
      </w:r>
      <w:r w:rsidRPr="002273BC">
        <w:rPr>
          <w:rFonts w:ascii="Arabic Transparent" w:hAnsi="Arabic Transparent" w:cs="Arabic Transparent" w:hint="cs"/>
          <w:b/>
          <w:bCs/>
          <w:sz w:val="24"/>
          <w:szCs w:val="24"/>
          <w:rtl/>
          <w:lang w:bidi="ar-JO"/>
        </w:rPr>
        <w:t xml:space="preserve">التَّورُّق حقيقته وأنواعه (الفقهي المعروف والمصرفي المنظم)، </w:t>
      </w:r>
      <w:r w:rsidRPr="002273BC">
        <w:rPr>
          <w:rFonts w:ascii="Arabic Transparent" w:hAnsi="Arabic Transparent" w:cs="Arabic Transparent" w:hint="cs"/>
          <w:sz w:val="24"/>
          <w:szCs w:val="24"/>
          <w:rtl/>
          <w:lang w:bidi="ar-JO"/>
        </w:rPr>
        <w:t>مصدر سابق،ج3، ص341.</w:t>
      </w:r>
    </w:p>
  </w:footnote>
  <w:footnote w:id="734">
    <w:p w14:paraId="5A8CD0A4"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السالوس، علي، </w:t>
      </w:r>
      <w:r w:rsidRPr="002273BC">
        <w:rPr>
          <w:rFonts w:ascii="Arabic Transparent" w:hAnsi="Arabic Transparent" w:cs="Arabic Transparent" w:hint="cs"/>
          <w:b/>
          <w:bCs/>
          <w:sz w:val="24"/>
          <w:szCs w:val="24"/>
          <w:rtl/>
          <w:lang w:bidi="ar-JO"/>
        </w:rPr>
        <w:t>التورق حقيقته وأنواعه،</w:t>
      </w:r>
      <w:r w:rsidRPr="002273BC">
        <w:rPr>
          <w:rFonts w:ascii="Arabic Transparent" w:hAnsi="Arabic Transparent" w:cs="Arabic Transparent" w:hint="cs"/>
          <w:sz w:val="24"/>
          <w:szCs w:val="24"/>
          <w:rtl/>
          <w:lang w:bidi="ar-JO"/>
        </w:rPr>
        <w:t xml:space="preserve"> مصدر سابق،ج3، ص407.</w:t>
      </w:r>
    </w:p>
  </w:footnote>
  <w:footnote w:id="735">
    <w:p w14:paraId="672CFD31" w14:textId="6ED71B91"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شبير، محمد، </w:t>
      </w:r>
      <w:r w:rsidRPr="002273BC">
        <w:rPr>
          <w:rFonts w:ascii="Arabic Transparent" w:hAnsi="Arabic Transparent" w:cs="Arabic Transparent" w:hint="cs"/>
          <w:b/>
          <w:bCs/>
          <w:sz w:val="24"/>
          <w:szCs w:val="24"/>
          <w:rtl/>
          <w:lang w:bidi="ar-JO"/>
        </w:rPr>
        <w:t>التَّورُّق الفقهي وتطبيقاته المصرفية المعاصرة في الفقه الإسلامي</w:t>
      </w:r>
      <w:r w:rsidRPr="002273BC">
        <w:rPr>
          <w:rFonts w:ascii="Arabic Transparent" w:hAnsi="Arabic Transparent" w:cs="Arabic Transparent" w:hint="cs"/>
          <w:sz w:val="24"/>
          <w:szCs w:val="24"/>
          <w:rtl/>
          <w:lang w:bidi="ar-JO"/>
        </w:rPr>
        <w:t>، مصدر سابق،ج3، ص549.</w:t>
      </w:r>
    </w:p>
  </w:footnote>
  <w:footnote w:id="736">
    <w:p w14:paraId="43FA23EE"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ذهب إلى حرمة جميع صيع التمويل الائتماني الذي تجريها البنوك الإسلامية ( كالمرابحة، والإجارة المنتهية بالتمليك، والمشاركة المتناقصة وغيرها، بسبب اجتماع العقود وتركيبها، وأن الظاهر فيها البيع والباطن التمويل، فهي شبيهة بعقد العينة المحرم وهي باطلة ومحرمة، وأوصى بإعادة الحديث عنها في الدورة التاسعة عشر في مجمع الفقه الإسلامي الدولي، فهمي، حسين، </w:t>
      </w:r>
      <w:r w:rsidRPr="002273BC">
        <w:rPr>
          <w:rFonts w:ascii="Arabic Transparent" w:hAnsi="Arabic Transparent" w:cs="Arabic Transparent" w:hint="cs"/>
          <w:b/>
          <w:bCs/>
          <w:sz w:val="24"/>
          <w:szCs w:val="24"/>
          <w:rtl/>
          <w:lang w:bidi="ar-JO"/>
        </w:rPr>
        <w:t>التورق الفردي والتورق المصرفي المنظم</w:t>
      </w:r>
      <w:r w:rsidRPr="002273BC">
        <w:rPr>
          <w:rFonts w:ascii="Arabic Transparent" w:hAnsi="Arabic Transparent" w:cs="Arabic Transparent" w:hint="cs"/>
          <w:sz w:val="24"/>
          <w:szCs w:val="24"/>
          <w:rtl/>
          <w:lang w:bidi="ar-JO"/>
        </w:rPr>
        <w:t>، منشور في مجلة مجمع الفقه الإسلامي الدولي، مصدر سابق،ج3، ص179.</w:t>
      </w:r>
    </w:p>
  </w:footnote>
  <w:footnote w:id="737">
    <w:p w14:paraId="6E414736"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المجمع الفقهي الإسلامي التابع لرابطة العالم الإسلامي (2003م). قرار رقم 179 (19/5): </w:t>
      </w:r>
      <w:r w:rsidRPr="002273BC">
        <w:rPr>
          <w:rFonts w:ascii="Arabic Transparent" w:hAnsi="Arabic Transparent" w:cs="Arabic Transparent" w:hint="cs"/>
          <w:b/>
          <w:bCs/>
          <w:sz w:val="24"/>
          <w:szCs w:val="24"/>
          <w:rtl/>
          <w:lang w:bidi="ar-JO"/>
        </w:rPr>
        <w:t>بشأن التورق المصرفي المنظم،</w:t>
      </w:r>
      <w:r w:rsidRPr="002273BC">
        <w:rPr>
          <w:rFonts w:ascii="Arabic Transparent" w:hAnsi="Arabic Transparent" w:cs="Arabic Transparent" w:hint="cs"/>
          <w:sz w:val="24"/>
          <w:szCs w:val="24"/>
          <w:rtl/>
          <w:lang w:bidi="ar-JO"/>
        </w:rPr>
        <w:t xml:space="preserve"> مصدر سابق.</w:t>
      </w:r>
    </w:p>
  </w:footnote>
  <w:footnote w:id="738">
    <w:p w14:paraId="5955D615"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انظر: مجلس مجمع الفقه الإسلامي الدولي (2009). قرار رقم 179 (19/5): </w:t>
      </w:r>
      <w:r w:rsidRPr="002273BC">
        <w:rPr>
          <w:rFonts w:ascii="Arabic Transparent" w:hAnsi="Arabic Transparent" w:cs="Arabic Transparent" w:hint="cs"/>
          <w:b/>
          <w:bCs/>
          <w:sz w:val="24"/>
          <w:szCs w:val="24"/>
          <w:rtl/>
          <w:lang w:bidi="ar-JO"/>
        </w:rPr>
        <w:t xml:space="preserve">بشأن التورق: حقيقته، أنواعه (الفقهي المعروف والمصرفي المنظم)، </w:t>
      </w:r>
      <w:r w:rsidRPr="002273BC">
        <w:rPr>
          <w:rFonts w:ascii="Arabic Transparent" w:hAnsi="Arabic Transparent" w:cs="Arabic Transparent" w:hint="cs"/>
          <w:sz w:val="24"/>
          <w:szCs w:val="24"/>
          <w:rtl/>
          <w:lang w:bidi="ar-JO"/>
        </w:rPr>
        <w:t>مصدر سابق.</w:t>
      </w:r>
    </w:p>
  </w:footnote>
  <w:footnote w:id="739">
    <w:p w14:paraId="4D02BA05" w14:textId="245B9CA1"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المجلس الأوروبي للإفتاء والبحوث (2018). </w:t>
      </w:r>
      <w:r w:rsidRPr="002273BC">
        <w:rPr>
          <w:rFonts w:ascii="Arabic Transparent" w:hAnsi="Arabic Transparent" w:cs="Arabic Transparent" w:hint="cs"/>
          <w:b/>
          <w:bCs/>
          <w:sz w:val="24"/>
          <w:szCs w:val="24"/>
          <w:rtl/>
          <w:lang w:bidi="ar-JO"/>
        </w:rPr>
        <w:t>قرار رقم (2/19): حكم التورق، رقم الفتوى: 4205</w:t>
      </w:r>
      <w:r w:rsidR="005D7B91" w:rsidRPr="002273BC">
        <w:rPr>
          <w:rFonts w:ascii="Arabic Transparent" w:hAnsi="Arabic Transparent" w:cs="Arabic Transparent" w:hint="cs"/>
          <w:b/>
          <w:bCs/>
          <w:sz w:val="24"/>
          <w:szCs w:val="24"/>
          <w:rtl/>
          <w:lang w:bidi="ar-JO"/>
        </w:rPr>
        <w:t xml:space="preserve">، </w:t>
      </w:r>
      <w:r w:rsidRPr="002273BC">
        <w:rPr>
          <w:rFonts w:ascii="Arabic Transparent" w:hAnsi="Arabic Transparent" w:cs="Arabic Transparent" w:hint="cs"/>
          <w:sz w:val="24"/>
          <w:szCs w:val="24"/>
          <w:rtl/>
          <w:lang w:bidi="ar-JO"/>
        </w:rPr>
        <w:t>مصدر سابق.</w:t>
      </w:r>
    </w:p>
  </w:footnote>
  <w:footnote w:id="740">
    <w:p w14:paraId="7CA73C36"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دائرة الإفتاء العام الأردنية - لجنة الإفتاء. (2025</w:t>
      </w:r>
      <w:r w:rsidRPr="002273BC">
        <w:rPr>
          <w:rFonts w:ascii="Arabic Transparent" w:hAnsi="Arabic Transparent" w:cs="Arabic Transparent" w:hint="cs"/>
          <w:b/>
          <w:bCs/>
          <w:sz w:val="24"/>
          <w:szCs w:val="24"/>
          <w:rtl/>
          <w:lang w:bidi="ar-JO"/>
        </w:rPr>
        <w:t>). حكم منتجات التمويل الشخصي (التورق).</w:t>
      </w:r>
      <w:r w:rsidRPr="002273BC">
        <w:rPr>
          <w:rFonts w:ascii="Arabic Transparent" w:hAnsi="Arabic Transparent" w:cs="Arabic Transparent" w:hint="cs"/>
          <w:sz w:val="24"/>
          <w:szCs w:val="24"/>
          <w:rtl/>
          <w:lang w:bidi="ar-JO"/>
        </w:rPr>
        <w:t xml:space="preserve"> فتوى بحثية. رقم الفتوى: 3976. تاريخ الفتوى: 11 يونيو 2025م. متاح على: </w:t>
      </w:r>
      <w:r w:rsidRPr="002273BC">
        <w:rPr>
          <w:rFonts w:ascii="Arabic Transparent" w:hAnsi="Arabic Transparent" w:cs="Arabic Transparent" w:hint="cs"/>
          <w:sz w:val="24"/>
          <w:szCs w:val="24"/>
          <w:lang w:bidi="ar-JO"/>
        </w:rPr>
        <w:t>https://www.aliftaa.jo/research-fatwas/3976</w:t>
      </w:r>
    </w:p>
  </w:footnote>
  <w:footnote w:id="741">
    <w:p w14:paraId="36BDE11F" w14:textId="592A5256"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انظر: مجموعة من المؤلفين (2013)، </w:t>
      </w:r>
      <w:r w:rsidRPr="002273BC">
        <w:rPr>
          <w:rFonts w:ascii="Arabic Transparent" w:hAnsi="Arabic Transparent" w:cs="Arabic Transparent" w:hint="cs"/>
          <w:b/>
          <w:bCs/>
          <w:sz w:val="24"/>
          <w:szCs w:val="24"/>
          <w:rtl/>
          <w:lang w:bidi="ar-JO"/>
        </w:rPr>
        <w:t>مجلة مجمع الفقه الإسلامي الدولي لمؤتمر مجمع الفقه الإسلامي الدولي</w:t>
      </w:r>
      <w:r w:rsidRPr="002273BC">
        <w:rPr>
          <w:rFonts w:ascii="Arabic Transparent" w:hAnsi="Arabic Transparent" w:cs="Arabic Transparent" w:hint="cs"/>
          <w:sz w:val="24"/>
          <w:szCs w:val="24"/>
          <w:rtl/>
          <w:lang w:bidi="ar-JO"/>
        </w:rPr>
        <w:t>، الدورة 19، العدد 19، ج3، ص65.</w:t>
      </w:r>
    </w:p>
  </w:footnote>
  <w:footnote w:id="742">
    <w:p w14:paraId="2D7245B1"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من الأمثلة عليه الندوات المالية المتخصصة، مثل: ندوة البركة للاقتصاد الإسلامي، والمعايير الشرعية أيوفي التي وضعت ضوابط التخلص من الأسباب المحرمة في المعاملات والتي معها لا يمكن أن يكون هناك معاملة مركبة جديدة وتحرم سداً لذريعة المحرم المتوقعة والمظنونة عند تطبيقها، انظر:</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بيومي، عبد الناصر حمدان. </w:t>
      </w:r>
      <w:r w:rsidRPr="002273BC">
        <w:rPr>
          <w:rFonts w:ascii="Arabic Transparent" w:hAnsi="Arabic Transparent" w:cs="Arabic Transparent" w:hint="cs"/>
          <w:b/>
          <w:bCs/>
          <w:sz w:val="24"/>
          <w:szCs w:val="24"/>
          <w:rtl/>
          <w:lang w:bidi="ar-JO"/>
        </w:rPr>
        <w:t>"القواعد الشرعية وآثارها في عقود المعاملات المالية: قاعدة سد الذرائع وفتحها معتبر مقصود شرعاً (2/2)</w:t>
      </w:r>
      <w:r w:rsidRPr="002273BC">
        <w:rPr>
          <w:rFonts w:ascii="Arabic Transparent" w:hAnsi="Arabic Transparent" w:cs="Arabic Transparent" w:hint="cs"/>
          <w:sz w:val="24"/>
          <w:szCs w:val="24"/>
          <w:rtl/>
          <w:lang w:bidi="ar-JO"/>
        </w:rPr>
        <w:t xml:space="preserve">". مقال منشور على موقع منتدى البركة للاقتصاد الإسلامي. متاح على: </w:t>
      </w:r>
      <w:r w:rsidRPr="002273BC">
        <w:rPr>
          <w:rFonts w:ascii="Arabic Transparent" w:hAnsi="Arabic Transparent" w:cs="Arabic Transparent" w:hint="cs"/>
          <w:sz w:val="24"/>
          <w:szCs w:val="24"/>
          <w:lang w:bidi="ar-JO"/>
        </w:rPr>
        <w:t>https://forum.albaraka.site</w:t>
      </w:r>
    </w:p>
  </w:footnote>
  <w:footnote w:id="743">
    <w:p w14:paraId="13E87291"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انظر: الزيعلي، </w:t>
      </w:r>
      <w:r w:rsidRPr="002273BC">
        <w:rPr>
          <w:rFonts w:ascii="Arabic Transparent" w:hAnsi="Arabic Transparent" w:cs="Arabic Transparent" w:hint="cs"/>
          <w:b/>
          <w:bCs/>
          <w:sz w:val="24"/>
          <w:szCs w:val="24"/>
          <w:rtl/>
          <w:lang w:bidi="ar-JO"/>
        </w:rPr>
        <w:t>تبيين الحقائق</w:t>
      </w:r>
      <w:r w:rsidRPr="002273BC">
        <w:rPr>
          <w:rFonts w:ascii="Arabic Transparent" w:hAnsi="Arabic Transparent" w:cs="Arabic Transparent" w:hint="cs"/>
          <w:sz w:val="24"/>
          <w:szCs w:val="24"/>
          <w:rtl/>
          <w:lang w:bidi="ar-JO"/>
        </w:rPr>
        <w:t>، مصدر سابق، ج5، ص218.</w:t>
      </w:r>
    </w:p>
  </w:footnote>
  <w:footnote w:id="744">
    <w:p w14:paraId="577FE14B" w14:textId="3901DCD8"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002D0FD0">
        <w:rPr>
          <w:rFonts w:ascii="Arabic Transparent" w:hAnsi="Arabic Transparent" w:cs="Arabic Transparent" w:hint="cs"/>
          <w:sz w:val="24"/>
          <w:szCs w:val="24"/>
          <w:rtl/>
          <w:lang w:bidi="ar-JO"/>
        </w:rPr>
        <w:t xml:space="preserve">انظر: </w:t>
      </w:r>
      <w:r w:rsidRPr="002273BC">
        <w:rPr>
          <w:rFonts w:ascii="Arabic Transparent" w:hAnsi="Arabic Transparent" w:cs="Arabic Transparent" w:hint="cs"/>
          <w:sz w:val="24"/>
          <w:szCs w:val="24"/>
          <w:rtl/>
          <w:lang w:bidi="ar-JO"/>
        </w:rPr>
        <w:t xml:space="preserve">دائرة الإفتاء العام الأردنية (٢٠١٣م). </w:t>
      </w:r>
      <w:r w:rsidRPr="002273BC">
        <w:rPr>
          <w:rFonts w:ascii="Arabic Transparent" w:hAnsi="Arabic Transparent" w:cs="Arabic Transparent" w:hint="cs"/>
          <w:b/>
          <w:bCs/>
          <w:sz w:val="24"/>
          <w:szCs w:val="24"/>
          <w:rtl/>
          <w:lang w:bidi="ar-JO"/>
        </w:rPr>
        <w:t>اختلاف العلماء في مسائل الفقه اختلاف رحمة،</w:t>
      </w:r>
      <w:r w:rsidRPr="002273BC">
        <w:rPr>
          <w:rFonts w:ascii="Arabic Transparent" w:hAnsi="Arabic Transparent" w:cs="Arabic Transparent" w:hint="cs"/>
          <w:sz w:val="24"/>
          <w:szCs w:val="24"/>
          <w:rtl/>
          <w:lang w:bidi="ar-JO"/>
        </w:rPr>
        <w:t xml:space="preserve"> فتوى بحثية، رقم الفتوى: ٢٨٠٨، تاريخ: ٣٠/٠٧/٢٠١٣م، متاح على: </w:t>
      </w:r>
      <w:r w:rsidRPr="002273BC">
        <w:rPr>
          <w:rFonts w:ascii="Arabic Transparent" w:hAnsi="Arabic Transparent" w:cs="Arabic Transparent" w:hint="cs"/>
          <w:sz w:val="24"/>
          <w:szCs w:val="24"/>
          <w:lang w:bidi="ar-JO"/>
        </w:rPr>
        <w:t>https://aliftaa.jo/fatwa/2808</w:t>
      </w:r>
    </w:p>
  </w:footnote>
  <w:footnote w:id="745">
    <w:p w14:paraId="5FF2D20F" w14:textId="23D7266D"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قول </w:t>
      </w:r>
      <w:r w:rsidRPr="002273BC">
        <w:rPr>
          <w:rFonts w:ascii="Arabic Transparent" w:hAnsi="Arabic Transparent" w:cs="Arabic Transparent" w:hint="cs"/>
          <w:sz w:val="24"/>
          <w:szCs w:val="24"/>
          <w:rtl/>
          <w:lang w:bidi="ar-JO"/>
        </w:rPr>
        <w:t xml:space="preserve">عند الحنفية: </w:t>
      </w:r>
      <w:r w:rsidR="002D0FD0">
        <w:rPr>
          <w:rFonts w:ascii="Arabic Transparent" w:hAnsi="Arabic Transparent" w:cs="Arabic Transparent" w:hint="cs"/>
          <w:sz w:val="24"/>
          <w:szCs w:val="24"/>
          <w:rtl/>
          <w:lang w:bidi="ar-JO"/>
        </w:rPr>
        <w:t xml:space="preserve">انظر: </w:t>
      </w:r>
      <w:r w:rsidRPr="002273BC">
        <w:rPr>
          <w:rFonts w:ascii="Arabic Transparent" w:hAnsi="Arabic Transparent" w:cs="Arabic Transparent" w:hint="cs"/>
          <w:sz w:val="24"/>
          <w:szCs w:val="24"/>
          <w:rtl/>
          <w:lang w:bidi="ar-JO"/>
        </w:rPr>
        <w:t xml:space="preserve">ابن عابدين، </w:t>
      </w:r>
      <w:r w:rsidRPr="002273BC">
        <w:rPr>
          <w:rFonts w:ascii="Arabic Transparent" w:hAnsi="Arabic Transparent" w:cs="Arabic Transparent" w:hint="cs"/>
          <w:b/>
          <w:bCs/>
          <w:sz w:val="24"/>
          <w:szCs w:val="24"/>
          <w:rtl/>
          <w:lang w:bidi="ar-JO"/>
        </w:rPr>
        <w:t>حاشية ابن عابدين</w:t>
      </w:r>
      <w:r w:rsidRPr="002273BC">
        <w:rPr>
          <w:rFonts w:ascii="Arabic Transparent" w:hAnsi="Arabic Transparent" w:cs="Arabic Transparent" w:hint="cs"/>
          <w:sz w:val="24"/>
          <w:szCs w:val="24"/>
          <w:rtl/>
          <w:lang w:bidi="ar-JO"/>
        </w:rPr>
        <w:t>، مصدر سابق، ج5، ص326، وقول عند المالكية</w:t>
      </w:r>
      <w:r w:rsidR="005D7B91" w:rsidRPr="002273BC">
        <w:rPr>
          <w:rFonts w:ascii="Arabic Transparent" w:hAnsi="Arabic Transparent" w:cs="Arabic Transparent" w:hint="cs"/>
          <w:sz w:val="24"/>
          <w:szCs w:val="24"/>
          <w:rtl/>
          <w:lang w:bidi="ar-JO"/>
        </w:rPr>
        <w:t xml:space="preserve">: </w:t>
      </w:r>
      <w:r w:rsidR="002D0FD0">
        <w:rPr>
          <w:rFonts w:ascii="Arabic Transparent" w:hAnsi="Arabic Transparent" w:cs="Arabic Transparent" w:hint="cs"/>
          <w:sz w:val="24"/>
          <w:szCs w:val="24"/>
          <w:rtl/>
          <w:lang w:bidi="ar-JO"/>
        </w:rPr>
        <w:t xml:space="preserve">انظر: </w:t>
      </w:r>
      <w:r w:rsidRPr="002273BC">
        <w:rPr>
          <w:rFonts w:ascii="Arabic Transparent" w:hAnsi="Arabic Transparent" w:cs="Arabic Transparent" w:hint="cs"/>
          <w:sz w:val="24"/>
          <w:szCs w:val="24"/>
          <w:rtl/>
          <w:lang w:bidi="ar-JO"/>
        </w:rPr>
        <w:t xml:space="preserve">الحطاب، </w:t>
      </w:r>
      <w:r w:rsidRPr="002273BC">
        <w:rPr>
          <w:rFonts w:ascii="Arabic Transparent" w:hAnsi="Arabic Transparent" w:cs="Arabic Transparent" w:hint="cs"/>
          <w:b/>
          <w:bCs/>
          <w:sz w:val="24"/>
          <w:szCs w:val="24"/>
          <w:rtl/>
          <w:lang w:bidi="ar-JO"/>
        </w:rPr>
        <w:t>مواهب الجليل،</w:t>
      </w:r>
      <w:r w:rsidRPr="002273BC">
        <w:rPr>
          <w:rFonts w:ascii="Arabic Transparent" w:hAnsi="Arabic Transparent" w:cs="Arabic Transparent" w:hint="cs"/>
          <w:sz w:val="24"/>
          <w:szCs w:val="24"/>
          <w:rtl/>
          <w:lang w:bidi="ar-JO"/>
        </w:rPr>
        <w:t xml:space="preserve"> مصدر سابق، ج4، ص404، ورواية عند الحنابلة: المرداوي، </w:t>
      </w:r>
      <w:r w:rsidRPr="002273BC">
        <w:rPr>
          <w:rFonts w:ascii="Arabic Transparent" w:hAnsi="Arabic Transparent" w:cs="Arabic Transparent" w:hint="cs"/>
          <w:b/>
          <w:bCs/>
          <w:sz w:val="24"/>
          <w:szCs w:val="24"/>
          <w:rtl/>
          <w:lang w:bidi="ar-JO"/>
        </w:rPr>
        <w:t>الإنصاف</w:t>
      </w:r>
      <w:r w:rsidRPr="002273BC">
        <w:rPr>
          <w:rFonts w:ascii="Arabic Transparent" w:hAnsi="Arabic Transparent" w:cs="Arabic Transparent" w:hint="cs"/>
          <w:sz w:val="24"/>
          <w:szCs w:val="24"/>
          <w:rtl/>
          <w:lang w:bidi="ar-JO"/>
        </w:rPr>
        <w:t>، مصدر سابق، ص306.</w:t>
      </w:r>
    </w:p>
  </w:footnote>
  <w:footnote w:id="746">
    <w:p w14:paraId="01718529"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انظر: الكيلاني، </w:t>
      </w:r>
      <w:r w:rsidRPr="002273BC">
        <w:rPr>
          <w:rFonts w:ascii="Arabic Transparent" w:hAnsi="Arabic Transparent" w:cs="Arabic Transparent" w:hint="cs"/>
          <w:b/>
          <w:bCs/>
          <w:sz w:val="24"/>
          <w:szCs w:val="24"/>
          <w:rtl/>
          <w:lang w:bidi="ar-JO"/>
        </w:rPr>
        <w:t>أثر الاختلاف في تحقيق المناط في اختلاف المجتهدين، نماذج دالة قديمة ومعاصرة</w:t>
      </w:r>
      <w:r w:rsidRPr="002273BC">
        <w:rPr>
          <w:rFonts w:ascii="Arabic Transparent" w:hAnsi="Arabic Transparent" w:cs="Arabic Transparent" w:hint="cs"/>
          <w:sz w:val="24"/>
          <w:szCs w:val="24"/>
          <w:rtl/>
          <w:lang w:bidi="ar-JO"/>
        </w:rPr>
        <w:t>، مصدر سابق، ص10.</w:t>
      </w:r>
    </w:p>
  </w:footnote>
  <w:footnote w:id="747">
    <w:p w14:paraId="7B0E2519"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القضاة، موسى مصطفى (2016م). </w:t>
      </w:r>
      <w:r w:rsidRPr="002273BC">
        <w:rPr>
          <w:rFonts w:ascii="Arabic Transparent" w:hAnsi="Arabic Transparent" w:cs="Arabic Transparent" w:hint="cs"/>
          <w:b/>
          <w:bCs/>
          <w:sz w:val="24"/>
          <w:szCs w:val="24"/>
          <w:rtl/>
          <w:lang w:bidi="ar-JO"/>
        </w:rPr>
        <w:t>بيع العينة عند الشافعية</w:t>
      </w:r>
      <w:r w:rsidRPr="002273BC">
        <w:rPr>
          <w:rFonts w:ascii="Arabic Transparent" w:hAnsi="Arabic Transparent" w:cs="Arabic Transparent" w:hint="cs"/>
          <w:sz w:val="24"/>
          <w:szCs w:val="24"/>
          <w:rtl/>
          <w:lang w:bidi="ar-JO"/>
        </w:rPr>
        <w:t>، مجلة مؤتة للبحوث والدراسات، سلسلة العلوم الإنسانية والاجتماعية، مج31، ع2، جامعة مؤتة، الأردن.</w:t>
      </w:r>
    </w:p>
  </w:footnote>
  <w:footnote w:id="748">
    <w:p w14:paraId="68B21A8E"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انظر: الحنيطي، </w:t>
      </w:r>
      <w:r w:rsidRPr="002273BC">
        <w:rPr>
          <w:rFonts w:ascii="Arabic Transparent" w:hAnsi="Arabic Transparent" w:cs="Arabic Transparent" w:hint="cs"/>
          <w:b/>
          <w:bCs/>
          <w:sz w:val="24"/>
          <w:szCs w:val="24"/>
          <w:rtl/>
          <w:lang w:bidi="ar-JO"/>
        </w:rPr>
        <w:t>بيع العينة والتورق: دراسة تطبيقية على المصارف الإسلامية</w:t>
      </w:r>
      <w:r w:rsidRPr="002273BC">
        <w:rPr>
          <w:rFonts w:ascii="Arabic Transparent" w:hAnsi="Arabic Transparent" w:cs="Arabic Transparent" w:hint="cs"/>
          <w:sz w:val="24"/>
          <w:szCs w:val="24"/>
          <w:rtl/>
          <w:lang w:bidi="ar-JO"/>
        </w:rPr>
        <w:t>، مصدر سابق، ص138.</w:t>
      </w:r>
    </w:p>
  </w:footnote>
  <w:footnote w:id="749">
    <w:p w14:paraId="13B1A350"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انظر: مجلس مجمع الفقه الإسلامي الدولي. قرار رقم 179 (19/5): </w:t>
      </w:r>
      <w:r w:rsidRPr="002273BC">
        <w:rPr>
          <w:rFonts w:ascii="Arabic Transparent" w:hAnsi="Arabic Transparent" w:cs="Arabic Transparent" w:hint="cs"/>
          <w:b/>
          <w:bCs/>
          <w:sz w:val="24"/>
          <w:szCs w:val="24"/>
          <w:rtl/>
          <w:lang w:bidi="ar-JO"/>
        </w:rPr>
        <w:t xml:space="preserve">بشأن التورق: حقيقته، أنواعه (الفقهي المعروف والمصرفي المنظم)، </w:t>
      </w:r>
      <w:r w:rsidRPr="002273BC">
        <w:rPr>
          <w:rFonts w:ascii="Arabic Transparent" w:hAnsi="Arabic Transparent" w:cs="Arabic Transparent" w:hint="cs"/>
          <w:sz w:val="24"/>
          <w:szCs w:val="24"/>
          <w:rtl/>
          <w:lang w:bidi="ar-JO"/>
        </w:rPr>
        <w:t>مصدر سابق.</w:t>
      </w:r>
    </w:p>
  </w:footnote>
  <w:footnote w:id="750">
    <w:p w14:paraId="20D2F2DB" w14:textId="3F188D12"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002D0FD0">
        <w:rPr>
          <w:rFonts w:ascii="Arabic Transparent" w:hAnsi="Arabic Transparent" w:cs="Arabic Transparent" w:hint="cs"/>
          <w:sz w:val="24"/>
          <w:szCs w:val="24"/>
          <w:rtl/>
        </w:rPr>
        <w:t xml:space="preserve">انظر: </w:t>
      </w:r>
      <w:r w:rsidRPr="002273BC">
        <w:rPr>
          <w:rFonts w:ascii="Arabic Transparent" w:hAnsi="Arabic Transparent" w:cs="Arabic Transparent" w:hint="cs"/>
          <w:sz w:val="24"/>
          <w:szCs w:val="24"/>
          <w:rtl/>
          <w:lang w:bidi="ar-JO"/>
        </w:rPr>
        <w:t>هيئة الرقابة الشرعية للبنك الإسلامي الأردني (2024م). الفتاوى الشرعية 2024م</w:t>
      </w:r>
      <w:r w:rsidRPr="002273BC">
        <w:rPr>
          <w:rFonts w:ascii="Arabic Transparent" w:hAnsi="Arabic Transparent" w:cs="Arabic Transparent" w:hint="cs"/>
          <w:b/>
          <w:bCs/>
          <w:sz w:val="24"/>
          <w:szCs w:val="24"/>
          <w:rtl/>
          <w:lang w:bidi="ar-JO"/>
        </w:rPr>
        <w:t>، حكم مرابحة الأسهم،</w:t>
      </w:r>
      <w:r w:rsidRPr="002273BC">
        <w:rPr>
          <w:rFonts w:ascii="Arabic Transparent" w:hAnsi="Arabic Transparent" w:cs="Arabic Transparent" w:hint="cs"/>
          <w:sz w:val="24"/>
          <w:szCs w:val="24"/>
          <w:rtl/>
          <w:lang w:bidi="ar-JO"/>
        </w:rPr>
        <w:t xml:space="preserve"> قرار الهيئة رقم 5/1/2024، عمان.</w:t>
      </w:r>
    </w:p>
  </w:footnote>
  <w:footnote w:id="751">
    <w:p w14:paraId="57BB7746" w14:textId="578BEE8F"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002D0FD0">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sz w:val="24"/>
          <w:szCs w:val="24"/>
          <w:rtl/>
          <w:lang w:bidi="ar-JO"/>
        </w:rPr>
        <w:t xml:space="preserve">القرضاوي، </w:t>
      </w:r>
      <w:r w:rsidRPr="002273BC">
        <w:rPr>
          <w:rFonts w:ascii="Arabic Transparent" w:hAnsi="Arabic Transparent" w:cs="Arabic Transparent" w:hint="cs"/>
          <w:b/>
          <w:bCs/>
          <w:sz w:val="24"/>
          <w:szCs w:val="24"/>
          <w:rtl/>
          <w:lang w:bidi="ar-JO"/>
        </w:rPr>
        <w:t>القواعد الحاكمة لفقه المعاملات،</w:t>
      </w:r>
      <w:r w:rsidRPr="002273BC">
        <w:rPr>
          <w:rFonts w:ascii="Arabic Transparent" w:hAnsi="Arabic Transparent" w:cs="Arabic Transparent" w:hint="cs"/>
          <w:sz w:val="24"/>
          <w:szCs w:val="24"/>
          <w:rtl/>
          <w:lang w:bidi="ar-JO"/>
        </w:rPr>
        <w:t xml:space="preserve"> مصدر سابق، ص17- 34.</w:t>
      </w:r>
    </w:p>
  </w:footnote>
  <w:footnote w:id="752">
    <w:p w14:paraId="4DDBAFB7"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فلم نؤمر بالكشف عن النيات والبواعث الخفية، فأمرها إلى الله، والمعاملة تجوز عملاً بالظاهر كما بين، الزيعلي، </w:t>
      </w:r>
      <w:r w:rsidRPr="002273BC">
        <w:rPr>
          <w:rFonts w:ascii="Arabic Transparent" w:hAnsi="Arabic Transparent" w:cs="Arabic Transparent" w:hint="cs"/>
          <w:b/>
          <w:bCs/>
          <w:sz w:val="24"/>
          <w:szCs w:val="24"/>
          <w:rtl/>
          <w:lang w:bidi="ar-JO"/>
        </w:rPr>
        <w:t>تبيين الحقائق</w:t>
      </w:r>
      <w:r w:rsidRPr="002273BC">
        <w:rPr>
          <w:rFonts w:ascii="Arabic Transparent" w:hAnsi="Arabic Transparent" w:cs="Arabic Transparent" w:hint="cs"/>
          <w:sz w:val="24"/>
          <w:szCs w:val="24"/>
          <w:rtl/>
          <w:lang w:bidi="ar-JO"/>
        </w:rPr>
        <w:t>، مصدر سابق، ج5، ص218.</w:t>
      </w:r>
    </w:p>
  </w:footnote>
  <w:footnote w:id="753">
    <w:p w14:paraId="7FF0DFE9"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انظر: العنزي، مرضي بن مشوح. (2015). </w:t>
      </w:r>
      <w:r w:rsidRPr="002273BC">
        <w:rPr>
          <w:rFonts w:ascii="Arabic Transparent" w:hAnsi="Arabic Transparent" w:cs="Arabic Transparent" w:hint="cs"/>
          <w:b/>
          <w:bCs/>
          <w:sz w:val="24"/>
          <w:szCs w:val="24"/>
          <w:rtl/>
          <w:lang w:bidi="ar-JO"/>
        </w:rPr>
        <w:t>فقه الهندسة المالية الإسلامية</w:t>
      </w:r>
      <w:r w:rsidRPr="002273BC">
        <w:rPr>
          <w:rFonts w:ascii="Arabic Transparent" w:hAnsi="Arabic Transparent" w:cs="Arabic Transparent" w:hint="cs"/>
          <w:sz w:val="24"/>
          <w:szCs w:val="24"/>
          <w:rtl/>
          <w:lang w:bidi="ar-JO"/>
        </w:rPr>
        <w:t>: دراسة تأصيلية تطبيقية، ط1، ص139، الرياض: دار كنوز إشبيليا للنشر والتوزيع.</w:t>
      </w:r>
    </w:p>
  </w:footnote>
  <w:footnote w:id="754">
    <w:p w14:paraId="56CAE514"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الزحيلي، </w:t>
      </w:r>
      <w:r w:rsidRPr="002273BC">
        <w:rPr>
          <w:rFonts w:ascii="Arabic Transparent" w:hAnsi="Arabic Transparent" w:cs="Arabic Transparent" w:hint="cs"/>
          <w:b/>
          <w:bCs/>
          <w:sz w:val="24"/>
          <w:szCs w:val="24"/>
          <w:rtl/>
          <w:lang w:bidi="ar-JO"/>
        </w:rPr>
        <w:t>الفقه الإسلامي وأدلته</w:t>
      </w:r>
      <w:r w:rsidRPr="002273BC">
        <w:rPr>
          <w:rFonts w:ascii="Arabic Transparent" w:hAnsi="Arabic Transparent" w:cs="Arabic Transparent" w:hint="cs"/>
          <w:sz w:val="24"/>
          <w:szCs w:val="24"/>
          <w:rtl/>
          <w:lang w:bidi="ar-JO"/>
        </w:rPr>
        <w:t>، مصدر سابق، ج1، ص24.</w:t>
      </w:r>
    </w:p>
  </w:footnote>
  <w:footnote w:id="755">
    <w:p w14:paraId="40C31EC9" w14:textId="12165DCA"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أب</w:t>
      </w:r>
      <w:r w:rsidR="002D0FD0">
        <w:rPr>
          <w:rFonts w:ascii="Arabic Transparent" w:hAnsi="Arabic Transparent" w:cs="Arabic Transparent" w:hint="cs"/>
          <w:sz w:val="24"/>
          <w:szCs w:val="24"/>
          <w:rtl/>
          <w:lang w:bidi="ar-JO"/>
        </w:rPr>
        <w:t>و</w:t>
      </w:r>
      <w:r w:rsidRPr="002273BC">
        <w:rPr>
          <w:rFonts w:ascii="Arabic Transparent" w:hAnsi="Arabic Transparent" w:cs="Arabic Transparent" w:hint="cs"/>
          <w:sz w:val="24"/>
          <w:szCs w:val="24"/>
          <w:rtl/>
          <w:lang w:bidi="ar-JO"/>
        </w:rPr>
        <w:t xml:space="preserve"> الخيل، محمد بن أحمد (2013)، </w:t>
      </w:r>
      <w:r w:rsidRPr="002273BC">
        <w:rPr>
          <w:rFonts w:ascii="Arabic Transparent" w:hAnsi="Arabic Transparent" w:cs="Arabic Transparent" w:hint="cs"/>
          <w:b/>
          <w:bCs/>
          <w:sz w:val="24"/>
          <w:szCs w:val="24"/>
          <w:rtl/>
          <w:lang w:bidi="ar-JO"/>
        </w:rPr>
        <w:t>الرخص في المعاملات وفقه الأسرة</w:t>
      </w:r>
      <w:r w:rsidRPr="002273BC">
        <w:rPr>
          <w:rFonts w:ascii="Arabic Transparent" w:hAnsi="Arabic Transparent" w:cs="Arabic Transparent" w:hint="cs"/>
          <w:sz w:val="24"/>
          <w:szCs w:val="24"/>
          <w:rtl/>
          <w:lang w:bidi="ar-JO"/>
        </w:rPr>
        <w:t>،</w:t>
      </w:r>
      <w:r w:rsidR="009502F9" w:rsidRPr="002273BC">
        <w:rPr>
          <w:rFonts w:ascii="Arabic Transparent" w:hAnsi="Arabic Transparent" w:cs="Arabic Transparent" w:hint="cs"/>
          <w:sz w:val="24"/>
          <w:szCs w:val="24"/>
          <w:rtl/>
          <w:lang w:bidi="ar-JO"/>
        </w:rPr>
        <w:t>،</w:t>
      </w:r>
      <w:r w:rsidRPr="002273BC">
        <w:rPr>
          <w:rFonts w:ascii="Arabic Transparent" w:hAnsi="Arabic Transparent" w:cs="Arabic Transparent" w:hint="cs"/>
          <w:sz w:val="24"/>
          <w:szCs w:val="24"/>
          <w:rtl/>
          <w:lang w:bidi="ar-JO"/>
        </w:rPr>
        <w:t xml:space="preserve"> ط1، ص33، دار كنوز إشبيليا، الرياض.</w:t>
      </w:r>
    </w:p>
  </w:footnote>
  <w:footnote w:id="756">
    <w:p w14:paraId="1880DBCA" w14:textId="43162F11"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تحدث الباحث عن أصول ضبط التفاوت في المعاملات المعاصرة ومن جملة الضوابط، جواز التلفيق والحيل بضوابط محددة للتوسعة على الناس ورفع الحرج عنهم، </w:t>
      </w:r>
      <w:r w:rsidR="002D0FD0">
        <w:rPr>
          <w:rFonts w:ascii="Arabic Transparent" w:hAnsi="Arabic Transparent" w:cs="Arabic Transparent" w:hint="cs"/>
          <w:sz w:val="24"/>
          <w:szCs w:val="24"/>
          <w:rtl/>
          <w:lang w:bidi="ar-JO"/>
        </w:rPr>
        <w:t>سبق ذكره،</w:t>
      </w:r>
      <w:r w:rsidRPr="002273BC">
        <w:rPr>
          <w:rFonts w:ascii="Arabic Transparent" w:hAnsi="Arabic Transparent" w:cs="Arabic Transparent" w:hint="cs"/>
          <w:sz w:val="24"/>
          <w:szCs w:val="24"/>
          <w:rtl/>
          <w:lang w:bidi="ar-JO"/>
        </w:rPr>
        <w:t xml:space="preserve"> ص 1</w:t>
      </w:r>
      <w:r w:rsidR="002D0FD0">
        <w:rPr>
          <w:rFonts w:ascii="Arabic Transparent" w:hAnsi="Arabic Transparent" w:cs="Arabic Transparent" w:hint="cs"/>
          <w:sz w:val="24"/>
          <w:szCs w:val="24"/>
          <w:rtl/>
          <w:lang w:bidi="ar-JO"/>
        </w:rPr>
        <w:t>3</w:t>
      </w:r>
      <w:r w:rsidRPr="002273BC">
        <w:rPr>
          <w:rFonts w:ascii="Arabic Transparent" w:hAnsi="Arabic Transparent" w:cs="Arabic Transparent" w:hint="cs"/>
          <w:sz w:val="24"/>
          <w:szCs w:val="24"/>
          <w:rtl/>
          <w:lang w:bidi="ar-JO"/>
        </w:rPr>
        <w:t>4.</w:t>
      </w:r>
    </w:p>
  </w:footnote>
  <w:footnote w:id="757">
    <w:p w14:paraId="227C94E6" w14:textId="04D9F92D" w:rsidR="00201DD5" w:rsidRPr="002273BC" w:rsidRDefault="00201DD5" w:rsidP="00EA3738">
      <w:pPr>
        <w:pStyle w:val="FootnoteText"/>
        <w:spacing w:line="360" w:lineRule="auto"/>
        <w:jc w:val="both"/>
        <w:rPr>
          <w:rFonts w:ascii="Arabic Transparent" w:hAnsi="Arabic Transparent" w:cs="Arabic Transparent"/>
          <w:sz w:val="24"/>
          <w:szCs w:val="24"/>
          <w:rtl/>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001D5402">
        <w:rPr>
          <w:rFonts w:ascii="Arabic Transparent" w:hAnsi="Arabic Transparent" w:cs="Arabic Transparent" w:hint="cs"/>
          <w:sz w:val="24"/>
          <w:szCs w:val="24"/>
          <w:rtl/>
        </w:rPr>
        <w:t>سبق ذكره انظر: ص103.</w:t>
      </w:r>
    </w:p>
  </w:footnote>
  <w:footnote w:id="758">
    <w:p w14:paraId="2068FE18" w14:textId="485D6F2C"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فهمي، </w:t>
      </w:r>
      <w:r w:rsidRPr="002273BC">
        <w:rPr>
          <w:rFonts w:ascii="Arabic Transparent" w:hAnsi="Arabic Transparent" w:cs="Arabic Transparent" w:hint="cs"/>
          <w:b/>
          <w:bCs/>
          <w:sz w:val="24"/>
          <w:szCs w:val="24"/>
          <w:rtl/>
          <w:lang w:bidi="ar-JO"/>
        </w:rPr>
        <w:t xml:space="preserve">بحوث الدورة التاسعة عشر </w:t>
      </w:r>
      <w:r w:rsidR="009502F9" w:rsidRPr="002273BC">
        <w:rPr>
          <w:rFonts w:ascii="Arabic Transparent" w:hAnsi="Arabic Transparent" w:cs="Arabic Transparent" w:hint="cs"/>
          <w:b/>
          <w:bCs/>
          <w:sz w:val="24"/>
          <w:szCs w:val="24"/>
          <w:rtl/>
          <w:lang w:bidi="ar-JO"/>
        </w:rPr>
        <w:t>المقدمة لمجلة</w:t>
      </w:r>
      <w:r w:rsidRPr="002273BC">
        <w:rPr>
          <w:rFonts w:ascii="Arabic Transparent" w:hAnsi="Arabic Transparent" w:cs="Arabic Transparent" w:hint="cs"/>
          <w:b/>
          <w:bCs/>
          <w:sz w:val="24"/>
          <w:szCs w:val="24"/>
          <w:rtl/>
          <w:lang w:bidi="ar-JO"/>
        </w:rPr>
        <w:t xml:space="preserve"> الفقه الإسلامي الدولي</w:t>
      </w:r>
      <w:r w:rsidRPr="002273BC">
        <w:rPr>
          <w:rFonts w:ascii="Arabic Transparent" w:hAnsi="Arabic Transparent" w:cs="Arabic Transparent" w:hint="cs"/>
          <w:sz w:val="24"/>
          <w:szCs w:val="24"/>
          <w:rtl/>
          <w:lang w:bidi="ar-JO"/>
        </w:rPr>
        <w:t>، مصدر سابق، ص233.</w:t>
      </w:r>
    </w:p>
  </w:footnote>
  <w:footnote w:id="759">
    <w:p w14:paraId="76E89D95" w14:textId="55107470"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001D5402">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القرضاوي، </w:t>
      </w:r>
      <w:r w:rsidRPr="002273BC">
        <w:rPr>
          <w:rFonts w:ascii="Arabic Transparent" w:hAnsi="Arabic Transparent" w:cs="Arabic Transparent" w:hint="cs"/>
          <w:b/>
          <w:bCs/>
          <w:sz w:val="24"/>
          <w:szCs w:val="24"/>
          <w:rtl/>
          <w:lang w:bidi="ar-JO"/>
        </w:rPr>
        <w:t>القواعد الحاكمة لفقه المعاملات</w:t>
      </w:r>
      <w:r w:rsidRPr="002273BC">
        <w:rPr>
          <w:rFonts w:ascii="Arabic Transparent" w:hAnsi="Arabic Transparent" w:cs="Arabic Transparent" w:hint="cs"/>
          <w:sz w:val="24"/>
          <w:szCs w:val="24"/>
          <w:rtl/>
          <w:lang w:bidi="ar-JO"/>
        </w:rPr>
        <w:t xml:space="preserve">، مصدر سابق، ص17- 34، وكان في هيئات الفتوى لدى بعض البنوك مثل بنك قطر الإسلامي، وفيما بعد جرى التعامل بالتورق بالأسهم، للاطلاع على التفاصيل: مصرف قطر الإسلامي منتج التمويل بالأسهم: </w:t>
      </w:r>
      <w:hyperlink r:id="rId7" w:history="1">
        <w:r w:rsidRPr="002273BC">
          <w:rPr>
            <w:rStyle w:val="Hyperlink"/>
            <w:rFonts w:ascii="Arabic Transparent" w:hAnsi="Arabic Transparent" w:cs="Arabic Transparent" w:hint="cs"/>
            <w:sz w:val="24"/>
            <w:szCs w:val="24"/>
            <w:lang w:bidi="ar-JO"/>
          </w:rPr>
          <w:t>https://www.qib.com.qa/ar/investorrelations/share-information/share-series</w:t>
        </w:r>
        <w:r w:rsidRPr="002273BC">
          <w:rPr>
            <w:rStyle w:val="Hyperlink"/>
            <w:rFonts w:ascii="Arabic Transparent" w:hAnsi="Arabic Transparent" w:cs="Arabic Transparent" w:hint="cs"/>
            <w:sz w:val="24"/>
            <w:szCs w:val="24"/>
            <w:rtl/>
            <w:lang w:bidi="ar-JO"/>
          </w:rPr>
          <w:t>/</w:t>
        </w:r>
      </w:hyperlink>
      <w:r w:rsidRPr="002273BC">
        <w:rPr>
          <w:rFonts w:ascii="Arabic Transparent" w:hAnsi="Arabic Transparent" w:cs="Arabic Transparent" w:hint="cs"/>
          <w:sz w:val="24"/>
          <w:szCs w:val="24"/>
          <w:rtl/>
          <w:lang w:bidi="ar-JO"/>
        </w:rPr>
        <w:t xml:space="preserve"> تاريخ الاطلاع: 14/3/2026.</w:t>
      </w:r>
    </w:p>
  </w:footnote>
  <w:footnote w:id="760">
    <w:p w14:paraId="54F2462D"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انظر: </w:t>
      </w:r>
      <w:r w:rsidRPr="002273BC">
        <w:rPr>
          <w:rFonts w:ascii="Arabic Transparent" w:hAnsi="Arabic Transparent" w:cs="Arabic Transparent" w:hint="cs"/>
          <w:sz w:val="24"/>
          <w:szCs w:val="24"/>
          <w:rtl/>
          <w:lang w:bidi="ar-JO"/>
        </w:rPr>
        <w:t>صلاح، عبد الفتاح محمد (2022م</w:t>
      </w:r>
      <w:r w:rsidRPr="002273BC">
        <w:rPr>
          <w:rFonts w:ascii="Arabic Transparent" w:hAnsi="Arabic Transparent" w:cs="Arabic Transparent" w:hint="cs"/>
          <w:b/>
          <w:bCs/>
          <w:sz w:val="24"/>
          <w:szCs w:val="24"/>
          <w:rtl/>
          <w:lang w:bidi="ar-JO"/>
        </w:rPr>
        <w:t>). سلسلة مقالات ضبط المفاهيم الاقتصادية وفق منهج الاقتصاد الإسلامي</w:t>
      </w:r>
      <w:r w:rsidRPr="002273BC">
        <w:rPr>
          <w:rFonts w:ascii="Arabic Transparent" w:hAnsi="Arabic Transparent" w:cs="Arabic Transparent" w:hint="cs"/>
          <w:sz w:val="24"/>
          <w:szCs w:val="24"/>
          <w:rtl/>
          <w:lang w:bidi="ar-JO"/>
        </w:rPr>
        <w:t xml:space="preserve"> (11): مفهوم التمويل المنظم، موقع الاقتصاد العادل، نُشر بتاريخ 9/8/2022م، متاح على: </w:t>
      </w:r>
      <w:r w:rsidRPr="002273BC">
        <w:rPr>
          <w:rFonts w:ascii="Arabic Transparent" w:hAnsi="Arabic Transparent" w:cs="Arabic Transparent" w:hint="cs"/>
          <w:sz w:val="24"/>
          <w:szCs w:val="24"/>
          <w:lang w:bidi="ar-JO"/>
        </w:rPr>
        <w:t>https://thefaireconomy.org/?p=779</w:t>
      </w:r>
    </w:p>
  </w:footnote>
  <w:footnote w:id="761">
    <w:p w14:paraId="6D7B1FA9" w14:textId="5C32F842"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lang w:bidi="ar-JO"/>
        </w:rPr>
        <w:t xml:space="preserve"> المجلس الأوروبي للإفتاء والبحوث (2018). قرار رقم (2/19): </w:t>
      </w:r>
      <w:r w:rsidRPr="002273BC">
        <w:rPr>
          <w:rFonts w:ascii="Arabic Transparent" w:hAnsi="Arabic Transparent" w:cs="Arabic Transparent" w:hint="cs"/>
          <w:b/>
          <w:bCs/>
          <w:sz w:val="24"/>
          <w:szCs w:val="24"/>
          <w:rtl/>
          <w:lang w:bidi="ar-JO"/>
        </w:rPr>
        <w:t>حكم التورق</w:t>
      </w:r>
      <w:r w:rsidRPr="002273BC">
        <w:rPr>
          <w:rFonts w:ascii="Arabic Transparent" w:hAnsi="Arabic Transparent" w:cs="Arabic Transparent" w:hint="cs"/>
          <w:sz w:val="24"/>
          <w:szCs w:val="24"/>
          <w:rtl/>
          <w:lang w:bidi="ar-JO"/>
        </w:rPr>
        <w:t>، رقم الفتوى: 4205</w:t>
      </w:r>
      <w:r w:rsidR="005D7B91" w:rsidRPr="002273BC">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sz w:val="24"/>
          <w:szCs w:val="24"/>
          <w:rtl/>
          <w:lang w:bidi="ar-JO"/>
        </w:rPr>
        <w:t>مصدر سابق</w:t>
      </w:r>
      <w:r w:rsidR="00AD51D4" w:rsidRPr="002273BC">
        <w:rPr>
          <w:rFonts w:ascii="Arabic Transparent" w:hAnsi="Arabic Transparent" w:cs="Arabic Transparent" w:hint="cs"/>
          <w:sz w:val="24"/>
          <w:szCs w:val="24"/>
          <w:rtl/>
          <w:lang w:bidi="ar-JO"/>
        </w:rPr>
        <w:t xml:space="preserve">، تاريخ الاطلاع 23/3/ 2026م على الرابط: </w:t>
      </w:r>
      <w:r w:rsidR="00AD51D4" w:rsidRPr="002273BC">
        <w:rPr>
          <w:rFonts w:ascii="Arabic Transparent" w:hAnsi="Arabic Transparent" w:cs="Arabic Transparent"/>
          <w:sz w:val="24"/>
          <w:szCs w:val="24"/>
          <w:lang w:bidi="ar-JO"/>
        </w:rPr>
        <w:t>https://www.e-cfr.org/blog/2018</w:t>
      </w:r>
    </w:p>
  </w:footnote>
  <w:footnote w:id="762">
    <w:p w14:paraId="277A8524" w14:textId="4FAFBC99"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ا</w:t>
      </w:r>
      <w:r w:rsidR="001D5402">
        <w:rPr>
          <w:rFonts w:ascii="Arabic Transparent" w:hAnsi="Arabic Transparent" w:cs="Arabic Transparent" w:hint="cs"/>
          <w:sz w:val="24"/>
          <w:szCs w:val="24"/>
          <w:rtl/>
          <w:lang w:bidi="ar-JO"/>
        </w:rPr>
        <w:t xml:space="preserve">انظر: </w:t>
      </w:r>
      <w:r w:rsidRPr="002273BC">
        <w:rPr>
          <w:rFonts w:ascii="Arabic Transparent" w:hAnsi="Arabic Transparent" w:cs="Arabic Transparent" w:hint="cs"/>
          <w:sz w:val="24"/>
          <w:szCs w:val="24"/>
          <w:rtl/>
          <w:lang w:bidi="ar-JO"/>
        </w:rPr>
        <w:t xml:space="preserve">للجنة الدائمة للبحوث العلمية والإفتاء، </w:t>
      </w:r>
      <w:r w:rsidRPr="002273BC">
        <w:rPr>
          <w:rFonts w:ascii="Arabic Transparent" w:hAnsi="Arabic Transparent" w:cs="Arabic Transparent" w:hint="cs"/>
          <w:b/>
          <w:bCs/>
          <w:sz w:val="24"/>
          <w:szCs w:val="24"/>
          <w:rtl/>
          <w:lang w:bidi="ar-JO"/>
        </w:rPr>
        <w:t>الفرق بين التقسيط والتورق،</w:t>
      </w:r>
      <w:r w:rsidRPr="002273BC">
        <w:rPr>
          <w:rFonts w:ascii="Arabic Transparent" w:hAnsi="Arabic Transparent" w:cs="Arabic Transparent" w:hint="cs"/>
          <w:sz w:val="24"/>
          <w:szCs w:val="24"/>
          <w:rtl/>
          <w:lang w:bidi="ar-JO"/>
        </w:rPr>
        <w:t xml:space="preserve"> الفتوى رقم 16402، مصدر سابق.</w:t>
      </w:r>
    </w:p>
  </w:footnote>
  <w:footnote w:id="763">
    <w:p w14:paraId="22527B8A" w14:textId="454A4F7C" w:rsidR="00201DD5" w:rsidRPr="002273BC" w:rsidRDefault="00201DD5" w:rsidP="00EA3738">
      <w:pPr>
        <w:pStyle w:val="FootnoteText"/>
        <w:spacing w:line="360" w:lineRule="auto"/>
        <w:jc w:val="both"/>
        <w:rPr>
          <w:rFonts w:ascii="Arabic Transparent" w:hAnsi="Arabic Transparent" w:cs="Arabic Transparent"/>
          <w:sz w:val="24"/>
          <w:szCs w:val="24"/>
          <w:rtl/>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00D41725">
        <w:rPr>
          <w:rFonts w:ascii="Arabic Transparent" w:hAnsi="Arabic Transparent" w:cs="Arabic Transparent" w:hint="cs"/>
          <w:sz w:val="24"/>
          <w:szCs w:val="24"/>
          <w:rtl/>
        </w:rPr>
        <w:t>سبق ذكره انظر: ص134.</w:t>
      </w:r>
    </w:p>
  </w:footnote>
  <w:footnote w:id="764">
    <w:p w14:paraId="515A1F38"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تحدث عن حالة البنك الأهلي الإسلامي، والبنك الراجح وخلص إلى جواز صور التورق فيهما ضمن الضوابط المنصوص عليها، انظر: الحيد، </w:t>
      </w:r>
      <w:r w:rsidRPr="002273BC">
        <w:rPr>
          <w:rFonts w:ascii="Arabic Transparent" w:hAnsi="Arabic Transparent" w:cs="Arabic Transparent" w:hint="cs"/>
          <w:b/>
          <w:bCs/>
          <w:sz w:val="24"/>
          <w:szCs w:val="24"/>
          <w:rtl/>
          <w:lang w:bidi="ar-JO"/>
        </w:rPr>
        <w:t>التورق المنظم دراسة فقهية تطبيقية</w:t>
      </w:r>
      <w:r w:rsidRPr="002273BC">
        <w:rPr>
          <w:rFonts w:ascii="Arabic Transparent" w:hAnsi="Arabic Transparent" w:cs="Arabic Transparent" w:hint="cs"/>
          <w:sz w:val="24"/>
          <w:szCs w:val="24"/>
          <w:rtl/>
          <w:lang w:bidi="ar-JO"/>
        </w:rPr>
        <w:t>، مصدر سابق، مج27، ع2، ص1749.</w:t>
      </w:r>
    </w:p>
  </w:footnote>
  <w:footnote w:id="765">
    <w:p w14:paraId="096C8921" w14:textId="427CE81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ا</w:t>
      </w:r>
      <w:r w:rsidRPr="002273BC">
        <w:rPr>
          <w:rFonts w:ascii="Arabic Transparent" w:hAnsi="Arabic Transparent" w:cs="Arabic Transparent" w:hint="cs"/>
          <w:sz w:val="24"/>
          <w:szCs w:val="24"/>
          <w:rtl/>
          <w:lang w:bidi="ar-JO"/>
        </w:rPr>
        <w:t xml:space="preserve">بن القيم، </w:t>
      </w:r>
      <w:r w:rsidRPr="002273BC">
        <w:rPr>
          <w:rFonts w:ascii="Arabic Transparent" w:hAnsi="Arabic Transparent" w:cs="Arabic Transparent" w:hint="cs"/>
          <w:b/>
          <w:bCs/>
          <w:sz w:val="24"/>
          <w:szCs w:val="24"/>
          <w:rtl/>
          <w:lang w:bidi="ar-JO"/>
        </w:rPr>
        <w:t>إعلام الموقعين عن رب العالمين</w:t>
      </w:r>
      <w:r w:rsidRPr="002273BC">
        <w:rPr>
          <w:rFonts w:ascii="Arabic Transparent" w:hAnsi="Arabic Transparent" w:cs="Arabic Transparent" w:hint="cs"/>
          <w:sz w:val="24"/>
          <w:szCs w:val="24"/>
          <w:rtl/>
          <w:lang w:bidi="ar-JO"/>
        </w:rPr>
        <w:t>، مصدر سابق، ج5</w:t>
      </w:r>
      <w:r w:rsidR="005D7B91" w:rsidRPr="002273BC">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sz w:val="24"/>
          <w:szCs w:val="24"/>
          <w:rtl/>
          <w:lang w:bidi="ar-JO"/>
        </w:rPr>
        <w:t>ص288.</w:t>
      </w:r>
    </w:p>
  </w:footnote>
  <w:footnote w:id="766">
    <w:p w14:paraId="23D56C0A"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انظر: ابن نجيم، </w:t>
      </w:r>
      <w:r w:rsidRPr="002273BC">
        <w:rPr>
          <w:rFonts w:ascii="Arabic Transparent" w:hAnsi="Arabic Transparent" w:cs="Arabic Transparent" w:hint="cs"/>
          <w:b/>
          <w:bCs/>
          <w:sz w:val="24"/>
          <w:szCs w:val="24"/>
          <w:rtl/>
          <w:lang w:bidi="ar-JO"/>
        </w:rPr>
        <w:t>الأشباه والنظائر</w:t>
      </w:r>
      <w:r w:rsidRPr="002273BC">
        <w:rPr>
          <w:rFonts w:ascii="Arabic Transparent" w:hAnsi="Arabic Transparent" w:cs="Arabic Transparent" w:hint="cs"/>
          <w:sz w:val="24"/>
          <w:szCs w:val="24"/>
          <w:rtl/>
          <w:lang w:bidi="ar-JO"/>
        </w:rPr>
        <w:t>، مصدر سابق، ص338.</w:t>
      </w:r>
    </w:p>
  </w:footnote>
  <w:footnote w:id="767">
    <w:p w14:paraId="4D9E8630"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انظر: </w:t>
      </w:r>
      <w:r w:rsidRPr="002273BC">
        <w:rPr>
          <w:rFonts w:ascii="Arabic Transparent" w:hAnsi="Arabic Transparent" w:cs="Arabic Transparent" w:hint="cs"/>
          <w:sz w:val="24"/>
          <w:szCs w:val="24"/>
          <w:rtl/>
          <w:lang w:bidi="ar-JO"/>
        </w:rPr>
        <w:t xml:space="preserve">السويلم، سامي (2003). </w:t>
      </w:r>
      <w:r w:rsidRPr="002273BC">
        <w:rPr>
          <w:rFonts w:ascii="Arabic Transparent" w:hAnsi="Arabic Transparent" w:cs="Arabic Transparent" w:hint="cs"/>
          <w:b/>
          <w:bCs/>
          <w:sz w:val="24"/>
          <w:szCs w:val="24"/>
          <w:rtl/>
          <w:lang w:bidi="ar-JO"/>
        </w:rPr>
        <w:t>التورق والتورق المنظم</w:t>
      </w:r>
      <w:r w:rsidRPr="002273BC">
        <w:rPr>
          <w:rFonts w:ascii="Arabic Transparent" w:hAnsi="Arabic Transparent" w:cs="Arabic Transparent" w:hint="cs"/>
          <w:sz w:val="24"/>
          <w:szCs w:val="24"/>
          <w:rtl/>
          <w:lang w:bidi="ar-JO"/>
        </w:rPr>
        <w:t>، ص17-22، بحث مقدم في بحوث الدورة السابعة عشرة للمجمع الفقهي الإسلامي، مكة المكرمة.</w:t>
      </w:r>
    </w:p>
  </w:footnote>
  <w:footnote w:id="768">
    <w:p w14:paraId="558EAF03"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انظر: السويلم، سامي (د.ت)، </w:t>
      </w:r>
      <w:r w:rsidRPr="002273BC">
        <w:rPr>
          <w:rFonts w:ascii="Arabic Transparent" w:hAnsi="Arabic Transparent" w:cs="Arabic Transparent" w:hint="cs"/>
          <w:b/>
          <w:bCs/>
          <w:sz w:val="24"/>
          <w:szCs w:val="24"/>
          <w:rtl/>
          <w:lang w:bidi="ar-JO"/>
        </w:rPr>
        <w:t>"ترويض التَّضَخُّم من منظور التمويل الإسلامي"،</w:t>
      </w:r>
      <w:r w:rsidRPr="002273BC">
        <w:rPr>
          <w:rFonts w:ascii="Arabic Transparent" w:hAnsi="Arabic Transparent" w:cs="Arabic Transparent" w:hint="cs"/>
          <w:sz w:val="24"/>
          <w:szCs w:val="24"/>
          <w:rtl/>
          <w:lang w:bidi="ar-JO"/>
        </w:rPr>
        <w:t xml:space="preserve"> مدونة المعهد الإسلامي للتنمية </w:t>
      </w:r>
      <w:r w:rsidRPr="002273BC">
        <w:rPr>
          <w:rFonts w:ascii="Arabic Transparent" w:hAnsi="Arabic Transparent" w:cs="Arabic Transparent" w:hint="cs"/>
          <w:sz w:val="24"/>
          <w:szCs w:val="24"/>
          <w:lang w:bidi="ar-JO"/>
        </w:rPr>
        <w:t>(IsDBI Blogs)</w:t>
      </w:r>
      <w:r w:rsidRPr="002273BC">
        <w:rPr>
          <w:rFonts w:ascii="Arabic Transparent" w:hAnsi="Arabic Transparent" w:cs="Arabic Transparent" w:hint="cs"/>
          <w:sz w:val="24"/>
          <w:szCs w:val="24"/>
          <w:rtl/>
          <w:lang w:bidi="ar-JO"/>
        </w:rPr>
        <w:t xml:space="preserve">، 2022م، على الرابط: </w:t>
      </w:r>
      <w:r w:rsidRPr="002273BC">
        <w:rPr>
          <w:rFonts w:ascii="Arabic Transparent" w:hAnsi="Arabic Transparent" w:cs="Arabic Transparent" w:hint="cs"/>
          <w:sz w:val="24"/>
          <w:szCs w:val="24"/>
          <w:lang w:bidi="ar-JO"/>
        </w:rPr>
        <w:t>https://blogs.isdbinstitute.org/ar-taming-inflation-an-islamic-finance-perspective</w:t>
      </w:r>
      <w:r w:rsidRPr="002273BC">
        <w:rPr>
          <w:rFonts w:ascii="Arabic Transparent" w:hAnsi="Arabic Transparent" w:cs="Arabic Transparent" w:hint="cs"/>
          <w:sz w:val="24"/>
          <w:szCs w:val="24"/>
          <w:rtl/>
          <w:lang w:bidi="ar-JO"/>
        </w:rPr>
        <w:t xml:space="preserve"> تاريخ الاطلاع: ‏11‏/04‏/2026.</w:t>
      </w:r>
    </w:p>
  </w:footnote>
  <w:footnote w:id="769">
    <w:p w14:paraId="5DDCDC2E" w14:textId="77777777" w:rsidR="00201DD5" w:rsidRPr="002273BC" w:rsidRDefault="00201DD5" w:rsidP="00EA3738">
      <w:pPr>
        <w:pStyle w:val="FootnoteText"/>
        <w:spacing w:line="360" w:lineRule="auto"/>
        <w:jc w:val="both"/>
        <w:rPr>
          <w:rFonts w:ascii="Arabic Transparent" w:hAnsi="Arabic Transparent" w:cs="Arabic Transparent"/>
          <w:sz w:val="24"/>
          <w:szCs w:val="24"/>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lang w:bidi="ar-JO"/>
        </w:rPr>
        <w:t xml:space="preserve">انظر: ابن الهمام، </w:t>
      </w:r>
      <w:r w:rsidRPr="002273BC">
        <w:rPr>
          <w:rFonts w:ascii="Arabic Transparent" w:hAnsi="Arabic Transparent" w:cs="Arabic Transparent" w:hint="cs"/>
          <w:b/>
          <w:bCs/>
          <w:sz w:val="24"/>
          <w:szCs w:val="24"/>
          <w:rtl/>
          <w:lang w:bidi="ar-JO"/>
        </w:rPr>
        <w:t>فتح القدير</w:t>
      </w:r>
      <w:r w:rsidRPr="002273BC">
        <w:rPr>
          <w:rFonts w:ascii="Arabic Transparent" w:hAnsi="Arabic Transparent" w:cs="Arabic Transparent" w:hint="cs"/>
          <w:sz w:val="24"/>
          <w:szCs w:val="24"/>
          <w:rtl/>
          <w:lang w:bidi="ar-JO"/>
        </w:rPr>
        <w:t>، مصدر سابق، ج7، ص6.</w:t>
      </w:r>
    </w:p>
  </w:footnote>
  <w:footnote w:id="770">
    <w:p w14:paraId="7CF7C598"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انظر: مجلس مجمع الفقه الإسلامي الدولي. قرار رقم 179 (19/5</w:t>
      </w:r>
      <w:r w:rsidRPr="002273BC">
        <w:rPr>
          <w:rFonts w:ascii="Arabic Transparent" w:hAnsi="Arabic Transparent" w:cs="Arabic Transparent" w:hint="cs"/>
          <w:b/>
          <w:bCs/>
          <w:sz w:val="24"/>
          <w:szCs w:val="24"/>
          <w:rtl/>
          <w:lang w:bidi="ar-JO"/>
        </w:rPr>
        <w:t>): بشأن التورق: حقيقته، أنواعه</w:t>
      </w:r>
      <w:r w:rsidRPr="002273BC">
        <w:rPr>
          <w:rFonts w:ascii="Arabic Transparent" w:hAnsi="Arabic Transparent" w:cs="Arabic Transparent" w:hint="cs"/>
          <w:sz w:val="24"/>
          <w:szCs w:val="24"/>
          <w:rtl/>
          <w:lang w:bidi="ar-JO"/>
        </w:rPr>
        <w:t xml:space="preserve"> (الفقهي المعروف والمصرفي المنظم)، مصدر سابق.</w:t>
      </w:r>
    </w:p>
  </w:footnote>
  <w:footnote w:id="771">
    <w:p w14:paraId="48646635" w14:textId="6F2D59E1"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008D31AC">
        <w:rPr>
          <w:rFonts w:ascii="Arabic Transparent" w:hAnsi="Arabic Transparent" w:cs="Arabic Transparent" w:hint="cs"/>
          <w:sz w:val="24"/>
          <w:szCs w:val="24"/>
          <w:rtl/>
          <w:lang w:bidi="ar-JO"/>
        </w:rPr>
        <w:t xml:space="preserve">انظر: </w:t>
      </w:r>
      <w:r w:rsidRPr="002273BC">
        <w:rPr>
          <w:rFonts w:ascii="Arabic Transparent" w:hAnsi="Arabic Transparent" w:cs="Arabic Transparent" w:hint="cs"/>
          <w:sz w:val="24"/>
          <w:szCs w:val="24"/>
          <w:rtl/>
          <w:lang w:bidi="ar-JO"/>
        </w:rPr>
        <w:t xml:space="preserve">هيئة المحاسبة والمراجعة للمؤسسات المالية الإسلامية – </w:t>
      </w:r>
      <w:r w:rsidRPr="002273BC">
        <w:rPr>
          <w:rFonts w:ascii="Arabic Transparent" w:hAnsi="Arabic Transparent" w:cs="Arabic Transparent" w:hint="cs"/>
          <w:b/>
          <w:bCs/>
          <w:sz w:val="24"/>
          <w:szCs w:val="24"/>
          <w:rtl/>
          <w:lang w:bidi="ar-JO"/>
        </w:rPr>
        <w:t>أيوفي (2015)، معيار (30)،</w:t>
      </w:r>
      <w:r w:rsidRPr="002273BC">
        <w:rPr>
          <w:rFonts w:ascii="Arabic Transparent" w:hAnsi="Arabic Transparent" w:cs="Arabic Transparent" w:hint="cs"/>
          <w:sz w:val="24"/>
          <w:szCs w:val="24"/>
          <w:rtl/>
          <w:lang w:bidi="ar-JO"/>
        </w:rPr>
        <w:t xml:space="preserve"> مصدر سابق، ص412.</w:t>
      </w:r>
    </w:p>
  </w:footnote>
  <w:footnote w:id="772">
    <w:p w14:paraId="4EB1E12F"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انظر: العنزي، </w:t>
      </w:r>
      <w:r w:rsidRPr="002273BC">
        <w:rPr>
          <w:rFonts w:ascii="Arabic Transparent" w:hAnsi="Arabic Transparent" w:cs="Arabic Transparent" w:hint="cs"/>
          <w:b/>
          <w:bCs/>
          <w:sz w:val="24"/>
          <w:szCs w:val="24"/>
          <w:rtl/>
          <w:lang w:bidi="ar-JO"/>
        </w:rPr>
        <w:t>فقه الهندسة المالية الإسلامية،</w:t>
      </w:r>
      <w:r w:rsidRPr="002273BC">
        <w:rPr>
          <w:rFonts w:ascii="Arabic Transparent" w:hAnsi="Arabic Transparent" w:cs="Arabic Transparent" w:hint="cs"/>
          <w:sz w:val="24"/>
          <w:szCs w:val="24"/>
          <w:rtl/>
          <w:lang w:bidi="ar-JO"/>
        </w:rPr>
        <w:t xml:space="preserve"> مصدر سابق، ص353.</w:t>
      </w:r>
    </w:p>
  </w:footnote>
  <w:footnote w:id="773">
    <w:p w14:paraId="1918B16D"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انظر: زاهد، وآخرون (2023</w:t>
      </w:r>
      <w:r w:rsidRPr="002273BC">
        <w:rPr>
          <w:rFonts w:ascii="Arabic Transparent" w:hAnsi="Arabic Transparent" w:cs="Arabic Transparent" w:hint="cs"/>
          <w:b/>
          <w:bCs/>
          <w:sz w:val="24"/>
          <w:szCs w:val="24"/>
          <w:rtl/>
          <w:lang w:bidi="ar-JO"/>
        </w:rPr>
        <w:t>). آراء المذاهب الفقهية وأدلتهم في حكم التورق</w:t>
      </w:r>
      <w:r w:rsidRPr="002273BC">
        <w:rPr>
          <w:rFonts w:ascii="Arabic Transparent" w:hAnsi="Arabic Transparent" w:cs="Arabic Transparent" w:hint="cs"/>
          <w:sz w:val="24"/>
          <w:szCs w:val="24"/>
          <w:rtl/>
          <w:lang w:bidi="ar-JO"/>
        </w:rPr>
        <w:t>، مصدر سابق، ص150–188.</w:t>
      </w:r>
    </w:p>
  </w:footnote>
  <w:footnote w:id="774">
    <w:p w14:paraId="635B64E8" w14:textId="39DDF0B1"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008D31AC">
        <w:rPr>
          <w:rFonts w:ascii="Arabic Transparent" w:hAnsi="Arabic Transparent" w:cs="Arabic Transparent" w:hint="cs"/>
          <w:sz w:val="24"/>
          <w:szCs w:val="24"/>
          <w:rtl/>
        </w:rPr>
        <w:t xml:space="preserve">انظر: </w:t>
      </w:r>
      <w:r w:rsidRPr="002273BC">
        <w:rPr>
          <w:rFonts w:ascii="Arabic Transparent" w:hAnsi="Arabic Transparent" w:cs="Arabic Transparent" w:hint="cs"/>
          <w:sz w:val="24"/>
          <w:szCs w:val="24"/>
          <w:rtl/>
        </w:rPr>
        <w:t xml:space="preserve">طاهر، عبد الله بن عمر بن حسين (2013)، </w:t>
      </w:r>
      <w:r w:rsidRPr="002273BC">
        <w:rPr>
          <w:rFonts w:ascii="Arabic Transparent" w:hAnsi="Arabic Transparent" w:cs="Arabic Transparent" w:hint="cs"/>
          <w:b/>
          <w:bCs/>
          <w:sz w:val="24"/>
          <w:szCs w:val="24"/>
          <w:rtl/>
        </w:rPr>
        <w:t>العقود المضافة إلى مثلها</w:t>
      </w:r>
      <w:r w:rsidRPr="002273BC">
        <w:rPr>
          <w:rFonts w:ascii="Arabic Transparent" w:hAnsi="Arabic Transparent" w:cs="Arabic Transparent" w:hint="cs"/>
          <w:sz w:val="24"/>
          <w:szCs w:val="24"/>
          <w:rtl/>
        </w:rPr>
        <w:t>، ط1، ص161، دار كنوز إشبيليا للنشر والتوزيع، الرياض.</w:t>
      </w:r>
    </w:p>
  </w:footnote>
  <w:footnote w:id="775">
    <w:p w14:paraId="443B0EF8"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عبادة، إياد، وبركات، علي (د.ت)، "</w:t>
      </w:r>
      <w:r w:rsidRPr="002273BC">
        <w:rPr>
          <w:rFonts w:ascii="Arabic Transparent" w:hAnsi="Arabic Transparent" w:cs="Arabic Transparent" w:hint="cs"/>
          <w:b/>
          <w:bCs/>
          <w:sz w:val="24"/>
          <w:szCs w:val="24"/>
          <w:rtl/>
          <w:lang w:bidi="ar-JO"/>
        </w:rPr>
        <w:t>أثر التَّورُّق المصرفي على المصارف الإسلامية</w:t>
      </w:r>
      <w:r w:rsidRPr="002273BC">
        <w:rPr>
          <w:rFonts w:ascii="Arabic Transparent" w:hAnsi="Arabic Transparent" w:cs="Arabic Transparent" w:hint="cs"/>
          <w:sz w:val="24"/>
          <w:szCs w:val="24"/>
          <w:rtl/>
          <w:lang w:bidi="ar-JO"/>
        </w:rPr>
        <w:t>"، مجلة الشريعة والقانون، العدد (47)، 2011م، ص481–483.</w:t>
      </w:r>
    </w:p>
  </w:footnote>
  <w:footnote w:id="776">
    <w:p w14:paraId="28BA0F25" w14:textId="003934DD"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008D31AC">
        <w:rPr>
          <w:rFonts w:ascii="Arabic Transparent" w:hAnsi="Arabic Transparent" w:cs="Arabic Transparent" w:hint="cs"/>
          <w:sz w:val="24"/>
          <w:szCs w:val="24"/>
          <w:rtl/>
          <w:lang w:bidi="ar-JO"/>
        </w:rPr>
        <w:t>انظر: ا</w:t>
      </w:r>
      <w:r w:rsidRPr="002273BC">
        <w:rPr>
          <w:rFonts w:ascii="Arabic Transparent" w:hAnsi="Arabic Transparent" w:cs="Arabic Transparent" w:hint="cs"/>
          <w:sz w:val="24"/>
          <w:szCs w:val="24"/>
          <w:rtl/>
          <w:lang w:bidi="ar-JO"/>
        </w:rPr>
        <w:t>لحنيطي، بيع العينة والتورق</w:t>
      </w:r>
      <w:r w:rsidRPr="002273BC">
        <w:rPr>
          <w:rFonts w:ascii="Arabic Transparent" w:hAnsi="Arabic Transparent" w:cs="Arabic Transparent" w:hint="cs"/>
          <w:b/>
          <w:bCs/>
          <w:sz w:val="24"/>
          <w:szCs w:val="24"/>
          <w:rtl/>
          <w:lang w:bidi="ar-JO"/>
        </w:rPr>
        <w:t>: دراسة تطبيقية على المصارف الإسلامية</w:t>
      </w:r>
      <w:r w:rsidRPr="002273BC">
        <w:rPr>
          <w:rFonts w:ascii="Arabic Transparent" w:hAnsi="Arabic Transparent" w:cs="Arabic Transparent" w:hint="cs"/>
          <w:sz w:val="24"/>
          <w:szCs w:val="24"/>
          <w:rtl/>
          <w:lang w:bidi="ar-JO"/>
        </w:rPr>
        <w:t>، مصدر سابق، ص130- 140.</w:t>
      </w:r>
    </w:p>
  </w:footnote>
  <w:footnote w:id="777">
    <w:p w14:paraId="04E3CA1F" w14:textId="360043AB"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008D31AC">
        <w:rPr>
          <w:rFonts w:ascii="Arabic Transparent" w:hAnsi="Arabic Transparent" w:cs="Arabic Transparent" w:hint="cs"/>
          <w:sz w:val="24"/>
          <w:szCs w:val="24"/>
          <w:rtl/>
          <w:lang w:bidi="ar-JO"/>
        </w:rPr>
        <w:t xml:space="preserve">انظر: </w:t>
      </w:r>
      <w:r w:rsidRPr="002273BC">
        <w:rPr>
          <w:rFonts w:ascii="Arabic Transparent" w:hAnsi="Arabic Transparent" w:cs="Arabic Transparent" w:hint="cs"/>
          <w:sz w:val="24"/>
          <w:szCs w:val="24"/>
          <w:rtl/>
          <w:lang w:bidi="ar-JO"/>
        </w:rPr>
        <w:t xml:space="preserve">الرشيدي، عدنان بن عوض (د.ت). </w:t>
      </w:r>
      <w:r w:rsidRPr="002273BC">
        <w:rPr>
          <w:rFonts w:ascii="Arabic Transparent" w:hAnsi="Arabic Transparent" w:cs="Arabic Transparent" w:hint="cs"/>
          <w:b/>
          <w:bCs/>
          <w:sz w:val="24"/>
          <w:szCs w:val="24"/>
          <w:rtl/>
          <w:lang w:bidi="ar-JO"/>
        </w:rPr>
        <w:t>معالم التجديد في فقه المعاملات المالية ومتطلباته</w:t>
      </w:r>
      <w:r w:rsidRPr="002273BC">
        <w:rPr>
          <w:rFonts w:ascii="Arabic Transparent" w:hAnsi="Arabic Transparent" w:cs="Arabic Transparent" w:hint="cs"/>
          <w:sz w:val="24"/>
          <w:szCs w:val="24"/>
          <w:rtl/>
          <w:lang w:bidi="ar-JO"/>
        </w:rPr>
        <w:t xml:space="preserve">، بحث منشور، أستاذ الفقه وأصوله في دار القرآن الكريم، الكويت. متاح على: </w:t>
      </w:r>
      <w:r w:rsidRPr="002273BC">
        <w:rPr>
          <w:rFonts w:ascii="Arabic Transparent" w:hAnsi="Arabic Transparent" w:cs="Arabic Transparent" w:hint="cs"/>
          <w:sz w:val="24"/>
          <w:szCs w:val="24"/>
          <w:lang w:bidi="ar-JO"/>
        </w:rPr>
        <w:t>https://www.academia.edu/143862947</w:t>
      </w:r>
      <w:r w:rsidRPr="002273BC">
        <w:rPr>
          <w:rFonts w:ascii="Arabic Transparent" w:hAnsi="Arabic Transparent" w:cs="Arabic Transparent" w:hint="cs"/>
          <w:sz w:val="24"/>
          <w:szCs w:val="24"/>
          <w:rtl/>
          <w:lang w:bidi="ar-JO"/>
        </w:rPr>
        <w:t>، تاريخ الاطلاع: 11 آذار 2026م.</w:t>
      </w:r>
    </w:p>
  </w:footnote>
  <w:footnote w:id="778">
    <w:p w14:paraId="31CDCC46"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كالزحيلي والقرضاوي وأحمد الجيوسي وآخرون، الحنيطي</w:t>
      </w:r>
      <w:r w:rsidRPr="002273BC">
        <w:rPr>
          <w:rFonts w:ascii="Arabic Transparent" w:hAnsi="Arabic Transparent" w:cs="Arabic Transparent" w:hint="cs"/>
          <w:b/>
          <w:bCs/>
          <w:sz w:val="24"/>
          <w:szCs w:val="24"/>
          <w:rtl/>
          <w:lang w:bidi="ar-JO"/>
        </w:rPr>
        <w:t>، بيع العينة والتورق: دراسة تطبيقية على المصارف الإسلامية</w:t>
      </w:r>
      <w:r w:rsidRPr="002273BC">
        <w:rPr>
          <w:rFonts w:ascii="Arabic Transparent" w:hAnsi="Arabic Transparent" w:cs="Arabic Transparent" w:hint="cs"/>
          <w:sz w:val="24"/>
          <w:szCs w:val="24"/>
          <w:rtl/>
          <w:lang w:bidi="ar-JO"/>
        </w:rPr>
        <w:t>، مصدر سابق، ص140.</w:t>
      </w:r>
    </w:p>
  </w:footnote>
  <w:footnote w:id="779">
    <w:p w14:paraId="23997EB0"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ابن فارس، </w:t>
      </w:r>
      <w:r w:rsidRPr="002273BC">
        <w:rPr>
          <w:rFonts w:ascii="Arabic Transparent" w:hAnsi="Arabic Transparent" w:cs="Arabic Transparent" w:hint="cs"/>
          <w:b/>
          <w:bCs/>
          <w:sz w:val="24"/>
          <w:szCs w:val="24"/>
          <w:rtl/>
          <w:lang w:bidi="ar-JO"/>
        </w:rPr>
        <w:t>معجم مقاييس اللغة،</w:t>
      </w:r>
      <w:r w:rsidRPr="002273BC">
        <w:rPr>
          <w:rFonts w:ascii="Arabic Transparent" w:hAnsi="Arabic Transparent" w:cs="Arabic Transparent" w:hint="cs"/>
          <w:sz w:val="24"/>
          <w:szCs w:val="24"/>
          <w:rtl/>
          <w:lang w:bidi="ar-JO"/>
        </w:rPr>
        <w:t xml:space="preserve"> مصدر سابق، ج5، ص285.</w:t>
      </w:r>
    </w:p>
  </w:footnote>
  <w:footnote w:id="780">
    <w:p w14:paraId="529DD8BD"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العجلوني، أحمد طه (2014م). </w:t>
      </w:r>
      <w:r w:rsidRPr="002273BC">
        <w:rPr>
          <w:rFonts w:ascii="Arabic Transparent" w:hAnsi="Arabic Transparent" w:cs="Arabic Transparent" w:hint="cs"/>
          <w:b/>
          <w:bCs/>
          <w:sz w:val="24"/>
          <w:szCs w:val="24"/>
          <w:rtl/>
          <w:lang w:bidi="ar-JO"/>
        </w:rPr>
        <w:t>نظرية التمويل الإسلامي وأدواته</w:t>
      </w:r>
      <w:r w:rsidRPr="002273BC">
        <w:rPr>
          <w:rFonts w:ascii="Arabic Transparent" w:hAnsi="Arabic Transparent" w:cs="Arabic Transparent" w:hint="cs"/>
          <w:sz w:val="24"/>
          <w:szCs w:val="24"/>
          <w:rtl/>
          <w:lang w:bidi="ar-JO"/>
        </w:rPr>
        <w:t>، ص104، جامعة القصيم، السعودية.</w:t>
      </w:r>
    </w:p>
  </w:footnote>
  <w:footnote w:id="781">
    <w:p w14:paraId="0C90AA59"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ابن فارس، </w:t>
      </w:r>
      <w:r w:rsidRPr="002273BC">
        <w:rPr>
          <w:rFonts w:ascii="Arabic Transparent" w:hAnsi="Arabic Transparent" w:cs="Arabic Transparent" w:hint="cs"/>
          <w:b/>
          <w:bCs/>
          <w:sz w:val="24"/>
          <w:szCs w:val="24"/>
          <w:rtl/>
          <w:lang w:bidi="ar-JO"/>
        </w:rPr>
        <w:t>معجم مقاييس اللغة</w:t>
      </w:r>
      <w:r w:rsidRPr="002273BC">
        <w:rPr>
          <w:rFonts w:ascii="Arabic Transparent" w:hAnsi="Arabic Transparent" w:cs="Arabic Transparent" w:hint="cs"/>
          <w:sz w:val="24"/>
          <w:szCs w:val="24"/>
          <w:rtl/>
          <w:lang w:bidi="ar-JO"/>
        </w:rPr>
        <w:t>، مصدر سابق، ج2، ص162.</w:t>
      </w:r>
    </w:p>
  </w:footnote>
  <w:footnote w:id="782">
    <w:p w14:paraId="24E3CA16"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الدميجي، عبد العزيز بن صالح (2019م). </w:t>
      </w:r>
      <w:r w:rsidRPr="002273BC">
        <w:rPr>
          <w:rFonts w:ascii="Arabic Transparent" w:hAnsi="Arabic Transparent" w:cs="Arabic Transparent" w:hint="cs"/>
          <w:b/>
          <w:bCs/>
          <w:sz w:val="24"/>
          <w:szCs w:val="24"/>
          <w:rtl/>
          <w:lang w:bidi="ar-JO"/>
        </w:rPr>
        <w:t>تمويل الخدمات</w:t>
      </w:r>
      <w:r w:rsidRPr="002273BC">
        <w:rPr>
          <w:rFonts w:ascii="Arabic Transparent" w:hAnsi="Arabic Transparent" w:cs="Arabic Transparent" w:hint="cs"/>
          <w:sz w:val="24"/>
          <w:szCs w:val="24"/>
          <w:rtl/>
          <w:lang w:bidi="ar-JO"/>
        </w:rPr>
        <w:t>، ط1، ص32، دار الميمان، السعودية.</w:t>
      </w:r>
    </w:p>
  </w:footnote>
  <w:footnote w:id="783">
    <w:p w14:paraId="51CC78D8"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مشوقة، حمزة عدنان (2023م). </w:t>
      </w:r>
      <w:r w:rsidRPr="002273BC">
        <w:rPr>
          <w:rFonts w:ascii="Arabic Transparent" w:hAnsi="Arabic Transparent" w:cs="Arabic Transparent" w:hint="cs"/>
          <w:b/>
          <w:bCs/>
          <w:sz w:val="24"/>
          <w:szCs w:val="24"/>
          <w:rtl/>
          <w:lang w:bidi="ar-JO"/>
        </w:rPr>
        <w:t>تمويل الخدمات التعليمية والطبية من منظور فقهي</w:t>
      </w:r>
      <w:r w:rsidRPr="002273BC">
        <w:rPr>
          <w:rFonts w:ascii="Arabic Transparent" w:hAnsi="Arabic Transparent" w:cs="Arabic Transparent" w:hint="cs"/>
          <w:sz w:val="24"/>
          <w:szCs w:val="24"/>
          <w:rtl/>
          <w:lang w:bidi="ar-JO"/>
        </w:rPr>
        <w:t xml:space="preserve">، بحث محكم، دائرة الإفتاء العام، الأردن، نُشر بتاريخ 17/10/2023م. متاح على: </w:t>
      </w:r>
      <w:r w:rsidRPr="002273BC">
        <w:rPr>
          <w:rFonts w:ascii="Arabic Transparent" w:hAnsi="Arabic Transparent" w:cs="Arabic Transparent" w:hint="cs"/>
          <w:sz w:val="24"/>
          <w:szCs w:val="24"/>
          <w:lang w:bidi="ar-JO"/>
        </w:rPr>
        <w:t>https://www.aliftaa.jo/Research/250/Articles.aspx</w:t>
      </w:r>
      <w:r w:rsidRPr="002273BC">
        <w:rPr>
          <w:rFonts w:ascii="Arabic Transparent" w:hAnsi="Arabic Transparent" w:cs="Arabic Transparent" w:hint="cs"/>
          <w:sz w:val="24"/>
          <w:szCs w:val="24"/>
          <w:rtl/>
          <w:lang w:bidi="ar-JO"/>
        </w:rPr>
        <w:t>، تاريخ الاطلاع: 11 آذار 2026م.</w:t>
      </w:r>
    </w:p>
  </w:footnote>
  <w:footnote w:id="784">
    <w:p w14:paraId="2C44E1EB"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السرخسي، </w:t>
      </w:r>
      <w:r w:rsidRPr="002273BC">
        <w:rPr>
          <w:rFonts w:ascii="Arabic Transparent" w:hAnsi="Arabic Transparent" w:cs="Arabic Transparent" w:hint="cs"/>
          <w:b/>
          <w:bCs/>
          <w:sz w:val="24"/>
          <w:szCs w:val="24"/>
          <w:rtl/>
          <w:lang w:bidi="ar-JO"/>
        </w:rPr>
        <w:t>المبسوط</w:t>
      </w:r>
      <w:r w:rsidRPr="002273BC">
        <w:rPr>
          <w:rFonts w:ascii="Arabic Transparent" w:hAnsi="Arabic Transparent" w:cs="Arabic Transparent" w:hint="cs"/>
          <w:sz w:val="24"/>
          <w:szCs w:val="24"/>
          <w:rtl/>
          <w:lang w:bidi="ar-JO"/>
        </w:rPr>
        <w:t>، مصدر سابق، ج1، ص252، والشافعي،</w:t>
      </w:r>
      <w:r w:rsidRPr="002273BC">
        <w:rPr>
          <w:rFonts w:ascii="Arabic Transparent" w:hAnsi="Arabic Transparent" w:cs="Arabic Transparent" w:hint="cs"/>
          <w:b/>
          <w:bCs/>
          <w:sz w:val="24"/>
          <w:szCs w:val="24"/>
          <w:rtl/>
          <w:lang w:bidi="ar-JO"/>
        </w:rPr>
        <w:t xml:space="preserve"> الأم</w:t>
      </w:r>
      <w:r w:rsidRPr="002273BC">
        <w:rPr>
          <w:rFonts w:ascii="Arabic Transparent" w:hAnsi="Arabic Transparent" w:cs="Arabic Transparent" w:hint="cs"/>
          <w:sz w:val="24"/>
          <w:szCs w:val="24"/>
          <w:rtl/>
          <w:lang w:bidi="ar-JO"/>
        </w:rPr>
        <w:t>، مصدر سابق، ج3، ص250.</w:t>
      </w:r>
    </w:p>
  </w:footnote>
  <w:footnote w:id="785">
    <w:p w14:paraId="699BB9FA" w14:textId="7FCB2DE3"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مثل ما يقوم به البنك الإسلامي العربي ( فلسطين)، في منتج تمويل التعليم حيث نص على ذلك فقال:</w:t>
      </w:r>
      <w:r w:rsidR="00151AED" w:rsidRPr="002273BC">
        <w:rPr>
          <w:rFonts w:ascii="Arabic Transparent" w:hAnsi="Arabic Transparent" w:cs="Arabic Transparent" w:hint="cs"/>
          <w:sz w:val="24"/>
          <w:szCs w:val="24"/>
          <w:rtl/>
          <w:lang w:bidi="ar-JO"/>
        </w:rPr>
        <w:t xml:space="preserve"> </w:t>
      </w:r>
      <w:r w:rsidR="00151AED" w:rsidRPr="002273BC">
        <w:rPr>
          <w:rFonts w:ascii="Arabic Transparent" w:hAnsi="Arabic Transparent" w:cs="Arabic Transparent"/>
          <w:sz w:val="24"/>
          <w:szCs w:val="24"/>
          <w:rtl/>
          <w:lang w:bidi="ar-JO"/>
        </w:rPr>
        <w:t>"</w:t>
      </w:r>
      <w:r w:rsidRPr="002273BC">
        <w:rPr>
          <w:rFonts w:ascii="Arabic Transparent" w:hAnsi="Arabic Transparent" w:cs="Arabic Transparent" w:hint="cs"/>
          <w:sz w:val="24"/>
          <w:szCs w:val="24"/>
          <w:rtl/>
          <w:lang w:bidi="ar-JO"/>
        </w:rPr>
        <w:t>يقوم البنك باستئجار المقعد الدراسي من المؤسسة التعليمة و دفع كامل الرسوم الدراسية المتعلقة بتكلفة المقعد الدراسي المؤجر، وبعد ذلك يتم تأجير المقعد الدراسي من قبل البنك للطالب و يتم سداد الرسوم الدراسية على أقساط سهلة وميسرة للبنك، ويتبع هذا البرنامج صيغة الإجارة الموصوفة في الذمة للخدمات."،</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b/>
          <w:bCs/>
          <w:sz w:val="24"/>
          <w:szCs w:val="24"/>
          <w:rtl/>
          <w:lang w:bidi="ar-JO"/>
        </w:rPr>
        <w:t>منتج تمويل التعليم في البنك الإسلامي العربي ( فلسطين)</w:t>
      </w:r>
      <w:r w:rsidRPr="002273BC">
        <w:rPr>
          <w:rFonts w:ascii="Arabic Transparent" w:hAnsi="Arabic Transparent" w:cs="Arabic Transparent" w:hint="cs"/>
          <w:sz w:val="24"/>
          <w:szCs w:val="24"/>
          <w:rtl/>
          <w:lang w:bidi="ar-JO"/>
        </w:rPr>
        <w:t xml:space="preserve">، على الرابط: </w:t>
      </w:r>
      <w:r w:rsidRPr="002273BC">
        <w:rPr>
          <w:rFonts w:ascii="Arabic Transparent" w:hAnsi="Arabic Transparent" w:cs="Arabic Transparent" w:hint="cs"/>
          <w:sz w:val="24"/>
          <w:szCs w:val="24"/>
          <w:lang w:bidi="ar-JO"/>
        </w:rPr>
        <w:t>https://aib.ps/content/individual-services/21.html</w:t>
      </w:r>
      <w:r w:rsidR="005D7B91" w:rsidRPr="002273BC">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sz w:val="24"/>
          <w:szCs w:val="24"/>
          <w:rtl/>
          <w:lang w:bidi="ar-JO"/>
        </w:rPr>
        <w:t>تاريخ الاطلاع: 11 آذار 2026م.</w:t>
      </w:r>
    </w:p>
  </w:footnote>
  <w:footnote w:id="786">
    <w:p w14:paraId="163AA236"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استعملها مصرف بيت التمويل الكويتي – مصر (</w:t>
      </w:r>
      <w:r w:rsidRPr="002273BC">
        <w:rPr>
          <w:rFonts w:ascii="Arabic Transparent" w:hAnsi="Arabic Transparent" w:cs="Arabic Transparent" w:hint="cs"/>
          <w:sz w:val="24"/>
          <w:szCs w:val="24"/>
          <w:lang w:bidi="ar-JO"/>
        </w:rPr>
        <w:t>KFH Egypt</w:t>
      </w:r>
      <w:r w:rsidRPr="002273BC">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b/>
          <w:bCs/>
          <w:sz w:val="24"/>
          <w:szCs w:val="24"/>
          <w:rtl/>
          <w:lang w:bidi="ar-JO"/>
        </w:rPr>
        <w:t>– منتج «تمويل مصروفات التعليم وعضوية النادي»</w:t>
      </w:r>
      <w:r w:rsidRPr="002273BC">
        <w:rPr>
          <w:rFonts w:ascii="Arabic Transparent" w:hAnsi="Arabic Transparent" w:cs="Arabic Transparent" w:hint="cs"/>
          <w:sz w:val="24"/>
          <w:szCs w:val="24"/>
          <w:rtl/>
          <w:lang w:bidi="ar-JO"/>
        </w:rPr>
        <w:t xml:space="preserve">: للاطلاع على الرابط: </w:t>
      </w:r>
      <w:hyperlink r:id="rId8" w:history="1">
        <w:r w:rsidRPr="002273BC">
          <w:rPr>
            <w:rStyle w:val="Hyperlink"/>
            <w:rFonts w:ascii="Arabic Transparent" w:hAnsi="Arabic Transparent" w:cs="Arabic Transparent" w:hint="cs"/>
            <w:sz w:val="24"/>
            <w:szCs w:val="24"/>
            <w:lang w:bidi="ar-JO"/>
          </w:rPr>
          <w:t>https://www.eg.kfh.com/education-expenses-and-club-membership-financing/?lang=arK</w:t>
        </w:r>
      </w:hyperlink>
      <w:r w:rsidRPr="002273BC">
        <w:rPr>
          <w:rFonts w:ascii="Arabic Transparent" w:hAnsi="Arabic Transparent" w:cs="Arabic Transparent" w:hint="cs"/>
          <w:sz w:val="24"/>
          <w:szCs w:val="24"/>
          <w:lang w:bidi="ar-JO"/>
        </w:rPr>
        <w:t xml:space="preserve"> </w:t>
      </w:r>
      <w:r w:rsidRPr="002273BC">
        <w:rPr>
          <w:rFonts w:ascii="Arabic Transparent" w:hAnsi="Arabic Transparent" w:cs="Arabic Transparent" w:hint="cs"/>
          <w:sz w:val="24"/>
          <w:szCs w:val="24"/>
          <w:rtl/>
          <w:lang w:bidi="ar-JO"/>
        </w:rPr>
        <w:t xml:space="preserve"> تاريخ الاطلاع: 12 آذار 2026م.</w:t>
      </w:r>
    </w:p>
  </w:footnote>
  <w:footnote w:id="787">
    <w:p w14:paraId="626DA4CB"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غير مطبق لدى البنوك وهو مقترح في دراسة نشرتها دار الإفتاء، مشوقة، حمزة عدنان (2023م). </w:t>
      </w:r>
      <w:r w:rsidRPr="002273BC">
        <w:rPr>
          <w:rFonts w:ascii="Arabic Transparent" w:hAnsi="Arabic Transparent" w:cs="Arabic Transparent" w:hint="cs"/>
          <w:b/>
          <w:bCs/>
          <w:sz w:val="24"/>
          <w:szCs w:val="24"/>
          <w:rtl/>
          <w:lang w:bidi="ar-JO"/>
        </w:rPr>
        <w:t>تمويل الخدمات التعليمية الطبية من منظور فقهي</w:t>
      </w:r>
      <w:r w:rsidRPr="002273BC">
        <w:rPr>
          <w:rFonts w:ascii="Arabic Transparent" w:hAnsi="Arabic Transparent" w:cs="Arabic Transparent" w:hint="cs"/>
          <w:sz w:val="24"/>
          <w:szCs w:val="24"/>
          <w:rtl/>
          <w:lang w:bidi="ar-JO"/>
        </w:rPr>
        <w:t xml:space="preserve">، بحث محكم، دائرة الإفتاء العام، الأردن، نُشر بتاريخ 17/10/2023م. متاح على: </w:t>
      </w:r>
      <w:r w:rsidRPr="002273BC">
        <w:rPr>
          <w:rFonts w:ascii="Arabic Transparent" w:hAnsi="Arabic Transparent" w:cs="Arabic Transparent" w:hint="cs"/>
          <w:sz w:val="24"/>
          <w:szCs w:val="24"/>
          <w:lang w:bidi="ar-JO"/>
        </w:rPr>
        <w:t>https://www.aliftaa.jo/Research/250/Articles.aspx</w:t>
      </w:r>
      <w:r w:rsidRPr="002273BC">
        <w:rPr>
          <w:rFonts w:ascii="Arabic Transparent" w:hAnsi="Arabic Transparent" w:cs="Arabic Transparent" w:hint="cs"/>
          <w:sz w:val="24"/>
          <w:szCs w:val="24"/>
          <w:rtl/>
          <w:lang w:bidi="ar-JO"/>
        </w:rPr>
        <w:t>، تاريخ الاطلاع: 11 اذار 2026م.</w:t>
      </w:r>
    </w:p>
  </w:footnote>
  <w:footnote w:id="788">
    <w:p w14:paraId="2357DBE9" w14:textId="68D1723B"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سبق </w:t>
      </w:r>
      <w:r w:rsidR="0051202A">
        <w:rPr>
          <w:rFonts w:ascii="Arabic Transparent" w:hAnsi="Arabic Transparent" w:cs="Arabic Transparent" w:hint="cs"/>
          <w:sz w:val="24"/>
          <w:szCs w:val="24"/>
          <w:rtl/>
          <w:lang w:bidi="ar-JO"/>
        </w:rPr>
        <w:t>ذكره انظر ص148.</w:t>
      </w:r>
    </w:p>
  </w:footnote>
  <w:footnote w:id="789">
    <w:p w14:paraId="7C9C3D27" w14:textId="0CD29ED5"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لها رواج كثيراً في بنوك المملكة العربية السعودية وصورتها</w:t>
      </w:r>
      <w:r w:rsidR="005D7B91" w:rsidRPr="002273BC">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sz w:val="24"/>
          <w:szCs w:val="24"/>
          <w:rtl/>
          <w:lang w:bidi="ar-JO"/>
        </w:rPr>
        <w:t xml:space="preserve">وتحت خانة </w:t>
      </w:r>
      <w:r w:rsidR="00AD51D4" w:rsidRPr="002273BC">
        <w:rPr>
          <w:rFonts w:ascii="Arabic Transparent" w:hAnsi="Arabic Transparent" w:cs="Arabic Transparent" w:hint="cs"/>
          <w:b/>
          <w:bCs/>
          <w:sz w:val="24"/>
          <w:szCs w:val="24"/>
          <w:rtl/>
          <w:lang w:bidi="ar-JO"/>
        </w:rPr>
        <w:t>"</w:t>
      </w:r>
      <w:r w:rsidRPr="002273BC">
        <w:rPr>
          <w:rFonts w:ascii="Arabic Transparent" w:hAnsi="Arabic Transparent" w:cs="Arabic Transparent" w:hint="cs"/>
          <w:b/>
          <w:bCs/>
          <w:sz w:val="24"/>
          <w:szCs w:val="24"/>
          <w:rtl/>
          <w:lang w:bidi="ar-JO"/>
        </w:rPr>
        <w:t>التمويل الشخصي بالتورق</w:t>
      </w:r>
      <w:r w:rsidR="00AD51D4" w:rsidRPr="002273BC">
        <w:rPr>
          <w:rFonts w:ascii="Arabic Transparent" w:hAnsi="Arabic Transparent" w:cs="Arabic Transparent" w:hint="cs"/>
          <w:b/>
          <w:bCs/>
          <w:sz w:val="24"/>
          <w:szCs w:val="24"/>
          <w:rtl/>
          <w:lang w:bidi="ar-JO"/>
        </w:rPr>
        <w:t>"</w:t>
      </w:r>
      <w:r w:rsidRPr="002273BC">
        <w:rPr>
          <w:rFonts w:ascii="Arabic Transparent" w:hAnsi="Arabic Transparent" w:cs="Arabic Transparent" w:hint="cs"/>
          <w:sz w:val="24"/>
          <w:szCs w:val="24"/>
          <w:rtl/>
          <w:lang w:bidi="ar-JO"/>
        </w:rPr>
        <w:t xml:space="preserve"> ويستعمل في بنك الرياض، وبنك البلاد، انظر إلى الرابط: </w:t>
      </w:r>
      <w:hyperlink r:id="rId9" w:history="1">
        <w:r w:rsidRPr="002273BC">
          <w:rPr>
            <w:rStyle w:val="Hyperlink"/>
            <w:rFonts w:ascii="Arabic Transparent" w:hAnsi="Arabic Transparent" w:cs="Arabic Transparent" w:hint="cs"/>
            <w:sz w:val="24"/>
            <w:szCs w:val="24"/>
            <w:lang w:bidi="ar-JO"/>
          </w:rPr>
          <w:t>https://www.riyadbank.com/ar/personal-banking/personal-finance/education</w:t>
        </w:r>
      </w:hyperlink>
      <w:r w:rsidRPr="002273BC">
        <w:rPr>
          <w:rFonts w:ascii="Arabic Transparent" w:hAnsi="Arabic Transparent" w:cs="Arabic Transparent" w:hint="cs"/>
          <w:sz w:val="24"/>
          <w:szCs w:val="24"/>
          <w:rtl/>
          <w:lang w:bidi="ar-JO"/>
        </w:rPr>
        <w:t>، تاريخ الاطلاع: 12 آذار 2026م.</w:t>
      </w:r>
    </w:p>
  </w:footnote>
  <w:footnote w:id="790">
    <w:p w14:paraId="10E2F443" w14:textId="77777777" w:rsidR="00201DD5" w:rsidRPr="002273BC" w:rsidRDefault="00201DD5" w:rsidP="00EA3738">
      <w:pPr>
        <w:pStyle w:val="FootnoteText"/>
        <w:spacing w:line="360" w:lineRule="auto"/>
        <w:jc w:val="both"/>
        <w:rPr>
          <w:rFonts w:ascii="Arabic Transparent" w:hAnsi="Arabic Transparent" w:cs="Arabic Transparent"/>
          <w:sz w:val="24"/>
          <w:szCs w:val="24"/>
          <w:rtl/>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مجمع الفقه الإسلامي الدولي (1988م). </w:t>
      </w:r>
      <w:r w:rsidRPr="002273BC">
        <w:rPr>
          <w:rFonts w:ascii="Arabic Transparent" w:hAnsi="Arabic Transparent" w:cs="Arabic Transparent" w:hint="cs"/>
          <w:b/>
          <w:bCs/>
          <w:sz w:val="24"/>
          <w:szCs w:val="24"/>
          <w:rtl/>
        </w:rPr>
        <w:t>مجلة مجمع الفقه الإسلامي</w:t>
      </w:r>
      <w:r w:rsidRPr="002273BC">
        <w:rPr>
          <w:rFonts w:ascii="Arabic Transparent" w:hAnsi="Arabic Transparent" w:cs="Arabic Transparent" w:hint="cs"/>
          <w:sz w:val="24"/>
          <w:szCs w:val="24"/>
          <w:rtl/>
        </w:rPr>
        <w:t xml:space="preserve">، ع5، ج2، ص753، </w:t>
      </w:r>
      <w:r w:rsidRPr="002273BC">
        <w:rPr>
          <w:rFonts w:ascii="Arabic Transparent" w:hAnsi="Arabic Transparent" w:cs="Arabic Transparent" w:hint="eastAsia"/>
          <w:sz w:val="24"/>
          <w:szCs w:val="24"/>
          <w:rtl/>
        </w:rPr>
        <w:t>ص</w:t>
      </w:r>
      <w:r w:rsidRPr="002273BC">
        <w:rPr>
          <w:rFonts w:ascii="Arabic Transparent" w:hAnsi="Arabic Transparent" w:cs="Arabic Transparent" w:hint="cs"/>
          <w:sz w:val="24"/>
          <w:szCs w:val="24"/>
          <w:rtl/>
        </w:rPr>
        <w:t>965، الدورة الخامسة، الكويت.</w:t>
      </w:r>
    </w:p>
  </w:footnote>
  <w:footnote w:id="791">
    <w:p w14:paraId="6DC161D0"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lang w:bidi="ar-JO"/>
        </w:rPr>
        <w:t xml:space="preserve"> المجلس الأوروبي للإفتاء والبحوث (2008م</w:t>
      </w:r>
      <w:r w:rsidRPr="002273BC">
        <w:rPr>
          <w:rFonts w:ascii="Arabic Transparent" w:hAnsi="Arabic Transparent" w:cs="Arabic Transparent" w:hint="cs"/>
          <w:b/>
          <w:bCs/>
          <w:sz w:val="24"/>
          <w:szCs w:val="24"/>
          <w:rtl/>
          <w:lang w:bidi="ar-JO"/>
        </w:rPr>
        <w:t>). البيان الختامي للدورة العادية الثامنة عشرة</w:t>
      </w:r>
      <w:r w:rsidRPr="002273BC">
        <w:rPr>
          <w:rFonts w:ascii="Arabic Transparent" w:hAnsi="Arabic Transparent" w:cs="Arabic Transparent" w:hint="cs"/>
          <w:sz w:val="24"/>
          <w:szCs w:val="24"/>
          <w:rtl/>
          <w:lang w:bidi="ar-JO"/>
        </w:rPr>
        <w:t xml:space="preserve">، باريس، جمهورية فرنسا، 27 جمادى الآخرة – 2 رجب 1429هـ، الموافق 1-5 يوليو 2008م. متاح على: </w:t>
      </w:r>
      <w:r w:rsidRPr="002273BC">
        <w:rPr>
          <w:rFonts w:ascii="Arabic Transparent" w:hAnsi="Arabic Transparent" w:cs="Arabic Transparent" w:hint="cs"/>
          <w:sz w:val="24"/>
          <w:szCs w:val="24"/>
          <w:lang w:bidi="ar-JO"/>
        </w:rPr>
        <w:t>https://www.e-cfr.org/blog/2008/07/01</w:t>
      </w:r>
      <w:r w:rsidRPr="002273BC">
        <w:rPr>
          <w:rFonts w:ascii="Arabic Transparent" w:hAnsi="Arabic Transparent" w:cs="Arabic Transparent" w:hint="cs"/>
          <w:sz w:val="24"/>
          <w:szCs w:val="24"/>
          <w:rtl/>
          <w:lang w:bidi="ar-JO"/>
        </w:rPr>
        <w:t>، تاريخ الاطلاع: 11 أبريل 2026م.</w:t>
      </w:r>
    </w:p>
  </w:footnote>
  <w:footnote w:id="792">
    <w:p w14:paraId="2ED26099" w14:textId="22A35115"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هيئة المحاسبة والمراجعة للمؤسسات المالية الإسلامية – </w:t>
      </w:r>
      <w:r w:rsidRPr="002273BC">
        <w:rPr>
          <w:rFonts w:ascii="Arabic Transparent" w:hAnsi="Arabic Transparent" w:cs="Arabic Transparent" w:hint="cs"/>
          <w:b/>
          <w:bCs/>
          <w:sz w:val="24"/>
          <w:szCs w:val="24"/>
          <w:rtl/>
          <w:lang w:bidi="ar-JO"/>
        </w:rPr>
        <w:t>أيوفي، معيار رقم 9</w:t>
      </w:r>
      <w:r w:rsidRPr="002273BC">
        <w:rPr>
          <w:rFonts w:ascii="Arabic Transparent" w:hAnsi="Arabic Transparent" w:cs="Arabic Transparent" w:hint="cs"/>
          <w:sz w:val="24"/>
          <w:szCs w:val="24"/>
          <w:rtl/>
          <w:lang w:bidi="ar-JO"/>
        </w:rPr>
        <w:t>، (2014م)</w:t>
      </w:r>
      <w:r w:rsidR="005D7B91" w:rsidRPr="002273BC">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sz w:val="24"/>
          <w:szCs w:val="24"/>
          <w:rtl/>
          <w:lang w:bidi="ar-JO"/>
        </w:rPr>
        <w:t>مصدر سابق، ص188.</w:t>
      </w:r>
    </w:p>
  </w:footnote>
  <w:footnote w:id="793">
    <w:p w14:paraId="57D0A71F"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الهيئة الشرعية لبنك البلاد (2019م). </w:t>
      </w:r>
      <w:r w:rsidRPr="002273BC">
        <w:rPr>
          <w:rFonts w:ascii="Arabic Transparent" w:hAnsi="Arabic Transparent" w:cs="Arabic Transparent" w:hint="cs"/>
          <w:b/>
          <w:bCs/>
          <w:sz w:val="24"/>
          <w:szCs w:val="24"/>
          <w:rtl/>
          <w:lang w:bidi="ar-JO"/>
        </w:rPr>
        <w:t>قرار الهيئة الشرعية رقم (140): منتج تمويل خدمة التعليم</w:t>
      </w:r>
      <w:r w:rsidRPr="002273BC">
        <w:rPr>
          <w:rFonts w:ascii="Arabic Transparent" w:hAnsi="Arabic Transparent" w:cs="Arabic Transparent" w:hint="cs"/>
          <w:sz w:val="24"/>
          <w:szCs w:val="24"/>
          <w:rtl/>
          <w:lang w:bidi="ar-JO"/>
        </w:rPr>
        <w:t xml:space="preserve">، متاح على: </w:t>
      </w:r>
      <w:r w:rsidRPr="002273BC">
        <w:rPr>
          <w:rFonts w:ascii="Arabic Transparent" w:hAnsi="Arabic Transparent" w:cs="Arabic Transparent" w:hint="cs"/>
          <w:sz w:val="24"/>
          <w:szCs w:val="24"/>
          <w:lang w:bidi="ar-JO"/>
        </w:rPr>
        <w:t>https://www.bankalbilad.com.sa/im</w:t>
      </w:r>
      <w:r w:rsidRPr="002273BC">
        <w:rPr>
          <w:rFonts w:ascii="Arabic Transparent" w:hAnsi="Arabic Transparent" w:cs="Arabic Transparent" w:hint="cs"/>
          <w:sz w:val="24"/>
          <w:szCs w:val="24"/>
          <w:rtl/>
          <w:lang w:bidi="ar-JO"/>
        </w:rPr>
        <w:t>، تاريخ الاطلاع: 11 اذار 2026م.</w:t>
      </w:r>
    </w:p>
  </w:footnote>
  <w:footnote w:id="794">
    <w:p w14:paraId="7AA82C6C"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ابن هادي، </w:t>
      </w:r>
      <w:r w:rsidRPr="002273BC">
        <w:rPr>
          <w:rFonts w:ascii="Arabic Transparent" w:hAnsi="Arabic Transparent" w:cs="Arabic Transparent" w:hint="cs"/>
          <w:b/>
          <w:bCs/>
          <w:sz w:val="24"/>
          <w:szCs w:val="24"/>
          <w:rtl/>
          <w:lang w:bidi="ar-JO"/>
        </w:rPr>
        <w:t>أصول ضبط المعاملات المعاصر</w:t>
      </w:r>
      <w:r w:rsidRPr="002273BC">
        <w:rPr>
          <w:rFonts w:ascii="Arabic Transparent" w:hAnsi="Arabic Transparent" w:cs="Arabic Transparent" w:hint="cs"/>
          <w:sz w:val="24"/>
          <w:szCs w:val="24"/>
          <w:rtl/>
          <w:lang w:bidi="ar-JO"/>
        </w:rPr>
        <w:t>، مصدر سابق، ص353- 354.</w:t>
      </w:r>
    </w:p>
  </w:footnote>
  <w:footnote w:id="795">
    <w:p w14:paraId="20BD151C"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شاويش، وليد مصطفى أحمد (2014م). </w:t>
      </w:r>
      <w:r w:rsidRPr="002273BC">
        <w:rPr>
          <w:rFonts w:ascii="Arabic Transparent" w:hAnsi="Arabic Transparent" w:cs="Arabic Transparent" w:hint="cs"/>
          <w:b/>
          <w:bCs/>
          <w:sz w:val="24"/>
          <w:szCs w:val="24"/>
          <w:rtl/>
          <w:lang w:bidi="ar-JO"/>
        </w:rPr>
        <w:t>أثر الإجارة في تمويل منافع التعليم في الفقه الإسلامي: التعليم الجامعي نموذجاً،</w:t>
      </w:r>
      <w:r w:rsidRPr="002273BC">
        <w:rPr>
          <w:rFonts w:ascii="Arabic Transparent" w:hAnsi="Arabic Transparent" w:cs="Arabic Transparent" w:hint="cs"/>
          <w:sz w:val="24"/>
          <w:szCs w:val="24"/>
          <w:rtl/>
          <w:lang w:bidi="ar-JO"/>
        </w:rPr>
        <w:t xml:space="preserve"> مجلة الشريعة والقانون، ع58، ص122، السنة الثامنة والعشرون، كلية القانون، جامعة الإمارات العربية المتحدة.</w:t>
      </w:r>
    </w:p>
  </w:footnote>
  <w:footnote w:id="796">
    <w:p w14:paraId="10DF9FFA"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هيئة المحاسبة والمراجعة للمؤسسات المالية الإسلامية </w:t>
      </w:r>
      <w:r w:rsidRPr="002273BC">
        <w:rPr>
          <w:rFonts w:ascii="Arabic Transparent" w:hAnsi="Arabic Transparent" w:cs="Arabic Transparent" w:hint="cs"/>
          <w:b/>
          <w:bCs/>
          <w:sz w:val="24"/>
          <w:szCs w:val="24"/>
          <w:rtl/>
          <w:lang w:bidi="ar-JO"/>
        </w:rPr>
        <w:t>– أيوفي، معيار رقم 9،</w:t>
      </w:r>
      <w:r w:rsidRPr="002273BC">
        <w:rPr>
          <w:rFonts w:ascii="Arabic Transparent" w:hAnsi="Arabic Transparent" w:cs="Arabic Transparent" w:hint="cs"/>
          <w:sz w:val="24"/>
          <w:szCs w:val="24"/>
          <w:rtl/>
          <w:lang w:bidi="ar-JO"/>
        </w:rPr>
        <w:t xml:space="preserve"> مصدر سابق، ص188.</w:t>
      </w:r>
    </w:p>
  </w:footnote>
  <w:footnote w:id="797">
    <w:p w14:paraId="6E08F443"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ابن هادي، </w:t>
      </w:r>
      <w:r w:rsidRPr="002273BC">
        <w:rPr>
          <w:rFonts w:ascii="Arabic Transparent" w:hAnsi="Arabic Transparent" w:cs="Arabic Transparent" w:hint="cs"/>
          <w:b/>
          <w:bCs/>
          <w:sz w:val="24"/>
          <w:szCs w:val="24"/>
          <w:rtl/>
          <w:lang w:bidi="ar-JO"/>
        </w:rPr>
        <w:t>أصول ضبط المعاملات المعاصر</w:t>
      </w:r>
      <w:r w:rsidRPr="002273BC">
        <w:rPr>
          <w:rFonts w:ascii="Arabic Transparent" w:hAnsi="Arabic Transparent" w:cs="Arabic Transparent" w:hint="cs"/>
          <w:sz w:val="24"/>
          <w:szCs w:val="24"/>
          <w:rtl/>
          <w:lang w:bidi="ar-JO"/>
        </w:rPr>
        <w:t>، مصدر سابق، ص353.</w:t>
      </w:r>
    </w:p>
  </w:footnote>
  <w:footnote w:id="798">
    <w:p w14:paraId="688FA240"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مجمع الفقه الإسلامي الدولي، </w:t>
      </w:r>
      <w:r w:rsidRPr="002273BC">
        <w:rPr>
          <w:rFonts w:ascii="Arabic Transparent" w:hAnsi="Arabic Transparent" w:cs="Arabic Transparent" w:hint="cs"/>
          <w:b/>
          <w:bCs/>
          <w:sz w:val="24"/>
          <w:szCs w:val="24"/>
          <w:rtl/>
          <w:lang w:bidi="ar-JO"/>
        </w:rPr>
        <w:t>مجلة مجمع الفقه الإسلامي</w:t>
      </w:r>
      <w:r w:rsidRPr="002273BC">
        <w:rPr>
          <w:rFonts w:ascii="Arabic Transparent" w:hAnsi="Arabic Transparent" w:cs="Arabic Transparent" w:hint="cs"/>
          <w:sz w:val="24"/>
          <w:szCs w:val="24"/>
          <w:rtl/>
          <w:lang w:bidi="ar-JO"/>
        </w:rPr>
        <w:t>، مصدر سابق، ع5، ج2، ص753.</w:t>
      </w:r>
    </w:p>
  </w:footnote>
  <w:footnote w:id="799">
    <w:p w14:paraId="69507173"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المجلس الأوروبي للإفتاء والبحوث (2008م). </w:t>
      </w:r>
      <w:r w:rsidRPr="002273BC">
        <w:rPr>
          <w:rFonts w:ascii="Arabic Transparent" w:hAnsi="Arabic Transparent" w:cs="Arabic Transparent" w:hint="cs"/>
          <w:b/>
          <w:bCs/>
          <w:sz w:val="24"/>
          <w:szCs w:val="24"/>
          <w:rtl/>
          <w:lang w:bidi="ar-JO"/>
        </w:rPr>
        <w:t>البيان الختامي للدورة العادية الثامنة عشر</w:t>
      </w:r>
      <w:r w:rsidRPr="002273BC">
        <w:rPr>
          <w:rFonts w:ascii="Arabic Transparent" w:hAnsi="Arabic Transparent" w:cs="Arabic Transparent" w:hint="cs"/>
          <w:sz w:val="24"/>
          <w:szCs w:val="24"/>
          <w:rtl/>
          <w:lang w:bidi="ar-JO"/>
        </w:rPr>
        <w:t xml:space="preserve">، مصدر سابق، على الرابط: </w:t>
      </w:r>
      <w:r w:rsidRPr="002273BC">
        <w:rPr>
          <w:rFonts w:ascii="Arabic Transparent" w:hAnsi="Arabic Transparent" w:cs="Arabic Transparent" w:hint="cs"/>
          <w:sz w:val="24"/>
          <w:szCs w:val="24"/>
          <w:lang w:bidi="ar-JO"/>
        </w:rPr>
        <w:t>https://www.e-cfr.org/blog/2008/07/01</w:t>
      </w:r>
      <w:r w:rsidRPr="002273BC">
        <w:rPr>
          <w:rFonts w:ascii="Arabic Transparent" w:hAnsi="Arabic Transparent" w:cs="Arabic Transparent" w:hint="cs"/>
          <w:sz w:val="24"/>
          <w:szCs w:val="24"/>
          <w:rtl/>
          <w:lang w:bidi="ar-JO"/>
        </w:rPr>
        <w:t>، تاريخ الاطلاع: 11 أبريل 2026م.</w:t>
      </w:r>
    </w:p>
  </w:footnote>
  <w:footnote w:id="800">
    <w:p w14:paraId="4E1D40D0"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lang w:bidi="ar-JO"/>
        </w:rPr>
        <w:t xml:space="preserve"> الهيئة الشرعية لبنك البلاد، </w:t>
      </w:r>
      <w:r w:rsidRPr="002273BC">
        <w:rPr>
          <w:rFonts w:ascii="Arabic Transparent" w:hAnsi="Arabic Transparent" w:cs="Arabic Transparent" w:hint="cs"/>
          <w:b/>
          <w:bCs/>
          <w:sz w:val="24"/>
          <w:szCs w:val="24"/>
          <w:rtl/>
          <w:lang w:bidi="ar-JO"/>
        </w:rPr>
        <w:t>منتج تمويل خدمة التعليم</w:t>
      </w:r>
      <w:r w:rsidRPr="002273BC">
        <w:rPr>
          <w:rFonts w:ascii="Arabic Transparent" w:hAnsi="Arabic Transparent" w:cs="Arabic Transparent" w:hint="cs"/>
          <w:sz w:val="24"/>
          <w:szCs w:val="24"/>
          <w:rtl/>
          <w:lang w:bidi="ar-JO"/>
        </w:rPr>
        <w:t xml:space="preserve">، مصدر سابق، متاح على: </w:t>
      </w:r>
      <w:r w:rsidRPr="002273BC">
        <w:rPr>
          <w:rFonts w:ascii="Arabic Transparent" w:hAnsi="Arabic Transparent" w:cs="Arabic Transparent" w:hint="cs"/>
          <w:sz w:val="24"/>
          <w:szCs w:val="24"/>
          <w:lang w:bidi="ar-JO"/>
        </w:rPr>
        <w:t>https://www.bankalbilad.com.sa/im</w:t>
      </w:r>
      <w:r w:rsidRPr="002273BC">
        <w:rPr>
          <w:rFonts w:ascii="Arabic Transparent" w:hAnsi="Arabic Transparent" w:cs="Arabic Transparent" w:hint="cs"/>
          <w:sz w:val="24"/>
          <w:szCs w:val="24"/>
          <w:rtl/>
          <w:lang w:bidi="ar-JO"/>
        </w:rPr>
        <w:t>، تاريخ الاطلاع: 11 اذار 2026م.</w:t>
      </w:r>
    </w:p>
  </w:footnote>
  <w:footnote w:id="801">
    <w:p w14:paraId="534C44F3" w14:textId="734ADD50"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ذهب إلى هذا الرأي أيضاً، </w:t>
      </w:r>
      <w:r w:rsidR="0051202A">
        <w:rPr>
          <w:rFonts w:ascii="Arabic Transparent" w:hAnsi="Arabic Transparent" w:cs="Arabic Transparent" w:hint="cs"/>
          <w:sz w:val="24"/>
          <w:szCs w:val="24"/>
          <w:rtl/>
          <w:lang w:bidi="ar-JO"/>
        </w:rPr>
        <w:t xml:space="preserve">انظر: </w:t>
      </w:r>
      <w:r w:rsidRPr="002273BC">
        <w:rPr>
          <w:rFonts w:ascii="Arabic Transparent" w:hAnsi="Arabic Transparent" w:cs="Arabic Transparent" w:hint="cs"/>
          <w:sz w:val="24"/>
          <w:szCs w:val="24"/>
          <w:rtl/>
        </w:rPr>
        <w:t xml:space="preserve">المنجد، </w:t>
      </w:r>
      <w:r w:rsidRPr="002273BC">
        <w:rPr>
          <w:rFonts w:ascii="Arabic Transparent" w:hAnsi="Arabic Transparent" w:cs="Arabic Transparent" w:hint="cs"/>
          <w:b/>
          <w:bCs/>
          <w:sz w:val="24"/>
          <w:szCs w:val="24"/>
          <w:rtl/>
        </w:rPr>
        <w:t>حكم المرابحة في المنافع والخدمات كالحج،</w:t>
      </w:r>
      <w:r w:rsidRPr="002273BC">
        <w:rPr>
          <w:rFonts w:ascii="Arabic Transparent" w:hAnsi="Arabic Transparent" w:cs="Arabic Transparent" w:hint="cs"/>
          <w:sz w:val="24"/>
          <w:szCs w:val="24"/>
          <w:rtl/>
        </w:rPr>
        <w:t xml:space="preserve"> متاح على الرابط: </w:t>
      </w:r>
      <w:r w:rsidRPr="002273BC">
        <w:rPr>
          <w:rFonts w:ascii="Arabic Transparent" w:hAnsi="Arabic Transparent" w:cs="Arabic Transparent" w:hint="cs"/>
          <w:sz w:val="24"/>
          <w:szCs w:val="24"/>
        </w:rPr>
        <w:t>https://islamqa.info/ar/answers/545435</w:t>
      </w:r>
      <w:r w:rsidRPr="002273BC">
        <w:rPr>
          <w:rFonts w:ascii="Arabic Transparent" w:hAnsi="Arabic Transparent" w:cs="Arabic Transparent" w:hint="cs"/>
          <w:sz w:val="24"/>
          <w:szCs w:val="24"/>
          <w:rtl/>
        </w:rPr>
        <w:t>، تاريخ الاطلاع: 11 أبريل 2026م.</w:t>
      </w:r>
    </w:p>
  </w:footnote>
  <w:footnote w:id="802">
    <w:p w14:paraId="2FFE12DE"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مشوقة، حمزة عدنان (2023م). </w:t>
      </w:r>
      <w:r w:rsidRPr="002273BC">
        <w:rPr>
          <w:rFonts w:ascii="Arabic Transparent" w:hAnsi="Arabic Transparent" w:cs="Arabic Transparent" w:hint="cs"/>
          <w:b/>
          <w:bCs/>
          <w:sz w:val="24"/>
          <w:szCs w:val="24"/>
          <w:rtl/>
          <w:lang w:bidi="ar-JO"/>
        </w:rPr>
        <w:t>تمويل الخدمات التعليمية والطبية من منظور فقهي</w:t>
      </w:r>
      <w:r w:rsidRPr="002273BC">
        <w:rPr>
          <w:rFonts w:ascii="Arabic Transparent" w:hAnsi="Arabic Transparent" w:cs="Arabic Transparent" w:hint="cs"/>
          <w:sz w:val="24"/>
          <w:szCs w:val="24"/>
          <w:rtl/>
          <w:lang w:bidi="ar-JO"/>
        </w:rPr>
        <w:t xml:space="preserve">، مصدر سابق، </w:t>
      </w:r>
    </w:p>
    <w:p w14:paraId="41269A67"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sz w:val="24"/>
          <w:szCs w:val="24"/>
          <w:lang w:bidi="ar-JO"/>
        </w:rPr>
        <w:t>https://www.aliftaa.jo/Research/250/Articles.aspx</w:t>
      </w:r>
      <w:r w:rsidRPr="002273BC">
        <w:rPr>
          <w:rFonts w:ascii="Arabic Transparent" w:hAnsi="Arabic Transparent" w:cs="Arabic Transparent"/>
          <w:sz w:val="24"/>
          <w:szCs w:val="24"/>
          <w:rtl/>
          <w:lang w:bidi="ar-JO"/>
        </w:rPr>
        <w:t xml:space="preserve">، تاريخ الاطلاع: 11 </w:t>
      </w:r>
      <w:r w:rsidRPr="002273BC">
        <w:rPr>
          <w:rFonts w:ascii="Arabic Transparent" w:hAnsi="Arabic Transparent" w:cs="Arabic Transparent" w:hint="cs"/>
          <w:sz w:val="24"/>
          <w:szCs w:val="24"/>
          <w:rtl/>
          <w:lang w:bidi="ar-JO"/>
        </w:rPr>
        <w:t xml:space="preserve">/3/ </w:t>
      </w:r>
      <w:r w:rsidRPr="002273BC">
        <w:rPr>
          <w:rFonts w:ascii="Arabic Transparent" w:hAnsi="Arabic Transparent" w:cs="Arabic Transparent"/>
          <w:sz w:val="24"/>
          <w:szCs w:val="24"/>
          <w:rtl/>
          <w:lang w:bidi="ar-JO"/>
        </w:rPr>
        <w:t>2026م.</w:t>
      </w:r>
    </w:p>
  </w:footnote>
  <w:footnote w:id="803">
    <w:p w14:paraId="00FE2D66"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مجلس الإفتاء الأردني (2006م). قرار رقم (108): </w:t>
      </w:r>
      <w:r w:rsidRPr="002273BC">
        <w:rPr>
          <w:rFonts w:ascii="Arabic Transparent" w:hAnsi="Arabic Transparent" w:cs="Arabic Transparent" w:hint="cs"/>
          <w:b/>
          <w:bCs/>
          <w:sz w:val="24"/>
          <w:szCs w:val="24"/>
          <w:rtl/>
          <w:lang w:bidi="ar-JO"/>
        </w:rPr>
        <w:t>الحكم على نظام المرابحة في جمعية موظفي الأسمدة الأردنية التعاونية</w:t>
      </w:r>
      <w:r w:rsidRPr="002273BC">
        <w:rPr>
          <w:rFonts w:ascii="Arabic Transparent" w:hAnsi="Arabic Transparent" w:cs="Arabic Transparent" w:hint="cs"/>
          <w:sz w:val="24"/>
          <w:szCs w:val="24"/>
          <w:rtl/>
          <w:lang w:bidi="ar-JO"/>
        </w:rPr>
        <w:t xml:space="preserve">، بتاريخ 26 ربيع الأول 1427هـ، الموافق 24 مايو 2006م، دائرة الإفتاء العام، عمان. متاح على: </w:t>
      </w:r>
      <w:r w:rsidRPr="002273BC">
        <w:rPr>
          <w:rFonts w:ascii="Arabic Transparent" w:hAnsi="Arabic Transparent" w:cs="Arabic Transparent" w:hint="cs"/>
          <w:sz w:val="24"/>
          <w:szCs w:val="24"/>
          <w:lang w:bidi="ar-JO"/>
        </w:rPr>
        <w:t>https://www.aliftaa.jo/decision/491</w:t>
      </w:r>
      <w:r w:rsidRPr="002273BC">
        <w:rPr>
          <w:rFonts w:ascii="Arabic Transparent" w:hAnsi="Arabic Transparent" w:cs="Arabic Transparent" w:hint="cs"/>
          <w:sz w:val="24"/>
          <w:szCs w:val="24"/>
          <w:rtl/>
          <w:lang w:bidi="ar-JO"/>
        </w:rPr>
        <w:t>، تاريخ الاطلاع: 12 اذار 2026م.</w:t>
      </w:r>
    </w:p>
  </w:footnote>
  <w:footnote w:id="804">
    <w:p w14:paraId="32205C93"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الصالح، علي سليمان (2023م). </w:t>
      </w:r>
      <w:r w:rsidRPr="002273BC">
        <w:rPr>
          <w:rFonts w:ascii="Arabic Transparent" w:hAnsi="Arabic Transparent" w:cs="Arabic Transparent" w:hint="cs"/>
          <w:b/>
          <w:bCs/>
          <w:sz w:val="24"/>
          <w:szCs w:val="24"/>
          <w:rtl/>
          <w:lang w:bidi="ar-JO"/>
        </w:rPr>
        <w:t>التكييف الفقهي لتمويل المنافع في المصارف الإسلامية</w:t>
      </w:r>
      <w:r w:rsidRPr="002273BC">
        <w:rPr>
          <w:rFonts w:ascii="Arabic Transparent" w:hAnsi="Arabic Transparent" w:cs="Arabic Transparent" w:hint="cs"/>
          <w:sz w:val="24"/>
          <w:szCs w:val="24"/>
          <w:rtl/>
          <w:lang w:bidi="ar-JO"/>
        </w:rPr>
        <w:t>: دراسة نقدية، مجلة الدراسات الإسلامية، مج20، ع3، ص114، جامعة الكويت، كلية الشريعة والدراسات الإسلامية، الكويت.</w:t>
      </w:r>
    </w:p>
  </w:footnote>
  <w:footnote w:id="805">
    <w:p w14:paraId="1E8C47ED"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مشوقة، حمزة عدنان (2023م). </w:t>
      </w:r>
      <w:r w:rsidRPr="002273BC">
        <w:rPr>
          <w:rFonts w:ascii="Arabic Transparent" w:hAnsi="Arabic Transparent" w:cs="Arabic Transparent" w:hint="cs"/>
          <w:b/>
          <w:bCs/>
          <w:sz w:val="24"/>
          <w:szCs w:val="24"/>
          <w:rtl/>
          <w:lang w:bidi="ar-JO"/>
        </w:rPr>
        <w:t>تمويل الخدمات التعليمية والطبية من منظور فقهي</w:t>
      </w:r>
      <w:r w:rsidRPr="002273BC">
        <w:rPr>
          <w:rFonts w:ascii="Arabic Transparent" w:hAnsi="Arabic Transparent" w:cs="Arabic Transparent" w:hint="cs"/>
          <w:sz w:val="24"/>
          <w:szCs w:val="24"/>
          <w:rtl/>
          <w:lang w:bidi="ar-JO"/>
        </w:rPr>
        <w:t xml:space="preserve">، مصدر سابق، </w:t>
      </w:r>
      <w:r w:rsidRPr="002273BC">
        <w:rPr>
          <w:rFonts w:ascii="Arabic Transparent" w:hAnsi="Arabic Transparent" w:cs="Arabic Transparent"/>
          <w:sz w:val="24"/>
          <w:szCs w:val="24"/>
          <w:lang w:bidi="ar-JO"/>
        </w:rPr>
        <w:t>https://www.aliftaa.jo/Research/250/Articles.aspx</w:t>
      </w:r>
      <w:r w:rsidRPr="002273BC">
        <w:rPr>
          <w:rFonts w:ascii="Arabic Transparent" w:hAnsi="Arabic Transparent" w:cs="Arabic Transparent"/>
          <w:sz w:val="24"/>
          <w:szCs w:val="24"/>
          <w:rtl/>
          <w:lang w:bidi="ar-JO"/>
        </w:rPr>
        <w:t>، تاريخ الاطلاع: 11 /3/ 2026م.</w:t>
      </w:r>
    </w:p>
  </w:footnote>
  <w:footnote w:id="806">
    <w:p w14:paraId="06B009E2"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lang w:bidi="ar-JO"/>
        </w:rPr>
        <w:t xml:space="preserve"> مجلس الإفتاء الأردني، </w:t>
      </w:r>
      <w:r w:rsidRPr="002273BC">
        <w:rPr>
          <w:rFonts w:ascii="Arabic Transparent" w:hAnsi="Arabic Transparent" w:cs="Arabic Transparent" w:hint="cs"/>
          <w:b/>
          <w:bCs/>
          <w:sz w:val="24"/>
          <w:szCs w:val="24"/>
          <w:rtl/>
          <w:lang w:bidi="ar-JO"/>
        </w:rPr>
        <w:t>الحكم على نظام المرابحة في جمعية موظفي الأسمدة الأردنية التعاونية</w:t>
      </w:r>
      <w:r w:rsidRPr="002273BC">
        <w:rPr>
          <w:rFonts w:ascii="Arabic Transparent" w:hAnsi="Arabic Transparent" w:cs="Arabic Transparent" w:hint="cs"/>
          <w:sz w:val="24"/>
          <w:szCs w:val="24"/>
          <w:rtl/>
          <w:lang w:bidi="ar-JO"/>
        </w:rPr>
        <w:t xml:space="preserve">، مصدر سابق، </w:t>
      </w:r>
      <w:r w:rsidRPr="002273BC">
        <w:rPr>
          <w:rFonts w:ascii="Arabic Transparent" w:hAnsi="Arabic Transparent" w:cs="Arabic Transparent" w:hint="cs"/>
          <w:sz w:val="24"/>
          <w:szCs w:val="24"/>
          <w:lang w:bidi="ar-JO"/>
        </w:rPr>
        <w:t>https://www.aliftaa.jo/decision/491</w:t>
      </w:r>
      <w:r w:rsidRPr="002273BC">
        <w:rPr>
          <w:rFonts w:ascii="Arabic Transparent" w:hAnsi="Arabic Transparent" w:cs="Arabic Transparent" w:hint="cs"/>
          <w:sz w:val="24"/>
          <w:szCs w:val="24"/>
          <w:rtl/>
          <w:lang w:bidi="ar-JO"/>
        </w:rPr>
        <w:t>، تاريخ الاطلاع: 12 اذار 2026م.</w:t>
      </w:r>
    </w:p>
  </w:footnote>
  <w:footnote w:id="807">
    <w:p w14:paraId="2A77D677"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مشوقة، حمزة عدنان (2023م). </w:t>
      </w:r>
      <w:r w:rsidRPr="002273BC">
        <w:rPr>
          <w:rFonts w:ascii="Arabic Transparent" w:hAnsi="Arabic Transparent" w:cs="Arabic Transparent" w:hint="cs"/>
          <w:b/>
          <w:bCs/>
          <w:sz w:val="24"/>
          <w:szCs w:val="24"/>
          <w:rtl/>
          <w:lang w:bidi="ar-JO"/>
        </w:rPr>
        <w:t>تمويل الخدمات التعليمية والطبية من منظور فقهي</w:t>
      </w:r>
      <w:r w:rsidRPr="002273BC">
        <w:rPr>
          <w:rFonts w:ascii="Arabic Transparent" w:hAnsi="Arabic Transparent" w:cs="Arabic Transparent" w:hint="cs"/>
          <w:sz w:val="24"/>
          <w:szCs w:val="24"/>
          <w:rtl/>
          <w:lang w:bidi="ar-JO"/>
        </w:rPr>
        <w:t xml:space="preserve">، مصدر سابق، </w:t>
      </w:r>
      <w:r w:rsidRPr="002273BC">
        <w:rPr>
          <w:rFonts w:ascii="Arabic Transparent" w:hAnsi="Arabic Transparent" w:cs="Arabic Transparent"/>
          <w:sz w:val="24"/>
          <w:szCs w:val="24"/>
          <w:lang w:bidi="ar-JO"/>
        </w:rPr>
        <w:t>https://www.aliftaa.jo/Research/250/Articles.aspx</w:t>
      </w:r>
      <w:r w:rsidRPr="002273BC">
        <w:rPr>
          <w:rFonts w:ascii="Arabic Transparent" w:hAnsi="Arabic Transparent" w:cs="Arabic Transparent"/>
          <w:sz w:val="24"/>
          <w:szCs w:val="24"/>
          <w:rtl/>
          <w:lang w:bidi="ar-JO"/>
        </w:rPr>
        <w:t>، تاريخ الاطلاع: 11 /3/ 2026م.</w:t>
      </w:r>
    </w:p>
  </w:footnote>
  <w:footnote w:id="808">
    <w:p w14:paraId="526B6DA1"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الصالح، علي سليمان (2023م</w:t>
      </w:r>
      <w:r w:rsidRPr="002273BC">
        <w:rPr>
          <w:rFonts w:ascii="Arabic Transparent" w:hAnsi="Arabic Transparent" w:cs="Arabic Transparent" w:hint="cs"/>
          <w:b/>
          <w:bCs/>
          <w:sz w:val="24"/>
          <w:szCs w:val="24"/>
          <w:rtl/>
          <w:lang w:bidi="ar-JO"/>
        </w:rPr>
        <w:t>). التكييف الفقهي لتمويل المنافع في المصارف الإسلامية</w:t>
      </w:r>
      <w:r w:rsidRPr="002273BC">
        <w:rPr>
          <w:rFonts w:ascii="Arabic Transparent" w:hAnsi="Arabic Transparent" w:cs="Arabic Transparent" w:hint="cs"/>
          <w:sz w:val="24"/>
          <w:szCs w:val="24"/>
          <w:rtl/>
          <w:lang w:bidi="ar-JO"/>
        </w:rPr>
        <w:t>: دراسة نقدية، مجلة الدراسات الإسلامية، مج20، ع3، ص111، جامعة الكويت، كلية الشريعة والدراسات الإسلامية، الكويت.</w:t>
      </w:r>
    </w:p>
  </w:footnote>
  <w:footnote w:id="809">
    <w:p w14:paraId="7E59AC3D"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شاويش، </w:t>
      </w:r>
      <w:r w:rsidRPr="002273BC">
        <w:rPr>
          <w:rFonts w:ascii="Arabic Transparent" w:hAnsi="Arabic Transparent" w:cs="Arabic Transparent" w:hint="cs"/>
          <w:b/>
          <w:bCs/>
          <w:sz w:val="24"/>
          <w:szCs w:val="24"/>
          <w:rtl/>
          <w:lang w:bidi="ar-JO"/>
        </w:rPr>
        <w:t>أثر الإجارة في تمويل منافع التعليم في الفقه الإسلامي</w:t>
      </w:r>
      <w:r w:rsidRPr="002273BC">
        <w:rPr>
          <w:rFonts w:ascii="Arabic Transparent" w:hAnsi="Arabic Transparent" w:cs="Arabic Transparent" w:hint="cs"/>
          <w:sz w:val="24"/>
          <w:szCs w:val="24"/>
          <w:rtl/>
          <w:lang w:bidi="ar-JO"/>
        </w:rPr>
        <w:t>: التعليم الجامعي نموذجاً، مصدر سابق، ع58، ص122.</w:t>
      </w:r>
    </w:p>
  </w:footnote>
  <w:footnote w:id="810">
    <w:p w14:paraId="51319426" w14:textId="55A25843"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00F900EE">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sz w:val="24"/>
          <w:szCs w:val="24"/>
          <w:rtl/>
          <w:lang w:bidi="ar-JO"/>
        </w:rPr>
        <w:t>ابن القيم</w:t>
      </w:r>
      <w:r w:rsidRPr="002273BC">
        <w:rPr>
          <w:rFonts w:ascii="Arabic Transparent" w:hAnsi="Arabic Transparent" w:cs="Arabic Transparent" w:hint="cs"/>
          <w:b/>
          <w:bCs/>
          <w:sz w:val="24"/>
          <w:szCs w:val="24"/>
          <w:rtl/>
          <w:lang w:bidi="ar-JO"/>
        </w:rPr>
        <w:t>، إعلام الموقعين عن ربّ العالمين</w:t>
      </w:r>
      <w:r w:rsidRPr="002273BC">
        <w:rPr>
          <w:rFonts w:ascii="Arabic Transparent" w:hAnsi="Arabic Transparent" w:cs="Arabic Transparent" w:hint="cs"/>
          <w:sz w:val="24"/>
          <w:szCs w:val="24"/>
          <w:rtl/>
          <w:lang w:bidi="ar-JO"/>
        </w:rPr>
        <w:t>، مصدر سابق، ج2، ص122.</w:t>
      </w:r>
    </w:p>
  </w:footnote>
  <w:footnote w:id="811">
    <w:p w14:paraId="760D5689"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القرافي، </w:t>
      </w:r>
      <w:r w:rsidRPr="002273BC">
        <w:rPr>
          <w:rFonts w:ascii="Arabic Transparent" w:hAnsi="Arabic Transparent" w:cs="Arabic Transparent" w:hint="cs"/>
          <w:b/>
          <w:bCs/>
          <w:sz w:val="24"/>
          <w:szCs w:val="24"/>
          <w:rtl/>
          <w:lang w:bidi="ar-JO"/>
        </w:rPr>
        <w:t>الفروق،</w:t>
      </w:r>
      <w:r w:rsidRPr="002273BC">
        <w:rPr>
          <w:rFonts w:ascii="Arabic Transparent" w:hAnsi="Arabic Transparent" w:cs="Arabic Transparent" w:hint="cs"/>
          <w:sz w:val="24"/>
          <w:szCs w:val="24"/>
          <w:rtl/>
          <w:lang w:bidi="ar-JO"/>
        </w:rPr>
        <w:t xml:space="preserve"> مصدر سابق، ج2، ص33.</w:t>
      </w:r>
    </w:p>
  </w:footnote>
  <w:footnote w:id="812">
    <w:p w14:paraId="78BDB2B6"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انظر: السرطاوي، </w:t>
      </w:r>
      <w:r w:rsidRPr="002273BC">
        <w:rPr>
          <w:rFonts w:ascii="Arabic Transparent" w:hAnsi="Arabic Transparent" w:cs="Arabic Transparent" w:hint="cs"/>
          <w:b/>
          <w:bCs/>
          <w:sz w:val="24"/>
          <w:szCs w:val="24"/>
          <w:rtl/>
          <w:lang w:bidi="ar-JO"/>
        </w:rPr>
        <w:t>الضوابط المعيارية لصيغ الاستثمار في المؤسسات المالية الإسلامية</w:t>
      </w:r>
      <w:r w:rsidRPr="002273BC">
        <w:rPr>
          <w:rFonts w:ascii="Arabic Transparent" w:hAnsi="Arabic Transparent" w:cs="Arabic Transparent" w:hint="cs"/>
          <w:sz w:val="24"/>
          <w:szCs w:val="24"/>
          <w:rtl/>
          <w:lang w:bidi="ar-JO"/>
        </w:rPr>
        <w:t>، مصدر سابق، ص339.</w:t>
      </w:r>
    </w:p>
  </w:footnote>
  <w:footnote w:id="813">
    <w:p w14:paraId="207DF485" w14:textId="77777777" w:rsidR="00201DD5" w:rsidRPr="002273BC" w:rsidRDefault="00201DD5" w:rsidP="00EA3738">
      <w:pPr>
        <w:spacing w:line="360" w:lineRule="auto"/>
        <w:jc w:val="both"/>
        <w:rPr>
          <w:rFonts w:ascii="Arabic Transparent" w:hAnsi="Arabic Transparent" w:cs="Arabic Transparent"/>
          <w:sz w:val="24"/>
          <w:szCs w:val="24"/>
          <w:rtl/>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انظر: ابن هادي، وليد (2011م</w:t>
      </w:r>
      <w:r w:rsidRPr="002273BC">
        <w:rPr>
          <w:rFonts w:ascii="Arabic Transparent" w:hAnsi="Arabic Transparent" w:cs="Arabic Transparent" w:hint="cs"/>
          <w:b/>
          <w:bCs/>
          <w:sz w:val="24"/>
          <w:szCs w:val="24"/>
          <w:rtl/>
        </w:rPr>
        <w:t>). أصول ضبط المعاملات المعاصرة</w:t>
      </w:r>
      <w:r w:rsidRPr="002273BC">
        <w:rPr>
          <w:rFonts w:ascii="Arabic Transparent" w:hAnsi="Arabic Transparent" w:cs="Arabic Transparent" w:hint="cs"/>
          <w:sz w:val="24"/>
          <w:szCs w:val="24"/>
          <w:rtl/>
        </w:rPr>
        <w:t>، ط1، ص353، مركز الكتاب للنشر، القاهرة.</w:t>
      </w:r>
    </w:p>
  </w:footnote>
  <w:footnote w:id="814">
    <w:p w14:paraId="59BAD101" w14:textId="5A6C6F91"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انظر: الصالح، </w:t>
      </w:r>
      <w:r w:rsidRPr="002273BC">
        <w:rPr>
          <w:rFonts w:ascii="Arabic Transparent" w:hAnsi="Arabic Transparent" w:cs="Arabic Transparent" w:hint="cs"/>
          <w:b/>
          <w:bCs/>
          <w:sz w:val="24"/>
          <w:szCs w:val="24"/>
          <w:rtl/>
          <w:lang w:bidi="ar-JO"/>
        </w:rPr>
        <w:t>التكييف الفقهي لتمويل المنافع في المصارف الإسلامية: دراسة نقدية</w:t>
      </w:r>
      <w:r w:rsidRPr="002273BC">
        <w:rPr>
          <w:rFonts w:ascii="Arabic Transparent" w:hAnsi="Arabic Transparent" w:cs="Arabic Transparent" w:hint="cs"/>
          <w:sz w:val="24"/>
          <w:szCs w:val="24"/>
          <w:rtl/>
          <w:lang w:bidi="ar-JO"/>
        </w:rPr>
        <w:t>، مصدر سابق،</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ص89-116.</w:t>
      </w:r>
    </w:p>
  </w:footnote>
  <w:footnote w:id="815">
    <w:p w14:paraId="6EF0F272"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كما فعل الدكتور وليد الشاويش بدراسة مكنونات عقد التعليم الجامعي الذي تجريه المصارف، وتعرض للإشكالات والحلول: شاويش، </w:t>
      </w:r>
      <w:r w:rsidRPr="002273BC">
        <w:rPr>
          <w:rFonts w:ascii="Arabic Transparent" w:hAnsi="Arabic Transparent" w:cs="Arabic Transparent" w:hint="cs"/>
          <w:b/>
          <w:bCs/>
          <w:sz w:val="24"/>
          <w:szCs w:val="24"/>
          <w:rtl/>
          <w:lang w:bidi="ar-JO"/>
        </w:rPr>
        <w:t>أثر الإجارة في تمويل منافع التعليم في الفقه الإسلامي: التعليم الجامعي نموذجاً</w:t>
      </w:r>
      <w:r w:rsidRPr="002273BC">
        <w:rPr>
          <w:rFonts w:ascii="Arabic Transparent" w:hAnsi="Arabic Transparent" w:cs="Arabic Transparent" w:hint="cs"/>
          <w:sz w:val="24"/>
          <w:szCs w:val="24"/>
          <w:rtl/>
          <w:lang w:bidi="ar-JO"/>
        </w:rPr>
        <w:t>، مصدر سابق، ع58، ص122.</w:t>
      </w:r>
    </w:p>
  </w:footnote>
  <w:footnote w:id="816">
    <w:p w14:paraId="2C91EC83" w14:textId="5BF8FD65"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00F900EE">
        <w:rPr>
          <w:rFonts w:ascii="Arabic Transparent" w:hAnsi="Arabic Transparent" w:cs="Arabic Transparent" w:hint="cs"/>
          <w:sz w:val="24"/>
          <w:szCs w:val="24"/>
          <w:rtl/>
        </w:rPr>
        <w:t xml:space="preserve">انظر: </w:t>
      </w:r>
      <w:r w:rsidRPr="002273BC">
        <w:rPr>
          <w:rFonts w:ascii="Arabic Transparent" w:hAnsi="Arabic Transparent" w:cs="Arabic Transparent" w:hint="cs"/>
          <w:sz w:val="24"/>
          <w:szCs w:val="24"/>
          <w:rtl/>
          <w:lang w:bidi="ar-JO"/>
        </w:rPr>
        <w:t xml:space="preserve">لجنة الإفتاء (2025). </w:t>
      </w:r>
      <w:r w:rsidRPr="002273BC">
        <w:rPr>
          <w:rFonts w:ascii="Arabic Transparent" w:hAnsi="Arabic Transparent" w:cs="Arabic Transparent" w:hint="cs"/>
          <w:b/>
          <w:bCs/>
          <w:sz w:val="24"/>
          <w:szCs w:val="24"/>
          <w:rtl/>
          <w:lang w:bidi="ar-JO"/>
        </w:rPr>
        <w:t>"ضوابط عقود تمويل المنافع</w:t>
      </w:r>
      <w:r w:rsidRPr="002273BC">
        <w:rPr>
          <w:rFonts w:ascii="Arabic Transparent" w:hAnsi="Arabic Transparent" w:cs="Arabic Transparent" w:hint="cs"/>
          <w:sz w:val="24"/>
          <w:szCs w:val="24"/>
          <w:rtl/>
          <w:lang w:bidi="ar-JO"/>
        </w:rPr>
        <w:t xml:space="preserve">"، فتوى بحثية رقم (4023)، دائرة الإفتاء العام، الأردن، 19/11/2025م، متاح على الرابط: </w:t>
      </w:r>
      <w:r w:rsidRPr="002273BC">
        <w:rPr>
          <w:rFonts w:ascii="Arabic Transparent" w:hAnsi="Arabic Transparent" w:cs="Arabic Transparent" w:hint="cs"/>
          <w:sz w:val="24"/>
          <w:szCs w:val="24"/>
          <w:lang w:bidi="ar-JO"/>
        </w:rPr>
        <w:t>https://www.aliftaa.jo/research-fatwas/4023</w:t>
      </w:r>
      <w:r w:rsidRPr="002273BC">
        <w:rPr>
          <w:rFonts w:ascii="Arabic Transparent" w:hAnsi="Arabic Transparent" w:cs="Arabic Transparent" w:hint="cs"/>
          <w:sz w:val="24"/>
          <w:szCs w:val="24"/>
          <w:rtl/>
          <w:lang w:bidi="ar-JO"/>
        </w:rPr>
        <w:t>/ضوابط-عقود-تمويل-المنافع</w:t>
      </w:r>
      <w:r w:rsidR="005D7B91" w:rsidRPr="002273BC">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sz w:val="24"/>
          <w:szCs w:val="24"/>
          <w:rtl/>
          <w:lang w:bidi="ar-JO"/>
        </w:rPr>
        <w:t>تاريخ الاطلاع: 12/4/2026م.</w:t>
      </w:r>
    </w:p>
  </w:footnote>
  <w:footnote w:id="817">
    <w:p w14:paraId="752B230C" w14:textId="3F73150B"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انظر: أبو غدة، عبد الستار (2019). </w:t>
      </w:r>
      <w:r w:rsidRPr="002273BC">
        <w:rPr>
          <w:rFonts w:ascii="Arabic Transparent" w:hAnsi="Arabic Transparent" w:cs="Arabic Transparent" w:hint="cs"/>
          <w:b/>
          <w:bCs/>
          <w:sz w:val="24"/>
          <w:szCs w:val="24"/>
          <w:rtl/>
          <w:lang w:bidi="ar-JO"/>
        </w:rPr>
        <w:t>"تمويل المنافع بأوروبا</w:t>
      </w:r>
      <w:r w:rsidRPr="002273BC">
        <w:rPr>
          <w:rFonts w:ascii="Arabic Transparent" w:hAnsi="Arabic Transparent" w:cs="Arabic Transparent" w:hint="cs"/>
          <w:sz w:val="24"/>
          <w:szCs w:val="24"/>
          <w:rtl/>
          <w:lang w:bidi="ar-JO"/>
        </w:rPr>
        <w:t xml:space="preserve">"، المجلس الأوروبي للإفتاء والبحوث، 8/1/2019م، متاح على الرابط: </w:t>
      </w:r>
      <w:r w:rsidRPr="002273BC">
        <w:rPr>
          <w:rFonts w:ascii="Arabic Transparent" w:hAnsi="Arabic Transparent" w:cs="Arabic Transparent" w:hint="cs"/>
          <w:sz w:val="24"/>
          <w:szCs w:val="24"/>
          <w:lang w:bidi="ar-JO"/>
        </w:rPr>
        <w:t>https://www.e-cfr.org/blog/2019/01/08</w:t>
      </w:r>
      <w:r w:rsidRPr="002273BC">
        <w:rPr>
          <w:rFonts w:ascii="Arabic Transparent" w:hAnsi="Arabic Transparent" w:cs="Arabic Transparent" w:hint="cs"/>
          <w:sz w:val="24"/>
          <w:szCs w:val="24"/>
          <w:rtl/>
          <w:lang w:bidi="ar-JO"/>
        </w:rPr>
        <w:t>/تمويل-المنافع-بأوروبا/</w:t>
      </w:r>
      <w:r w:rsidR="005D7B91" w:rsidRPr="002273BC">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sz w:val="24"/>
          <w:szCs w:val="24"/>
          <w:rtl/>
          <w:lang w:bidi="ar-JO"/>
        </w:rPr>
        <w:t>تاريخ الاطلاع: 12/4/2026م.</w:t>
      </w:r>
    </w:p>
  </w:footnote>
  <w:footnote w:id="818">
    <w:p w14:paraId="12EC6BD0"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انظر: شاويش، </w:t>
      </w:r>
      <w:r w:rsidRPr="002273BC">
        <w:rPr>
          <w:rFonts w:ascii="Arabic Transparent" w:hAnsi="Arabic Transparent" w:cs="Arabic Transparent" w:hint="cs"/>
          <w:b/>
          <w:bCs/>
          <w:sz w:val="24"/>
          <w:szCs w:val="24"/>
          <w:rtl/>
          <w:lang w:bidi="ar-JO"/>
        </w:rPr>
        <w:t>أثر الإجارة في تمويل منافع التعليم في الفقه الإسلامي: التعليم الجامعي نموذجاً</w:t>
      </w:r>
      <w:r w:rsidRPr="002273BC">
        <w:rPr>
          <w:rFonts w:ascii="Arabic Transparent" w:hAnsi="Arabic Transparent" w:cs="Arabic Transparent" w:hint="cs"/>
          <w:sz w:val="24"/>
          <w:szCs w:val="24"/>
          <w:rtl/>
          <w:lang w:bidi="ar-JO"/>
        </w:rPr>
        <w:t>، مصدر سابق، ص122.</w:t>
      </w:r>
    </w:p>
  </w:footnote>
  <w:footnote w:id="819">
    <w:p w14:paraId="12F0C622" w14:textId="4FD351ED" w:rsidR="00201DD5" w:rsidRPr="002273BC" w:rsidRDefault="00201DD5" w:rsidP="00EA3738">
      <w:pPr>
        <w:pStyle w:val="FootnoteText"/>
        <w:spacing w:line="360" w:lineRule="auto"/>
        <w:jc w:val="both"/>
        <w:rPr>
          <w:rFonts w:ascii="Arabic Transparent" w:hAnsi="Arabic Transparent" w:cs="Arabic Transparent"/>
          <w:sz w:val="24"/>
          <w:szCs w:val="24"/>
          <w:rtl/>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ابن تيمية، أحمد بن عبد الحليم بن عبد السلام (2019</w:t>
      </w:r>
      <w:r w:rsidRPr="002273BC">
        <w:rPr>
          <w:rFonts w:ascii="Arabic Transparent" w:hAnsi="Arabic Transparent" w:cs="Arabic Transparent" w:hint="cs"/>
          <w:b/>
          <w:bCs/>
          <w:sz w:val="24"/>
          <w:szCs w:val="24"/>
          <w:rtl/>
        </w:rPr>
        <w:t>)، تنبيه الرجل العاقل على تمويه الجدل الباطل</w:t>
      </w:r>
      <w:r w:rsidRPr="002273BC">
        <w:rPr>
          <w:rFonts w:ascii="Arabic Transparent" w:hAnsi="Arabic Transparent" w:cs="Arabic Transparent" w:hint="cs"/>
          <w:sz w:val="24"/>
          <w:szCs w:val="24"/>
          <w:rtl/>
        </w:rPr>
        <w:t>، تحقيق: علي بن محمد العمران ومحمد عزير شمس، ط3،</w:t>
      </w:r>
      <w:r w:rsidR="00EA3738">
        <w:rPr>
          <w:rFonts w:ascii="Arabic Transparent" w:hAnsi="Arabic Transparent" w:cs="Arabic Transparent" w:hint="cs"/>
          <w:sz w:val="24"/>
          <w:szCs w:val="24"/>
          <w:rtl/>
        </w:rPr>
        <w:t xml:space="preserve"> ج1، ص74،</w:t>
      </w:r>
      <w:r w:rsidRPr="002273BC">
        <w:rPr>
          <w:rFonts w:ascii="Arabic Transparent" w:hAnsi="Arabic Transparent" w:cs="Arabic Transparent" w:hint="cs"/>
          <w:sz w:val="24"/>
          <w:szCs w:val="24"/>
          <w:rtl/>
        </w:rPr>
        <w:t xml:space="preserve"> دار ابن حزم، بيروت.</w:t>
      </w:r>
    </w:p>
  </w:footnote>
  <w:footnote w:id="820">
    <w:p w14:paraId="39EDC957" w14:textId="0D00FE72"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انظر: الصالح، </w:t>
      </w:r>
      <w:r w:rsidRPr="002273BC">
        <w:rPr>
          <w:rFonts w:ascii="Arabic Transparent" w:hAnsi="Arabic Transparent" w:cs="Arabic Transparent" w:hint="cs"/>
          <w:b/>
          <w:bCs/>
          <w:sz w:val="24"/>
          <w:szCs w:val="24"/>
          <w:rtl/>
          <w:lang w:bidi="ar-JO"/>
        </w:rPr>
        <w:t>التكييف الفقهي لتمويل المنافع في المصارف الإسلامية: دراسة نقدية</w:t>
      </w:r>
      <w:r w:rsidRPr="002273BC">
        <w:rPr>
          <w:rFonts w:ascii="Arabic Transparent" w:hAnsi="Arabic Transparent" w:cs="Arabic Transparent" w:hint="cs"/>
          <w:sz w:val="24"/>
          <w:szCs w:val="24"/>
          <w:rtl/>
          <w:lang w:bidi="ar-JO"/>
        </w:rPr>
        <w:t>، مصدر سابق، ص89-116.</w:t>
      </w:r>
    </w:p>
  </w:footnote>
  <w:footnote w:id="821">
    <w:p w14:paraId="7251D0EA" w14:textId="6E85A709"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lang w:bidi="ar-JO"/>
        </w:rPr>
        <w:t xml:space="preserve"> علام، شوقي إبراهيم (2023</w:t>
      </w:r>
      <w:r w:rsidRPr="002273BC">
        <w:rPr>
          <w:rFonts w:ascii="Arabic Transparent" w:hAnsi="Arabic Transparent" w:cs="Arabic Transparent" w:hint="cs"/>
          <w:b/>
          <w:bCs/>
          <w:sz w:val="24"/>
          <w:szCs w:val="24"/>
          <w:rtl/>
          <w:lang w:bidi="ar-JO"/>
        </w:rPr>
        <w:t>). "حكم استخدام التمويل في غير الغرض المنصوص عليه في العقد</w:t>
      </w:r>
      <w:r w:rsidRPr="002273BC">
        <w:rPr>
          <w:rFonts w:ascii="Arabic Transparent" w:hAnsi="Arabic Transparent" w:cs="Arabic Transparent" w:hint="cs"/>
          <w:sz w:val="24"/>
          <w:szCs w:val="24"/>
          <w:rtl/>
          <w:lang w:bidi="ar-JO"/>
        </w:rPr>
        <w:t xml:space="preserve">"، فتوى رقم (7590)، دار الإفتاء المصرية، القاهرة، 9/4/2023م، متاح على الرابط: </w:t>
      </w:r>
      <w:r w:rsidRPr="002273BC">
        <w:rPr>
          <w:rFonts w:ascii="Arabic Transparent" w:hAnsi="Arabic Transparent" w:cs="Arabic Transparent" w:hint="cs"/>
          <w:sz w:val="24"/>
          <w:szCs w:val="24"/>
          <w:lang w:bidi="ar-JO"/>
        </w:rPr>
        <w:t>https://dar-alifta.org/ar/fatwa/details/18690</w:t>
      </w:r>
      <w:r w:rsidR="005D7B91" w:rsidRPr="002273BC">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sz w:val="24"/>
          <w:szCs w:val="24"/>
          <w:rtl/>
          <w:lang w:bidi="ar-JO"/>
        </w:rPr>
        <w:t>تاريخ الاطلاع: 12/4/2026م.</w:t>
      </w:r>
    </w:p>
  </w:footnote>
  <w:footnote w:id="822">
    <w:p w14:paraId="47C897B2" w14:textId="36468EEA"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لجنة الإفتاء (2019). </w:t>
      </w:r>
      <w:r w:rsidRPr="002273BC">
        <w:rPr>
          <w:rFonts w:ascii="Arabic Transparent" w:hAnsi="Arabic Transparent" w:cs="Arabic Transparent" w:hint="cs"/>
          <w:b/>
          <w:bCs/>
          <w:sz w:val="24"/>
          <w:szCs w:val="24"/>
          <w:rtl/>
          <w:lang w:bidi="ar-JO"/>
        </w:rPr>
        <w:t>"حكم تقديم خدمة التقسيط للرسوم الجامعية بنظام المرابحة</w:t>
      </w:r>
      <w:r w:rsidRPr="002273BC">
        <w:rPr>
          <w:rFonts w:ascii="Arabic Transparent" w:hAnsi="Arabic Transparent" w:cs="Arabic Transparent" w:hint="cs"/>
          <w:sz w:val="24"/>
          <w:szCs w:val="24"/>
          <w:rtl/>
          <w:lang w:bidi="ar-JO"/>
        </w:rPr>
        <w:t xml:space="preserve">"، فتوى بحثية رقم (3517)، دائرة الإفتاء العام، الأردن، 7/7/2019م، متاح على الرابط: </w:t>
      </w:r>
      <w:r w:rsidRPr="002273BC">
        <w:rPr>
          <w:rFonts w:ascii="Arabic Transparent" w:hAnsi="Arabic Transparent" w:cs="Arabic Transparent" w:hint="cs"/>
          <w:sz w:val="24"/>
          <w:szCs w:val="24"/>
          <w:lang w:bidi="ar-JO"/>
        </w:rPr>
        <w:t>https://www.aliftaa.jo/research-fatwas/3517</w:t>
      </w:r>
      <w:r w:rsidR="005D7B91" w:rsidRPr="002273BC">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sz w:val="24"/>
          <w:szCs w:val="24"/>
          <w:rtl/>
          <w:lang w:bidi="ar-JO"/>
        </w:rPr>
        <w:t>تاريخ الاطلاع: 12/4/2026م.</w:t>
      </w:r>
    </w:p>
  </w:footnote>
  <w:footnote w:id="823">
    <w:p w14:paraId="757056B6"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انظر: شاويش، </w:t>
      </w:r>
      <w:r w:rsidRPr="002273BC">
        <w:rPr>
          <w:rFonts w:ascii="Arabic Transparent" w:hAnsi="Arabic Transparent" w:cs="Arabic Transparent" w:hint="cs"/>
          <w:b/>
          <w:bCs/>
          <w:sz w:val="24"/>
          <w:szCs w:val="24"/>
          <w:rtl/>
          <w:lang w:bidi="ar-JO"/>
        </w:rPr>
        <w:t>أثر الإجارة في تمويل منافع التعليم في الفقه الإسلامي: التعليم الجامعي نموذجاً</w:t>
      </w:r>
      <w:r w:rsidRPr="002273BC">
        <w:rPr>
          <w:rFonts w:ascii="Arabic Transparent" w:hAnsi="Arabic Transparent" w:cs="Arabic Transparent" w:hint="cs"/>
          <w:sz w:val="24"/>
          <w:szCs w:val="24"/>
          <w:rtl/>
          <w:lang w:bidi="ar-JO"/>
        </w:rPr>
        <w:t>، مصدر سابق، ص122.</w:t>
      </w:r>
    </w:p>
  </w:footnote>
  <w:footnote w:id="824">
    <w:p w14:paraId="71BB7628"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انظر: الصالح، </w:t>
      </w:r>
      <w:r w:rsidRPr="002273BC">
        <w:rPr>
          <w:rFonts w:ascii="Arabic Transparent" w:hAnsi="Arabic Transparent" w:cs="Arabic Transparent" w:hint="cs"/>
          <w:b/>
          <w:bCs/>
          <w:sz w:val="24"/>
          <w:szCs w:val="24"/>
          <w:rtl/>
          <w:lang w:bidi="ar-JO"/>
        </w:rPr>
        <w:t>التكييف الفقهي لتمويل المنافع في المصارف الإسلامية: دراسة نقدية،</w:t>
      </w:r>
      <w:r w:rsidRPr="002273BC">
        <w:rPr>
          <w:rFonts w:ascii="Arabic Transparent" w:hAnsi="Arabic Transparent" w:cs="Arabic Transparent" w:hint="cs"/>
          <w:sz w:val="24"/>
          <w:szCs w:val="24"/>
          <w:rtl/>
          <w:lang w:bidi="ar-JO"/>
        </w:rPr>
        <w:t xml:space="preserve"> مصدر سابق، ص89-116.</w:t>
      </w:r>
    </w:p>
  </w:footnote>
  <w:footnote w:id="825">
    <w:p w14:paraId="3FB0C80E" w14:textId="19957E4E"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00F900EE">
        <w:rPr>
          <w:rFonts w:ascii="Arabic Transparent" w:hAnsi="Arabic Transparent" w:cs="Arabic Transparent" w:hint="cs"/>
          <w:sz w:val="24"/>
          <w:szCs w:val="24"/>
          <w:rtl/>
        </w:rPr>
        <w:t xml:space="preserve"> انظر:</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مشوقة، حمزة عدنان (2023م</w:t>
      </w:r>
      <w:r w:rsidRPr="002273BC">
        <w:rPr>
          <w:rFonts w:ascii="Arabic Transparent" w:hAnsi="Arabic Transparent" w:cs="Arabic Transparent" w:hint="cs"/>
          <w:b/>
          <w:bCs/>
          <w:sz w:val="24"/>
          <w:szCs w:val="24"/>
          <w:rtl/>
          <w:lang w:bidi="ar-JO"/>
        </w:rPr>
        <w:t>). تمويل الخدمات التعليمية والطبية من منظور فقهي</w:t>
      </w:r>
      <w:r w:rsidRPr="002273BC">
        <w:rPr>
          <w:rFonts w:ascii="Arabic Transparent" w:hAnsi="Arabic Transparent" w:cs="Arabic Transparent" w:hint="cs"/>
          <w:sz w:val="24"/>
          <w:szCs w:val="24"/>
          <w:rtl/>
          <w:lang w:bidi="ar-JO"/>
        </w:rPr>
        <w:t xml:space="preserve">، مصدر سابق، </w:t>
      </w:r>
      <w:r w:rsidRPr="002273BC">
        <w:rPr>
          <w:rFonts w:ascii="Arabic Transparent" w:hAnsi="Arabic Transparent" w:cs="Arabic Transparent"/>
          <w:sz w:val="24"/>
          <w:szCs w:val="24"/>
          <w:lang w:bidi="ar-JO"/>
        </w:rPr>
        <w:t>https://www.aliftaa.jo/Research/250/Articles.aspx</w:t>
      </w:r>
      <w:r w:rsidRPr="002273BC">
        <w:rPr>
          <w:rFonts w:ascii="Arabic Transparent" w:hAnsi="Arabic Transparent" w:cs="Arabic Transparent"/>
          <w:sz w:val="24"/>
          <w:szCs w:val="24"/>
          <w:rtl/>
          <w:lang w:bidi="ar-JO"/>
        </w:rPr>
        <w:t>، تاريخ الاطلاع: 11 /3/ 2026م.</w:t>
      </w:r>
    </w:p>
  </w:footnote>
  <w:footnote w:id="826">
    <w:p w14:paraId="7BF78DBC"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انظر: شاويش</w:t>
      </w:r>
      <w:r w:rsidRPr="002273BC">
        <w:rPr>
          <w:rFonts w:ascii="Arabic Transparent" w:hAnsi="Arabic Transparent" w:cs="Arabic Transparent" w:hint="cs"/>
          <w:b/>
          <w:bCs/>
          <w:sz w:val="24"/>
          <w:szCs w:val="24"/>
          <w:rtl/>
          <w:lang w:bidi="ar-JO"/>
        </w:rPr>
        <w:t>، أثر الإجارة في تمويل منافع التعليم في الفقه الإسلامي: التعليم الجامعي نموذجاً</w:t>
      </w:r>
      <w:r w:rsidRPr="002273BC">
        <w:rPr>
          <w:rFonts w:ascii="Arabic Transparent" w:hAnsi="Arabic Transparent" w:cs="Arabic Transparent" w:hint="cs"/>
          <w:sz w:val="24"/>
          <w:szCs w:val="24"/>
          <w:rtl/>
          <w:lang w:bidi="ar-JO"/>
        </w:rPr>
        <w:t>، مصدر سابق، ص136.</w:t>
      </w:r>
    </w:p>
  </w:footnote>
  <w:footnote w:id="827">
    <w:p w14:paraId="63055E87" w14:textId="72AFE819" w:rsidR="00201DD5" w:rsidRPr="002273BC" w:rsidRDefault="00201DD5" w:rsidP="00EA3738">
      <w:pPr>
        <w:pStyle w:val="FootnoteText"/>
        <w:spacing w:line="360" w:lineRule="auto"/>
        <w:jc w:val="both"/>
        <w:rPr>
          <w:rFonts w:ascii="Arabic Transparent" w:hAnsi="Arabic Transparent" w:cs="Arabic Transparent"/>
          <w:sz w:val="24"/>
          <w:szCs w:val="24"/>
          <w:rtl/>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00F900EE">
        <w:rPr>
          <w:rFonts w:ascii="Arabic Transparent" w:hAnsi="Arabic Transparent" w:cs="Arabic Transparent" w:hint="cs"/>
          <w:sz w:val="24"/>
          <w:szCs w:val="24"/>
          <w:rtl/>
        </w:rPr>
        <w:t>سبق ذكره انظر: ص135.</w:t>
      </w:r>
    </w:p>
  </w:footnote>
  <w:footnote w:id="828">
    <w:p w14:paraId="60085D59"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انظر: شاويش، </w:t>
      </w:r>
      <w:r w:rsidRPr="002273BC">
        <w:rPr>
          <w:rFonts w:ascii="Arabic Transparent" w:hAnsi="Arabic Transparent" w:cs="Arabic Transparent" w:hint="cs"/>
          <w:b/>
          <w:bCs/>
          <w:sz w:val="24"/>
          <w:szCs w:val="24"/>
          <w:rtl/>
          <w:lang w:bidi="ar-JO"/>
        </w:rPr>
        <w:t>أثر الإجارة في تمويل منافع التعليم في الفقه الإسلامي: التعليم الجامعي نموذجاً</w:t>
      </w:r>
      <w:r w:rsidRPr="002273BC">
        <w:rPr>
          <w:rFonts w:ascii="Arabic Transparent" w:hAnsi="Arabic Transparent" w:cs="Arabic Transparent" w:hint="cs"/>
          <w:sz w:val="24"/>
          <w:szCs w:val="24"/>
          <w:rtl/>
          <w:lang w:bidi="ar-JO"/>
        </w:rPr>
        <w:t>، مصدر سابق، ص187.</w:t>
      </w:r>
    </w:p>
  </w:footnote>
  <w:footnote w:id="829">
    <w:p w14:paraId="3BF20649"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انظر: ابن هادي، </w:t>
      </w:r>
      <w:r w:rsidRPr="002273BC">
        <w:rPr>
          <w:rFonts w:ascii="Arabic Transparent" w:hAnsi="Arabic Transparent" w:cs="Arabic Transparent" w:hint="cs"/>
          <w:b/>
          <w:bCs/>
          <w:sz w:val="24"/>
          <w:szCs w:val="24"/>
          <w:rtl/>
          <w:lang w:bidi="ar-JO"/>
        </w:rPr>
        <w:t>أصول ضبط المعاملات المعاصرة،</w:t>
      </w:r>
      <w:r w:rsidRPr="002273BC">
        <w:rPr>
          <w:rFonts w:ascii="Arabic Transparent" w:hAnsi="Arabic Transparent" w:cs="Arabic Transparent" w:hint="cs"/>
          <w:sz w:val="24"/>
          <w:szCs w:val="24"/>
          <w:rtl/>
          <w:lang w:bidi="ar-JO"/>
        </w:rPr>
        <w:t xml:space="preserve"> مرجع سابق، ط1، ص353.</w:t>
      </w:r>
    </w:p>
  </w:footnote>
  <w:footnote w:id="830">
    <w:p w14:paraId="4EE7E806"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انظر: السرطاوي، </w:t>
      </w:r>
      <w:r w:rsidRPr="002273BC">
        <w:rPr>
          <w:rFonts w:ascii="Arabic Transparent" w:hAnsi="Arabic Transparent" w:cs="Arabic Transparent" w:hint="cs"/>
          <w:b/>
          <w:bCs/>
          <w:sz w:val="24"/>
          <w:szCs w:val="24"/>
          <w:rtl/>
          <w:lang w:bidi="ar-JO"/>
        </w:rPr>
        <w:t>الضوابط المعيارية لصيغ الاستثمار في المؤسسات المالية الإسلامية</w:t>
      </w:r>
      <w:r w:rsidRPr="002273BC">
        <w:rPr>
          <w:rFonts w:ascii="Arabic Transparent" w:hAnsi="Arabic Transparent" w:cs="Arabic Transparent" w:hint="cs"/>
          <w:sz w:val="24"/>
          <w:szCs w:val="24"/>
          <w:rtl/>
          <w:lang w:bidi="ar-JO"/>
        </w:rPr>
        <w:t>، مصدر سابق، ص233.</w:t>
      </w:r>
    </w:p>
  </w:footnote>
  <w:footnote w:id="831">
    <w:p w14:paraId="31BD0F4A"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انظر: حيدر، </w:t>
      </w:r>
      <w:r w:rsidRPr="002273BC">
        <w:rPr>
          <w:rFonts w:ascii="Arabic Transparent" w:hAnsi="Arabic Transparent" w:cs="Arabic Transparent" w:hint="cs"/>
          <w:b/>
          <w:bCs/>
          <w:sz w:val="24"/>
          <w:szCs w:val="24"/>
          <w:rtl/>
          <w:lang w:bidi="ar-JO"/>
        </w:rPr>
        <w:t>مناهج الفتوى وضوابطها في القضايا المعاصرة: الأقليات المسلمة نموذجاً،</w:t>
      </w:r>
      <w:r w:rsidRPr="002273BC">
        <w:rPr>
          <w:rFonts w:ascii="Arabic Transparent" w:hAnsi="Arabic Transparent" w:cs="Arabic Transparent" w:hint="cs"/>
          <w:sz w:val="24"/>
          <w:szCs w:val="24"/>
          <w:rtl/>
          <w:lang w:bidi="ar-JO"/>
        </w:rPr>
        <w:t xml:space="preserve"> ص77.</w:t>
      </w:r>
    </w:p>
  </w:footnote>
  <w:footnote w:id="832">
    <w:p w14:paraId="3D004CF2"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كما في توصيات مجمع الفقه الإسلامي، مجمع الفقه الإسلامي الدولي، </w:t>
      </w:r>
      <w:r w:rsidRPr="002273BC">
        <w:rPr>
          <w:rFonts w:ascii="Arabic Transparent" w:hAnsi="Arabic Transparent" w:cs="Arabic Transparent" w:hint="cs"/>
          <w:b/>
          <w:bCs/>
          <w:sz w:val="24"/>
          <w:szCs w:val="24"/>
          <w:rtl/>
          <w:lang w:bidi="ar-JO"/>
        </w:rPr>
        <w:t>مجلة مجمع الفقه الإسلامي</w:t>
      </w:r>
      <w:r w:rsidRPr="002273BC">
        <w:rPr>
          <w:rFonts w:ascii="Arabic Transparent" w:hAnsi="Arabic Transparent" w:cs="Arabic Transparent" w:hint="cs"/>
          <w:sz w:val="24"/>
          <w:szCs w:val="24"/>
          <w:rtl/>
          <w:lang w:bidi="ar-JO"/>
        </w:rPr>
        <w:t>، مصدر سابق، ع5، ج2، ص753.</w:t>
      </w:r>
    </w:p>
  </w:footnote>
  <w:footnote w:id="833">
    <w:p w14:paraId="4F94A931" w14:textId="3D28668A"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انظر: علام، شوقي إبراهيم</w:t>
      </w:r>
      <w:r w:rsidRPr="002273BC">
        <w:rPr>
          <w:rFonts w:ascii="Arabic Transparent" w:hAnsi="Arabic Transparent" w:cs="Arabic Transparent" w:hint="cs"/>
          <w:b/>
          <w:bCs/>
          <w:sz w:val="24"/>
          <w:szCs w:val="24"/>
          <w:rtl/>
          <w:lang w:bidi="ar-JO"/>
        </w:rPr>
        <w:t>، "حكم تمويل سداد المصروفات المدرسي</w:t>
      </w:r>
      <w:r w:rsidRPr="002273BC">
        <w:rPr>
          <w:rFonts w:ascii="Arabic Transparent" w:hAnsi="Arabic Transparent" w:cs="Arabic Transparent" w:hint="cs"/>
          <w:sz w:val="24"/>
          <w:szCs w:val="24"/>
          <w:rtl/>
          <w:lang w:bidi="ar-JO"/>
        </w:rPr>
        <w:t xml:space="preserve">ة"، فتوى رقم (4572)، دار الإفتاء المصرية، القاهرة، 9/10/2018م، متاح على الرابط: </w:t>
      </w:r>
      <w:r w:rsidRPr="002273BC">
        <w:rPr>
          <w:rFonts w:ascii="Arabic Transparent" w:hAnsi="Arabic Transparent" w:cs="Arabic Transparent" w:hint="cs"/>
          <w:sz w:val="24"/>
          <w:szCs w:val="24"/>
          <w:lang w:bidi="ar-JO"/>
        </w:rPr>
        <w:t>https://www.dar-alifta.org/ar/fatwa/details/14693</w:t>
      </w:r>
      <w:r w:rsidR="005D7B91" w:rsidRPr="002273BC">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sz w:val="24"/>
          <w:szCs w:val="24"/>
          <w:rtl/>
          <w:lang w:bidi="ar-JO"/>
        </w:rPr>
        <w:t>تاريخ الاطلاع: 12/4/2026م.</w:t>
      </w:r>
    </w:p>
  </w:footnote>
  <w:footnote w:id="834">
    <w:p w14:paraId="152BAF5E" w14:textId="1B7B1910" w:rsidR="00201DD5" w:rsidRPr="002273BC" w:rsidRDefault="00F900EE" w:rsidP="00EA3738">
      <w:pPr>
        <w:pStyle w:val="FootnoteText"/>
        <w:spacing w:line="360" w:lineRule="auto"/>
        <w:jc w:val="both"/>
        <w:rPr>
          <w:rFonts w:ascii="Arabic Transparent" w:hAnsi="Arabic Transparent" w:cs="Arabic Transparent"/>
          <w:sz w:val="24"/>
          <w:szCs w:val="24"/>
          <w:rtl/>
          <w:lang w:bidi="ar-JO"/>
        </w:rPr>
      </w:pPr>
      <w:r>
        <w:rPr>
          <w:rFonts w:ascii="Arabic Transparent" w:hAnsi="Arabic Transparent" w:cs="Arabic Transparent"/>
          <w:sz w:val="24"/>
          <w:szCs w:val="24"/>
        </w:rPr>
        <w:t xml:space="preserve"> </w:t>
      </w:r>
      <w:r w:rsidR="00201DD5" w:rsidRPr="002273BC">
        <w:rPr>
          <w:rFonts w:ascii="Arabic Transparent" w:hAnsi="Arabic Transparent" w:cs="Arabic Transparent" w:hint="cs"/>
          <w:sz w:val="24"/>
          <w:szCs w:val="24"/>
        </w:rPr>
        <w:t>(</w:t>
      </w:r>
      <w:r w:rsidR="00201DD5" w:rsidRPr="002273BC">
        <w:rPr>
          <w:rStyle w:val="FootnoteReference"/>
          <w:rFonts w:ascii="Arabic Transparent" w:hAnsi="Arabic Transparent" w:cs="Arabic Transparent" w:hint="cs"/>
          <w:sz w:val="24"/>
          <w:szCs w:val="24"/>
          <w:vertAlign w:val="baseline"/>
        </w:rPr>
        <w:footnoteRef/>
      </w:r>
      <w:r w:rsidR="00201DD5" w:rsidRPr="002273BC">
        <w:rPr>
          <w:rFonts w:ascii="Arabic Transparent" w:hAnsi="Arabic Transparent" w:cs="Arabic Transparent" w:hint="cs"/>
          <w:sz w:val="24"/>
          <w:szCs w:val="24"/>
        </w:rPr>
        <w:t>)</w:t>
      </w:r>
      <w:r>
        <w:rPr>
          <w:rFonts w:ascii="Arabic Transparent" w:hAnsi="Arabic Transparent" w:cs="Arabic Transparent" w:hint="cs"/>
          <w:sz w:val="24"/>
          <w:szCs w:val="24"/>
          <w:rtl/>
        </w:rPr>
        <w:t>انظر:</w:t>
      </w:r>
      <w:r w:rsidR="00201DD5" w:rsidRPr="002273BC">
        <w:rPr>
          <w:rFonts w:ascii="Arabic Transparent" w:hAnsi="Arabic Transparent" w:cs="Arabic Transparent" w:hint="cs"/>
          <w:sz w:val="24"/>
          <w:szCs w:val="24"/>
          <w:rtl/>
        </w:rPr>
        <w:t xml:space="preserve"> </w:t>
      </w:r>
      <w:r w:rsidR="00201DD5" w:rsidRPr="002273BC">
        <w:rPr>
          <w:rFonts w:ascii="Arabic Transparent" w:hAnsi="Arabic Transparent" w:cs="Arabic Transparent" w:hint="cs"/>
          <w:sz w:val="24"/>
          <w:szCs w:val="24"/>
          <w:rtl/>
          <w:lang w:bidi="ar-JO"/>
        </w:rPr>
        <w:t xml:space="preserve">لجنة الإفتاء (2025). </w:t>
      </w:r>
      <w:r w:rsidR="00201DD5" w:rsidRPr="002273BC">
        <w:rPr>
          <w:rFonts w:ascii="Arabic Transparent" w:hAnsi="Arabic Transparent" w:cs="Arabic Transparent" w:hint="cs"/>
          <w:b/>
          <w:bCs/>
          <w:sz w:val="24"/>
          <w:szCs w:val="24"/>
          <w:rtl/>
          <w:lang w:bidi="ar-JO"/>
        </w:rPr>
        <w:t>"ضوابط عقود تمويل المنافع"، فتوى بحثية رقم (4023)،</w:t>
      </w:r>
      <w:r w:rsidR="00201DD5" w:rsidRPr="002273BC">
        <w:rPr>
          <w:rFonts w:ascii="Arabic Transparent" w:hAnsi="Arabic Transparent" w:cs="Arabic Transparent" w:hint="cs"/>
          <w:sz w:val="24"/>
          <w:szCs w:val="24"/>
          <w:rtl/>
          <w:lang w:bidi="ar-JO"/>
        </w:rPr>
        <w:t xml:space="preserve"> دائرة الإفتاء العام، الأردن، 19/11/2025م، متاح على الرابط: </w:t>
      </w:r>
      <w:r w:rsidR="00201DD5" w:rsidRPr="002273BC">
        <w:rPr>
          <w:rFonts w:ascii="Arabic Transparent" w:hAnsi="Arabic Transparent" w:cs="Arabic Transparent" w:hint="cs"/>
          <w:sz w:val="24"/>
          <w:szCs w:val="24"/>
          <w:lang w:bidi="ar-JO"/>
        </w:rPr>
        <w:t>https://www.aliftaa.jo/research-fatwas/4023</w:t>
      </w:r>
      <w:r w:rsidR="00201DD5" w:rsidRPr="002273BC">
        <w:rPr>
          <w:rFonts w:ascii="Arabic Transparent" w:hAnsi="Arabic Transparent" w:cs="Arabic Transparent" w:hint="cs"/>
          <w:sz w:val="24"/>
          <w:szCs w:val="24"/>
          <w:rtl/>
          <w:lang w:bidi="ar-JO"/>
        </w:rPr>
        <w:t>/ضوابط-عقود-تمويل-المنافع</w:t>
      </w:r>
      <w:r w:rsidR="005D7B91" w:rsidRPr="002273BC">
        <w:rPr>
          <w:rFonts w:ascii="Arabic Transparent" w:hAnsi="Arabic Transparent" w:cs="Arabic Transparent" w:hint="cs"/>
          <w:sz w:val="24"/>
          <w:szCs w:val="24"/>
          <w:rtl/>
          <w:lang w:bidi="ar-JO"/>
        </w:rPr>
        <w:t xml:space="preserve">، </w:t>
      </w:r>
      <w:r w:rsidR="00201DD5" w:rsidRPr="002273BC">
        <w:rPr>
          <w:rFonts w:ascii="Arabic Transparent" w:hAnsi="Arabic Transparent" w:cs="Arabic Transparent" w:hint="cs"/>
          <w:sz w:val="24"/>
          <w:szCs w:val="24"/>
          <w:rtl/>
          <w:lang w:bidi="ar-JO"/>
        </w:rPr>
        <w:t>تاريخ الاطلاع: 12/4/2026م.</w:t>
      </w:r>
    </w:p>
  </w:footnote>
  <w:footnote w:id="835">
    <w:p w14:paraId="47F37893"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انظر: أبو غدة، عبد الستار (2019). </w:t>
      </w:r>
      <w:r w:rsidRPr="002273BC">
        <w:rPr>
          <w:rFonts w:ascii="Arabic Transparent" w:hAnsi="Arabic Transparent" w:cs="Arabic Transparent" w:hint="cs"/>
          <w:b/>
          <w:bCs/>
          <w:sz w:val="24"/>
          <w:szCs w:val="24"/>
          <w:rtl/>
          <w:lang w:bidi="ar-JO"/>
        </w:rPr>
        <w:t>"تمويل المنافع بأوروبا"،</w:t>
      </w:r>
      <w:r w:rsidRPr="002273BC">
        <w:rPr>
          <w:rFonts w:ascii="Arabic Transparent" w:hAnsi="Arabic Transparent" w:cs="Arabic Transparent" w:hint="cs"/>
          <w:sz w:val="24"/>
          <w:szCs w:val="24"/>
          <w:rtl/>
          <w:lang w:bidi="ar-JO"/>
        </w:rPr>
        <w:t xml:space="preserve"> مصدر سابق. ص33.</w:t>
      </w:r>
    </w:p>
  </w:footnote>
  <w:footnote w:id="836">
    <w:p w14:paraId="6265678E"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مشوقة، حمزة عدنان (2023م). </w:t>
      </w:r>
      <w:r w:rsidRPr="002273BC">
        <w:rPr>
          <w:rFonts w:ascii="Arabic Transparent" w:hAnsi="Arabic Transparent" w:cs="Arabic Transparent" w:hint="cs"/>
          <w:b/>
          <w:bCs/>
          <w:sz w:val="24"/>
          <w:szCs w:val="24"/>
          <w:rtl/>
          <w:lang w:bidi="ar-JO"/>
        </w:rPr>
        <w:t>تمويل الخدمات التعليمية والطبية من منظور فقهي</w:t>
      </w:r>
      <w:r w:rsidRPr="002273BC">
        <w:rPr>
          <w:rFonts w:ascii="Arabic Transparent" w:hAnsi="Arabic Transparent" w:cs="Arabic Transparent" w:hint="cs"/>
          <w:sz w:val="24"/>
          <w:szCs w:val="24"/>
          <w:rtl/>
          <w:lang w:bidi="ar-JO"/>
        </w:rPr>
        <w:t xml:space="preserve">، مصدر سابق، </w:t>
      </w:r>
      <w:r w:rsidRPr="002273BC">
        <w:rPr>
          <w:rFonts w:ascii="Arabic Transparent" w:hAnsi="Arabic Transparent" w:cs="Arabic Transparent"/>
          <w:sz w:val="24"/>
          <w:szCs w:val="24"/>
          <w:lang w:bidi="ar-JO"/>
        </w:rPr>
        <w:t>https://www.aliftaa.jo/Research/250/Articles.aspx</w:t>
      </w:r>
      <w:r w:rsidRPr="002273BC">
        <w:rPr>
          <w:rFonts w:ascii="Arabic Transparent" w:hAnsi="Arabic Transparent" w:cs="Arabic Transparent"/>
          <w:sz w:val="24"/>
          <w:szCs w:val="24"/>
          <w:rtl/>
          <w:lang w:bidi="ar-JO"/>
        </w:rPr>
        <w:t>، تاريخ الاطلاع: 11 /3/ 2026م.</w:t>
      </w:r>
    </w:p>
  </w:footnote>
  <w:footnote w:id="837">
    <w:p w14:paraId="6742AFB7"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ابن منظور، </w:t>
      </w:r>
      <w:r w:rsidRPr="002273BC">
        <w:rPr>
          <w:rFonts w:ascii="Arabic Transparent" w:hAnsi="Arabic Transparent" w:cs="Arabic Transparent" w:hint="cs"/>
          <w:b/>
          <w:bCs/>
          <w:sz w:val="24"/>
          <w:szCs w:val="24"/>
          <w:rtl/>
          <w:lang w:bidi="ar-JO"/>
        </w:rPr>
        <w:t>لسان العرب</w:t>
      </w:r>
      <w:r w:rsidRPr="002273BC">
        <w:rPr>
          <w:rFonts w:ascii="Arabic Transparent" w:hAnsi="Arabic Transparent" w:cs="Arabic Transparent" w:hint="cs"/>
          <w:sz w:val="24"/>
          <w:szCs w:val="24"/>
          <w:rtl/>
          <w:lang w:bidi="ar-JO"/>
        </w:rPr>
        <w:t>، مصدر سابق، ج12، ص570.</w:t>
      </w:r>
    </w:p>
  </w:footnote>
  <w:footnote w:id="838">
    <w:p w14:paraId="045BE65C" w14:textId="05F1E88D"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00F21D04">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sz w:val="24"/>
          <w:szCs w:val="24"/>
          <w:rtl/>
          <w:lang w:bidi="ar-JO"/>
        </w:rPr>
        <w:t xml:space="preserve">القرطبي، </w:t>
      </w:r>
      <w:r w:rsidRPr="002273BC">
        <w:rPr>
          <w:rFonts w:ascii="Arabic Transparent" w:hAnsi="Arabic Transparent" w:cs="Arabic Transparent" w:hint="cs"/>
          <w:b/>
          <w:bCs/>
          <w:sz w:val="24"/>
          <w:szCs w:val="24"/>
          <w:rtl/>
          <w:lang w:bidi="ar-JO"/>
        </w:rPr>
        <w:t>الجامع لأحكام القرآن</w:t>
      </w:r>
      <w:r w:rsidRPr="002273BC">
        <w:rPr>
          <w:rFonts w:ascii="Arabic Transparent" w:hAnsi="Arabic Transparent" w:cs="Arabic Transparent" w:hint="cs"/>
          <w:sz w:val="24"/>
          <w:szCs w:val="24"/>
          <w:rtl/>
          <w:lang w:bidi="ar-JO"/>
        </w:rPr>
        <w:t xml:space="preserve">، مصدر سابق، ج3، ص3773. </w:t>
      </w:r>
    </w:p>
  </w:footnote>
  <w:footnote w:id="839">
    <w:p w14:paraId="54A119F5"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الإسنوي، جمال الدين عبد الرحيم بن الحسن (1981م). </w:t>
      </w:r>
      <w:r w:rsidRPr="002273BC">
        <w:rPr>
          <w:rFonts w:ascii="Arabic Transparent" w:hAnsi="Arabic Transparent" w:cs="Arabic Transparent" w:hint="cs"/>
          <w:b/>
          <w:bCs/>
          <w:sz w:val="24"/>
          <w:szCs w:val="24"/>
          <w:rtl/>
          <w:lang w:bidi="ar-JO"/>
        </w:rPr>
        <w:t>التمهيد في تخريج الفروع على الأصول</w:t>
      </w:r>
      <w:r w:rsidRPr="002273BC">
        <w:rPr>
          <w:rFonts w:ascii="Arabic Transparent" w:hAnsi="Arabic Transparent" w:cs="Arabic Transparent" w:hint="cs"/>
          <w:sz w:val="24"/>
          <w:szCs w:val="24"/>
          <w:rtl/>
          <w:lang w:bidi="ar-JO"/>
        </w:rPr>
        <w:t>، تحقيق: محمد حسن هيتو، ط2، ص515، مؤسسة الرسالة، بيروت.</w:t>
      </w:r>
    </w:p>
  </w:footnote>
  <w:footnote w:id="840">
    <w:p w14:paraId="436DB13B"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التاهوني، </w:t>
      </w:r>
      <w:r w:rsidRPr="002273BC">
        <w:rPr>
          <w:rFonts w:ascii="Arabic Transparent" w:hAnsi="Arabic Transparent" w:cs="Arabic Transparent" w:hint="cs"/>
          <w:b/>
          <w:bCs/>
          <w:sz w:val="24"/>
          <w:szCs w:val="24"/>
          <w:rtl/>
          <w:lang w:bidi="ar-JO"/>
        </w:rPr>
        <w:t>كشاف اصطلاحات الفنون والعلوم</w:t>
      </w:r>
      <w:r w:rsidRPr="002273BC">
        <w:rPr>
          <w:rFonts w:ascii="Arabic Transparent" w:hAnsi="Arabic Transparent" w:cs="Arabic Transparent" w:hint="cs"/>
          <w:sz w:val="24"/>
          <w:szCs w:val="24"/>
          <w:rtl/>
          <w:lang w:bidi="ar-JO"/>
        </w:rPr>
        <w:t xml:space="preserve">، مصدر سابق، ج1، ص814. </w:t>
      </w:r>
    </w:p>
  </w:footnote>
  <w:footnote w:id="841">
    <w:p w14:paraId="62350D7B"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الشربيني، </w:t>
      </w:r>
      <w:r w:rsidRPr="002273BC">
        <w:rPr>
          <w:rFonts w:ascii="Arabic Transparent" w:hAnsi="Arabic Transparent" w:cs="Arabic Transparent" w:hint="cs"/>
          <w:b/>
          <w:bCs/>
          <w:sz w:val="24"/>
          <w:szCs w:val="24"/>
          <w:rtl/>
          <w:lang w:bidi="ar-JO"/>
        </w:rPr>
        <w:t>مغني المحتاج إلى معرفة معاني ألفاظ المنهاج</w:t>
      </w:r>
      <w:r w:rsidRPr="002273BC">
        <w:rPr>
          <w:rFonts w:ascii="Arabic Transparent" w:hAnsi="Arabic Transparent" w:cs="Arabic Transparent" w:hint="cs"/>
          <w:sz w:val="24"/>
          <w:szCs w:val="24"/>
          <w:rtl/>
          <w:lang w:bidi="ar-JO"/>
        </w:rPr>
        <w:t>، مصدر سابق، ج6، ص498.</w:t>
      </w:r>
    </w:p>
  </w:footnote>
  <w:footnote w:id="842">
    <w:p w14:paraId="28531ADA"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أبو زهرة، </w:t>
      </w:r>
      <w:r w:rsidRPr="002273BC">
        <w:rPr>
          <w:rFonts w:ascii="Arabic Transparent" w:hAnsi="Arabic Transparent" w:cs="Arabic Transparent" w:hint="cs"/>
          <w:b/>
          <w:bCs/>
          <w:sz w:val="24"/>
          <w:szCs w:val="24"/>
          <w:rtl/>
          <w:lang w:bidi="ar-JO"/>
        </w:rPr>
        <w:t>بحوث في الربا</w:t>
      </w:r>
      <w:r w:rsidRPr="002273BC">
        <w:rPr>
          <w:rFonts w:ascii="Arabic Transparent" w:hAnsi="Arabic Transparent" w:cs="Arabic Transparent" w:hint="cs"/>
          <w:sz w:val="24"/>
          <w:szCs w:val="24"/>
          <w:rtl/>
          <w:lang w:bidi="ar-JO"/>
        </w:rPr>
        <w:t>، مصدر سابق، ص53.</w:t>
      </w:r>
    </w:p>
  </w:footnote>
  <w:footnote w:id="843">
    <w:p w14:paraId="1739D7A4" w14:textId="584043C4"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lang w:bidi="ar-JO"/>
        </w:rPr>
        <w:t xml:space="preserve"> الصوا، علي (2004م) </w:t>
      </w:r>
      <w:r w:rsidRPr="002273BC">
        <w:rPr>
          <w:rFonts w:ascii="Arabic Transparent" w:hAnsi="Arabic Transparent" w:cs="Arabic Transparent" w:hint="cs"/>
          <w:b/>
          <w:bCs/>
          <w:sz w:val="24"/>
          <w:szCs w:val="24"/>
          <w:rtl/>
          <w:lang w:bidi="ar-JO"/>
        </w:rPr>
        <w:t>الشرط الجزائي في الديون دراسة فقهية مقارنة</w:t>
      </w:r>
      <w:r w:rsidRPr="002273BC">
        <w:rPr>
          <w:rFonts w:ascii="Arabic Transparent" w:hAnsi="Arabic Transparent" w:cs="Arabic Transparent" w:hint="cs"/>
          <w:sz w:val="24"/>
          <w:szCs w:val="24"/>
          <w:rtl/>
          <w:lang w:bidi="ar-JO"/>
        </w:rPr>
        <w:t>، م19، ع58، ص238-240، مجلة الشريعة والدراسات الإسلامية، الكويت.</w:t>
      </w:r>
    </w:p>
  </w:footnote>
  <w:footnote w:id="844">
    <w:p w14:paraId="21127C22" w14:textId="2A1DDBD9"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أبو غدة، عبد الستار، وخوجة، عز الدين (1997م). </w:t>
      </w:r>
      <w:r w:rsidRPr="002273BC">
        <w:rPr>
          <w:rFonts w:ascii="Arabic Transparent" w:hAnsi="Arabic Transparent" w:cs="Arabic Transparent" w:hint="cs"/>
          <w:b/>
          <w:bCs/>
          <w:sz w:val="24"/>
          <w:szCs w:val="24"/>
          <w:rtl/>
          <w:lang w:bidi="ar-JO"/>
        </w:rPr>
        <w:t>فتاوى ندوات البركة</w:t>
      </w:r>
      <w:r w:rsidRPr="002273BC">
        <w:rPr>
          <w:rFonts w:ascii="Arabic Transparent" w:hAnsi="Arabic Transparent" w:cs="Arabic Transparent" w:hint="cs"/>
          <w:sz w:val="24"/>
          <w:szCs w:val="24"/>
          <w:rtl/>
          <w:lang w:bidi="ar-JO"/>
        </w:rPr>
        <w:t xml:space="preserve">، ط5، </w:t>
      </w:r>
      <w:r w:rsidR="005E7FE8">
        <w:rPr>
          <w:rFonts w:ascii="Arabic Transparent" w:hAnsi="Arabic Transparent" w:cs="Arabic Transparent" w:hint="cs"/>
          <w:sz w:val="24"/>
          <w:szCs w:val="24"/>
          <w:rtl/>
          <w:lang w:bidi="ar-JO"/>
        </w:rPr>
        <w:t xml:space="preserve">ص342، </w:t>
      </w:r>
      <w:r w:rsidRPr="002273BC">
        <w:rPr>
          <w:rFonts w:ascii="Arabic Transparent" w:hAnsi="Arabic Transparent" w:cs="Arabic Transparent" w:hint="cs"/>
          <w:sz w:val="24"/>
          <w:szCs w:val="24"/>
          <w:rtl/>
          <w:lang w:bidi="ar-JO"/>
        </w:rPr>
        <w:t>جدة.</w:t>
      </w:r>
    </w:p>
  </w:footnote>
  <w:footnote w:id="845">
    <w:p w14:paraId="5D30D7C0"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b/>
          <w:bCs/>
          <w:sz w:val="24"/>
          <w:szCs w:val="24"/>
          <w:rtl/>
          <w:lang w:bidi="ar-JO"/>
        </w:rPr>
        <w:t>فتاوى وقرارات هيئة الرقابة الشرعية</w:t>
      </w:r>
      <w:r w:rsidRPr="002273BC">
        <w:rPr>
          <w:rFonts w:ascii="Arabic Transparent" w:hAnsi="Arabic Transparent" w:cs="Arabic Transparent" w:hint="cs"/>
          <w:sz w:val="24"/>
          <w:szCs w:val="24"/>
          <w:rtl/>
          <w:lang w:bidi="ar-JO"/>
        </w:rPr>
        <w:t xml:space="preserve"> (2019م) بنك صفوة الإسلامي، بنك دبي الإسلامي سابقاً، ص24.</w:t>
      </w:r>
    </w:p>
  </w:footnote>
  <w:footnote w:id="846">
    <w:p w14:paraId="35D1D1D1" w14:textId="7A2E1D0C"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من منشورات موقع سماحة الشيخ يوسف القرضاوي (2024)،</w:t>
      </w:r>
      <w:r w:rsidRPr="002273BC">
        <w:rPr>
          <w:rFonts w:ascii="Arabic Transparent" w:hAnsi="Arabic Transparent" w:cs="Arabic Transparent" w:hint="cs"/>
          <w:b/>
          <w:bCs/>
          <w:sz w:val="24"/>
          <w:szCs w:val="24"/>
          <w:rtl/>
          <w:lang w:bidi="ar-JO"/>
        </w:rPr>
        <w:t xml:space="preserve"> فتوى غرامة التأخير</w:t>
      </w:r>
      <w:r w:rsidRPr="002273BC">
        <w:rPr>
          <w:rFonts w:ascii="Arabic Transparent" w:hAnsi="Arabic Transparent" w:cs="Arabic Transparent" w:hint="cs"/>
          <w:sz w:val="24"/>
          <w:szCs w:val="24"/>
          <w:rtl/>
          <w:lang w:bidi="ar-JO"/>
        </w:rPr>
        <w:t xml:space="preserve">، </w:t>
      </w:r>
      <w:hyperlink r:id="rId10" w:history="1">
        <w:r w:rsidRPr="002273BC">
          <w:rPr>
            <w:rStyle w:val="Hyperlink"/>
            <w:rFonts w:ascii="Arabic Transparent" w:hAnsi="Arabic Transparent" w:cs="Arabic Transparent" w:hint="cs"/>
            <w:sz w:val="24"/>
            <w:szCs w:val="24"/>
            <w:lang w:bidi="ar-JO"/>
          </w:rPr>
          <w:t>https://www.al-qaradawi.net/node/3651</w:t>
        </w:r>
      </w:hyperlink>
      <w:r w:rsidR="005D7B91" w:rsidRPr="002273BC">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sz w:val="24"/>
          <w:szCs w:val="24"/>
          <w:rtl/>
          <w:lang w:bidi="ar-JO"/>
        </w:rPr>
        <w:t>تاريخ الاطلاع 3/ 3/ 2026م.</w:t>
      </w:r>
    </w:p>
  </w:footnote>
  <w:footnote w:id="847">
    <w:p w14:paraId="4D6B1C70" w14:textId="77777777" w:rsidR="00201DD5" w:rsidRPr="002273BC" w:rsidRDefault="00201DD5" w:rsidP="00EA3738">
      <w:pPr>
        <w:spacing w:line="360" w:lineRule="auto"/>
        <w:jc w:val="both"/>
        <w:rPr>
          <w:rFonts w:ascii="Arabic Transparent" w:hAnsi="Arabic Transparent" w:cs="Arabic Transparent"/>
          <w:sz w:val="24"/>
          <w:szCs w:val="24"/>
          <w:rtl/>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الزحيلي، وهبة (2002م). </w:t>
      </w:r>
      <w:r w:rsidRPr="002273BC">
        <w:rPr>
          <w:rFonts w:ascii="Arabic Transparent" w:hAnsi="Arabic Transparent" w:cs="Arabic Transparent" w:hint="cs"/>
          <w:b/>
          <w:bCs/>
          <w:sz w:val="24"/>
          <w:szCs w:val="24"/>
          <w:rtl/>
        </w:rPr>
        <w:t>المعاملات المالية المعاصرة: بحوث وفتاوى وحلول</w:t>
      </w:r>
      <w:r w:rsidRPr="002273BC">
        <w:rPr>
          <w:rFonts w:ascii="Arabic Transparent" w:hAnsi="Arabic Transparent" w:cs="Arabic Transparent" w:hint="cs"/>
          <w:sz w:val="24"/>
          <w:szCs w:val="24"/>
          <w:rtl/>
        </w:rPr>
        <w:t>، ط1، ص34، دار الفكر المعاصر، بيروت.</w:t>
      </w:r>
    </w:p>
  </w:footnote>
  <w:footnote w:id="848">
    <w:p w14:paraId="212EC28A" w14:textId="77777777" w:rsidR="00201DD5" w:rsidRPr="002273BC" w:rsidRDefault="00201DD5" w:rsidP="00EA3738">
      <w:pPr>
        <w:spacing w:line="360" w:lineRule="auto"/>
        <w:jc w:val="both"/>
        <w:rPr>
          <w:rFonts w:ascii="Arabic Transparent" w:hAnsi="Arabic Transparent" w:cs="Arabic Transparent"/>
          <w:sz w:val="24"/>
          <w:szCs w:val="24"/>
          <w:rtl/>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العثماني، محمد تقي بن محمد شفيع (2003م</w:t>
      </w:r>
      <w:r w:rsidRPr="002273BC">
        <w:rPr>
          <w:rFonts w:ascii="Arabic Transparent" w:hAnsi="Arabic Transparent" w:cs="Arabic Transparent" w:hint="cs"/>
          <w:b/>
          <w:bCs/>
          <w:sz w:val="24"/>
          <w:szCs w:val="24"/>
          <w:rtl/>
        </w:rPr>
        <w:t>). بحوث في قضايا فقهية معاصرة</w:t>
      </w:r>
      <w:r w:rsidRPr="002273BC">
        <w:rPr>
          <w:rFonts w:ascii="Arabic Transparent" w:hAnsi="Arabic Transparent" w:cs="Arabic Transparent" w:hint="cs"/>
          <w:sz w:val="24"/>
          <w:szCs w:val="24"/>
          <w:rtl/>
        </w:rPr>
        <w:t>، ط2، ص44-46، دار القلم، دمشق.</w:t>
      </w:r>
    </w:p>
  </w:footnote>
  <w:footnote w:id="849">
    <w:p w14:paraId="19E9F769"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شبير، محمد عثمان (1996م). </w:t>
      </w:r>
      <w:r w:rsidRPr="002273BC">
        <w:rPr>
          <w:rFonts w:ascii="Arabic Transparent" w:hAnsi="Arabic Transparent" w:cs="Arabic Transparent" w:hint="cs"/>
          <w:b/>
          <w:bCs/>
          <w:sz w:val="24"/>
          <w:szCs w:val="24"/>
          <w:rtl/>
          <w:lang w:bidi="ar-JO"/>
        </w:rPr>
        <w:t>"صيانة المديونيات ومعالجتها من التعثر في الفقه الإسلامي"</w:t>
      </w:r>
      <w:r w:rsidRPr="002273BC">
        <w:rPr>
          <w:rFonts w:ascii="Arabic Transparent" w:hAnsi="Arabic Transparent" w:cs="Arabic Transparent" w:hint="cs"/>
          <w:sz w:val="24"/>
          <w:szCs w:val="24"/>
          <w:rtl/>
          <w:lang w:bidi="ar-JO"/>
        </w:rPr>
        <w:t>، ع10، ص877، مجلة الشريعة والقانون، جامعة الإمارات العربية المتحدة.</w:t>
      </w:r>
    </w:p>
  </w:footnote>
  <w:footnote w:id="850">
    <w:p w14:paraId="3FC5315D"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الزرقا، محمد أنس، والقري، محمد علي (1991م). </w:t>
      </w:r>
      <w:r w:rsidRPr="002273BC">
        <w:rPr>
          <w:rFonts w:ascii="Arabic Transparent" w:hAnsi="Arabic Transparent" w:cs="Arabic Transparent" w:hint="cs"/>
          <w:b/>
          <w:bCs/>
          <w:sz w:val="24"/>
          <w:szCs w:val="24"/>
          <w:rtl/>
          <w:lang w:bidi="ar-JO"/>
        </w:rPr>
        <w:t>"التعويض عن ضرر المماطلة في الدين بين الفقه والاقتصاد"</w:t>
      </w:r>
      <w:r w:rsidRPr="002273BC">
        <w:rPr>
          <w:rFonts w:ascii="Arabic Transparent" w:hAnsi="Arabic Transparent" w:cs="Arabic Transparent" w:hint="cs"/>
          <w:sz w:val="24"/>
          <w:szCs w:val="24"/>
          <w:rtl/>
          <w:lang w:bidi="ar-JO"/>
        </w:rPr>
        <w:t>، م3، ص37، مجلة جامعة الملك عبدالعزيز: الاقتصاد الإسلامي، السعودية.</w:t>
      </w:r>
    </w:p>
  </w:footnote>
  <w:footnote w:id="851">
    <w:p w14:paraId="0B039BCC"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القري، محمد علي (2019م). </w:t>
      </w:r>
      <w:r w:rsidRPr="002273BC">
        <w:rPr>
          <w:rFonts w:ascii="Arabic Transparent" w:hAnsi="Arabic Transparent" w:cs="Arabic Transparent" w:hint="cs"/>
          <w:b/>
          <w:bCs/>
          <w:sz w:val="24"/>
          <w:szCs w:val="24"/>
          <w:rtl/>
          <w:lang w:bidi="ar-JO"/>
        </w:rPr>
        <w:t>"حكم الدخول بعقود البيع أو الإجارة التي تفرض فيها غرامة تأخير، ولا يقبل الطرف المشروط له حذفها"</w:t>
      </w:r>
      <w:r w:rsidRPr="002273BC">
        <w:rPr>
          <w:rFonts w:ascii="Arabic Transparent" w:hAnsi="Arabic Transparent" w:cs="Arabic Transparent" w:hint="cs"/>
          <w:sz w:val="24"/>
          <w:szCs w:val="24"/>
          <w:rtl/>
          <w:lang w:bidi="ar-JO"/>
        </w:rPr>
        <w:t>، ص112، بحث مقدم إلى: مؤتمر شورى الفقهي الثامن، فندق فور سيزونز، الكويت.</w:t>
      </w:r>
    </w:p>
  </w:footnote>
  <w:footnote w:id="852">
    <w:p w14:paraId="247CA0E0"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الضرير، الصديق محمد الأمين (1985م). </w:t>
      </w:r>
      <w:r w:rsidRPr="002273BC">
        <w:rPr>
          <w:rFonts w:ascii="Arabic Transparent" w:hAnsi="Arabic Transparent" w:cs="Arabic Transparent" w:hint="cs"/>
          <w:b/>
          <w:bCs/>
          <w:sz w:val="24"/>
          <w:szCs w:val="24"/>
          <w:rtl/>
          <w:lang w:bidi="ar-JO"/>
        </w:rPr>
        <w:t>"الاتفاق على إلزام المدين الموسر بتعويض ضرر المماطلة"،</w:t>
      </w:r>
      <w:r w:rsidRPr="002273BC">
        <w:rPr>
          <w:rFonts w:ascii="Arabic Transparent" w:hAnsi="Arabic Transparent" w:cs="Arabic Transparent" w:hint="cs"/>
          <w:sz w:val="24"/>
          <w:szCs w:val="24"/>
          <w:rtl/>
          <w:lang w:bidi="ar-JO"/>
        </w:rPr>
        <w:t xml:space="preserve"> مجلة أبحاث الاقتصاد الإسلامي، مركز النشر العلمي، جامعة الملك عبد العزيز، م3، ع1، ص112.</w:t>
      </w:r>
    </w:p>
  </w:footnote>
  <w:footnote w:id="853">
    <w:p w14:paraId="5C347AF4" w14:textId="060D1A74"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جل الهيئات والمصارف الإسلامية أخذوا بهذا القول الذي أشارت إليه المعايير، انظر: </w:t>
      </w:r>
      <w:r w:rsidRPr="002273BC">
        <w:rPr>
          <w:rFonts w:ascii="Arabic Transparent" w:hAnsi="Arabic Transparent" w:cs="Arabic Transparent" w:hint="cs"/>
          <w:b/>
          <w:bCs/>
          <w:sz w:val="24"/>
          <w:szCs w:val="24"/>
          <w:rtl/>
          <w:lang w:bidi="ar-JO"/>
        </w:rPr>
        <w:t>المعاير الشرعية أيوفي،</w:t>
      </w:r>
      <w:r w:rsidRPr="002273BC">
        <w:rPr>
          <w:rFonts w:ascii="Arabic Transparent" w:hAnsi="Arabic Transparent" w:cs="Arabic Transparent" w:hint="cs"/>
          <w:sz w:val="24"/>
          <w:szCs w:val="24"/>
          <w:rtl/>
          <w:lang w:bidi="ar-JO"/>
        </w:rPr>
        <w:t xml:space="preserve"> مصدر سابق،</w:t>
      </w:r>
      <w:r w:rsidR="005E7FE8">
        <w:rPr>
          <w:rFonts w:ascii="Arabic Transparent" w:hAnsi="Arabic Transparent" w:cs="Arabic Transparent" w:hint="cs"/>
          <w:sz w:val="24"/>
          <w:szCs w:val="24"/>
          <w:rtl/>
          <w:lang w:bidi="ar-JO"/>
        </w:rPr>
        <w:t xml:space="preserve"> المعيار رقم</w:t>
      </w:r>
      <w:r w:rsidRPr="002273BC">
        <w:rPr>
          <w:rFonts w:ascii="Arabic Transparent" w:hAnsi="Arabic Transparent" w:cs="Arabic Transparent" w:hint="cs"/>
          <w:sz w:val="24"/>
          <w:szCs w:val="24"/>
          <w:rtl/>
          <w:lang w:bidi="ar-JO"/>
        </w:rPr>
        <w:t xml:space="preserve"> 8/ 5- 6/5.</w:t>
      </w:r>
    </w:p>
  </w:footnote>
  <w:footnote w:id="854">
    <w:p w14:paraId="645DCAB7"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مستندين في ذلك إلى قول ابن تيمية أن مصاريف الشكاية يتحملها الظالم المماطل، انظر: ابن تيمية، </w:t>
      </w:r>
      <w:r w:rsidRPr="002273BC">
        <w:rPr>
          <w:rFonts w:ascii="Arabic Transparent" w:hAnsi="Arabic Transparent" w:cs="Arabic Transparent" w:hint="cs"/>
          <w:b/>
          <w:bCs/>
          <w:sz w:val="24"/>
          <w:szCs w:val="24"/>
          <w:rtl/>
          <w:lang w:bidi="ar-JO"/>
        </w:rPr>
        <w:t xml:space="preserve">مجموع الفتاوى، </w:t>
      </w:r>
      <w:r w:rsidRPr="002273BC">
        <w:rPr>
          <w:rFonts w:ascii="Arabic Transparent" w:hAnsi="Arabic Transparent" w:cs="Arabic Transparent" w:hint="cs"/>
          <w:sz w:val="24"/>
          <w:szCs w:val="24"/>
          <w:rtl/>
          <w:lang w:bidi="ar-JO"/>
        </w:rPr>
        <w:t>مصدر سابق،ج3، ص25.</w:t>
      </w:r>
    </w:p>
  </w:footnote>
  <w:footnote w:id="855">
    <w:p w14:paraId="7D36B3C8"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هو ما صدر عن </w:t>
      </w:r>
      <w:r w:rsidRPr="00F21D04">
        <w:rPr>
          <w:rFonts w:ascii="Arabic Transparent" w:hAnsi="Arabic Transparent" w:cs="Arabic Transparent" w:hint="cs"/>
          <w:b/>
          <w:bCs/>
          <w:sz w:val="24"/>
          <w:szCs w:val="24"/>
          <w:rtl/>
          <w:lang w:bidi="ar-JO"/>
        </w:rPr>
        <w:t>ندوة البركة الثالثة للاقتصاد الإسلامي</w:t>
      </w:r>
      <w:r w:rsidRPr="002273BC">
        <w:rPr>
          <w:rFonts w:ascii="Arabic Transparent" w:hAnsi="Arabic Transparent" w:cs="Arabic Transparent" w:hint="cs"/>
          <w:sz w:val="24"/>
          <w:szCs w:val="24"/>
          <w:rtl/>
          <w:lang w:bidi="ar-JO"/>
        </w:rPr>
        <w:t>، حيث قالوا: "يجوز شرعاً إلزام المدين المماطل في الأداء وهو قادر على الوفاء بالتعويض للدائن عن الضرر الناشئ من تأخر المدين في الوفاء إلا أن يكون عن عذر مشروع لأن التأخر في أداء الدين</w:t>
      </w:r>
    </w:p>
    <w:p w14:paraId="369BEFAD"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tl/>
          <w:lang w:bidi="ar-JO"/>
        </w:rPr>
        <w:t xml:space="preserve">بدون عذر ظلم كما قال رسول الله </w:t>
      </w:r>
      <w:r w:rsidRPr="002273BC">
        <w:rPr>
          <w:rFonts w:ascii="AGA Arabesque" w:eastAsia="AGA Arabesque" w:hAnsi="AGA Arabesque" w:cs="AGA Arabesque"/>
          <w:sz w:val="24"/>
          <w:szCs w:val="24"/>
          <w:lang w:bidi="ar-JO"/>
        </w:rPr>
        <w:t></w:t>
      </w:r>
      <w:r w:rsidRPr="002273BC">
        <w:rPr>
          <w:rFonts w:ascii="Arabic Transparent" w:hAnsi="Arabic Transparent" w:cs="Arabic Transparent" w:hint="cs"/>
          <w:sz w:val="24"/>
          <w:szCs w:val="24"/>
          <w:rtl/>
          <w:lang w:bidi="ar-JO"/>
        </w:rPr>
        <w:t xml:space="preserve">:"مطل الغني ظلم"، فيكون حاله كحالة الغصب التي قرر الفقهاء فيها تضمين الغاصب منافع الأعيان المغصوبة علاوة على رد الأصل"، أبو غدة، </w:t>
      </w:r>
      <w:r w:rsidRPr="002273BC">
        <w:rPr>
          <w:rFonts w:ascii="Arabic Transparent" w:hAnsi="Arabic Transparent" w:cs="Arabic Transparent" w:hint="cs"/>
          <w:b/>
          <w:bCs/>
          <w:sz w:val="24"/>
          <w:szCs w:val="24"/>
          <w:rtl/>
          <w:lang w:bidi="ar-JO"/>
        </w:rPr>
        <w:t>فتاوى ندوات البركة</w:t>
      </w:r>
      <w:r w:rsidRPr="002273BC">
        <w:rPr>
          <w:rFonts w:ascii="Arabic Transparent" w:hAnsi="Arabic Transparent" w:cs="Arabic Transparent" w:hint="cs"/>
          <w:sz w:val="24"/>
          <w:szCs w:val="24"/>
          <w:rtl/>
          <w:lang w:bidi="ar-JO"/>
        </w:rPr>
        <w:t>، مصدر سابق، ص234.</w:t>
      </w:r>
    </w:p>
  </w:footnote>
  <w:footnote w:id="856">
    <w:p w14:paraId="1746889B"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ابن قدامة، </w:t>
      </w:r>
      <w:r w:rsidRPr="002273BC">
        <w:rPr>
          <w:rFonts w:ascii="Arabic Transparent" w:hAnsi="Arabic Transparent" w:cs="Arabic Transparent" w:hint="cs"/>
          <w:b/>
          <w:bCs/>
          <w:sz w:val="24"/>
          <w:szCs w:val="24"/>
          <w:rtl/>
          <w:lang w:bidi="ar-JO"/>
        </w:rPr>
        <w:t>المغني</w:t>
      </w:r>
      <w:r w:rsidRPr="002273BC">
        <w:rPr>
          <w:rFonts w:ascii="Arabic Transparent" w:hAnsi="Arabic Transparent" w:cs="Arabic Transparent" w:hint="cs"/>
          <w:sz w:val="24"/>
          <w:szCs w:val="24"/>
          <w:rtl/>
          <w:lang w:bidi="ar-JO"/>
        </w:rPr>
        <w:t>، مصدر سابق، ج6، ص508.</w:t>
      </w:r>
    </w:p>
  </w:footnote>
  <w:footnote w:id="857">
    <w:p w14:paraId="07F36419"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المجمع الفقهي الإسلامي برابطة العالم الإسلامي (1991م</w:t>
      </w:r>
      <w:r w:rsidRPr="002273BC">
        <w:rPr>
          <w:rFonts w:ascii="Arabic Transparent" w:hAnsi="Arabic Transparent" w:cs="Arabic Transparent" w:hint="cs"/>
          <w:b/>
          <w:bCs/>
          <w:sz w:val="24"/>
          <w:szCs w:val="24"/>
          <w:rtl/>
          <w:lang w:bidi="ar-JO"/>
        </w:rPr>
        <w:t>). "قرار بشأن فرض غرامة التأخير"،</w:t>
      </w:r>
      <w:r w:rsidRPr="002273BC">
        <w:rPr>
          <w:rFonts w:ascii="Arabic Transparent" w:hAnsi="Arabic Transparent" w:cs="Arabic Transparent" w:hint="cs"/>
          <w:sz w:val="24"/>
          <w:szCs w:val="24"/>
          <w:rtl/>
          <w:lang w:bidi="ar-JO"/>
        </w:rPr>
        <w:t xml:space="preserve"> القرار رقم (8)، الدورة الحادية عشرة، مكة المكرمة، 13-20/7/1409هـ، الموافق 19-26/2/1991م، منشور في: </w:t>
      </w:r>
      <w:r w:rsidRPr="002273BC">
        <w:rPr>
          <w:rFonts w:ascii="Arabic Transparent" w:hAnsi="Arabic Transparent" w:cs="Arabic Transparent" w:hint="cs"/>
          <w:b/>
          <w:bCs/>
          <w:sz w:val="24"/>
          <w:szCs w:val="24"/>
          <w:rtl/>
          <w:lang w:bidi="ar-JO"/>
        </w:rPr>
        <w:t>قرارات المجمع الفقهي الإسلامي لرابطة العالم الإسلامي</w:t>
      </w:r>
      <w:r w:rsidRPr="002273BC">
        <w:rPr>
          <w:rFonts w:ascii="Arabic Transparent" w:hAnsi="Arabic Transparent" w:cs="Arabic Transparent" w:hint="cs"/>
          <w:sz w:val="24"/>
          <w:szCs w:val="24"/>
          <w:rtl/>
          <w:lang w:bidi="ar-JO"/>
        </w:rPr>
        <w:t>، رابطة العالم الإسلامي، مكة المكرمة.</w:t>
      </w:r>
    </w:p>
  </w:footnote>
  <w:footnote w:id="858">
    <w:p w14:paraId="1F53D8FE" w14:textId="386EF3BE"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مجمع الفقه الإسلامي الدولي (2003م). </w:t>
      </w:r>
      <w:r w:rsidRPr="002273BC">
        <w:rPr>
          <w:rFonts w:ascii="Arabic Transparent" w:hAnsi="Arabic Transparent" w:cs="Arabic Transparent" w:hint="cs"/>
          <w:b/>
          <w:bCs/>
          <w:sz w:val="24"/>
          <w:szCs w:val="24"/>
          <w:rtl/>
          <w:lang w:bidi="ar-JO"/>
        </w:rPr>
        <w:t>"قرار بشأن مشكلة المتأخرات في المؤسسات المالية الإسلامية"،</w:t>
      </w:r>
      <w:r w:rsidRPr="002273BC">
        <w:rPr>
          <w:rFonts w:ascii="Arabic Transparent" w:hAnsi="Arabic Transparent" w:cs="Arabic Transparent" w:hint="cs"/>
          <w:sz w:val="24"/>
          <w:szCs w:val="24"/>
          <w:rtl/>
          <w:lang w:bidi="ar-JO"/>
        </w:rPr>
        <w:t xml:space="preserve"> القرار رقم 133 (7/14)، الدورة الرابعة عشرة، الدوحة، قطر، متاح على الرابط: </w:t>
      </w:r>
      <w:r w:rsidRPr="002273BC">
        <w:rPr>
          <w:rFonts w:ascii="Arabic Transparent" w:hAnsi="Arabic Transparent" w:cs="Arabic Transparent" w:hint="cs"/>
          <w:sz w:val="24"/>
          <w:szCs w:val="24"/>
          <w:lang w:bidi="ar-JO"/>
        </w:rPr>
        <w:t>https://iifa-aifi.org/ar/54153.html</w:t>
      </w:r>
      <w:r w:rsidR="005D7B91" w:rsidRPr="002273BC">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sz w:val="24"/>
          <w:szCs w:val="24"/>
          <w:rtl/>
          <w:lang w:bidi="ar-JO"/>
        </w:rPr>
        <w:t>تاريخ الاطلاع: 14/4/2026م.</w:t>
      </w:r>
    </w:p>
  </w:footnote>
  <w:footnote w:id="859">
    <w:p w14:paraId="6EB84DCE" w14:textId="204B0BAF"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مركز أبحاث فقه المعاملات الإسلامية (2021م). </w:t>
      </w:r>
      <w:r w:rsidRPr="002273BC">
        <w:rPr>
          <w:rFonts w:ascii="Arabic Transparent" w:hAnsi="Arabic Transparent" w:cs="Arabic Transparent" w:hint="cs"/>
          <w:b/>
          <w:bCs/>
          <w:sz w:val="24"/>
          <w:szCs w:val="24"/>
          <w:rtl/>
          <w:lang w:bidi="ar-JO"/>
        </w:rPr>
        <w:t>"الشرط الجزائي في الديون المقترضة لصالح جهة أخرى"</w:t>
      </w:r>
      <w:r w:rsidRPr="002273BC">
        <w:rPr>
          <w:rFonts w:ascii="Arabic Transparent" w:hAnsi="Arabic Transparent" w:cs="Arabic Transparent" w:hint="cs"/>
          <w:sz w:val="24"/>
          <w:szCs w:val="24"/>
          <w:rtl/>
          <w:lang w:bidi="ar-JO"/>
        </w:rPr>
        <w:t xml:space="preserve">، الموسوعة الميسرة في فقه القضايا المعاصرة، متاح على الرابط: </w:t>
      </w:r>
      <w:r w:rsidRPr="002273BC">
        <w:rPr>
          <w:rFonts w:ascii="Arabic Transparent" w:hAnsi="Arabic Transparent" w:cs="Arabic Transparent" w:hint="cs"/>
          <w:sz w:val="24"/>
          <w:szCs w:val="24"/>
          <w:lang w:bidi="ar-JO"/>
        </w:rPr>
        <w:t>https://erej.org/554</w:t>
      </w:r>
      <w:r w:rsidR="005D7B91" w:rsidRPr="002273BC">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sz w:val="24"/>
          <w:szCs w:val="24"/>
          <w:rtl/>
          <w:lang w:bidi="ar-JO"/>
        </w:rPr>
        <w:t>تاريخ الاطلاع: 14/4/2026م.</w:t>
      </w:r>
    </w:p>
  </w:footnote>
  <w:footnote w:id="860">
    <w:p w14:paraId="2F8DC741"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مجلس الإفتاء الأردني (2008). قرار رقم (124): </w:t>
      </w:r>
      <w:r w:rsidRPr="002273BC">
        <w:rPr>
          <w:rFonts w:ascii="Arabic Transparent" w:hAnsi="Arabic Transparent" w:cs="Arabic Transparent" w:hint="cs"/>
          <w:b/>
          <w:bCs/>
          <w:sz w:val="24"/>
          <w:szCs w:val="24"/>
          <w:rtl/>
          <w:lang w:bidi="ar-JO"/>
        </w:rPr>
        <w:t>الشرط الجزائي في الديون، قرار رقم (11/2008)،</w:t>
      </w:r>
      <w:r w:rsidRPr="002273BC">
        <w:rPr>
          <w:rFonts w:ascii="Arabic Transparent" w:hAnsi="Arabic Transparent" w:cs="Arabic Transparent" w:hint="cs"/>
          <w:sz w:val="24"/>
          <w:szCs w:val="24"/>
          <w:rtl/>
          <w:lang w:bidi="ar-JO"/>
        </w:rPr>
        <w:t xml:space="preserve"> دائرة الإفتاء العام، المملكة الأردنية الهاشمية. متاح على الرابط: </w:t>
      </w:r>
      <w:r w:rsidRPr="002273BC">
        <w:rPr>
          <w:rFonts w:ascii="Arabic Transparent" w:hAnsi="Arabic Transparent" w:cs="Arabic Transparent" w:hint="cs"/>
          <w:sz w:val="24"/>
          <w:szCs w:val="24"/>
          <w:lang w:bidi="ar-JO"/>
        </w:rPr>
        <w:t>https://www.aliftaa.jo/decision/126</w:t>
      </w:r>
    </w:p>
  </w:footnote>
  <w:footnote w:id="861">
    <w:p w14:paraId="6D21E659"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علام، شوقي إبراهيم (2024). </w:t>
      </w:r>
      <w:r w:rsidRPr="002273BC">
        <w:rPr>
          <w:rFonts w:ascii="Arabic Transparent" w:hAnsi="Arabic Transparent" w:cs="Arabic Transparent" w:hint="cs"/>
          <w:b/>
          <w:bCs/>
          <w:sz w:val="24"/>
          <w:szCs w:val="24"/>
          <w:rtl/>
          <w:lang w:bidi="ar-JO"/>
        </w:rPr>
        <w:t>حكم اشتراط المقرض على المقترض زيادة عند التأخر عن سداد الدين "الشرط الجزائي</w:t>
      </w:r>
      <w:r w:rsidRPr="002273BC">
        <w:rPr>
          <w:rFonts w:ascii="Arabic Transparent" w:hAnsi="Arabic Transparent" w:cs="Arabic Transparent" w:hint="cs"/>
          <w:sz w:val="24"/>
          <w:szCs w:val="24"/>
          <w:rtl/>
          <w:lang w:bidi="ar-JO"/>
        </w:rPr>
        <w:t xml:space="preserve">"، فتوى رقم 8332، صادرة بتاريخ 8 أبريل 2024م. دار الإفتاء المصرية، القاهرة. متاح على الرابط: </w:t>
      </w:r>
      <w:r w:rsidRPr="002273BC">
        <w:rPr>
          <w:rFonts w:ascii="Arabic Transparent" w:hAnsi="Arabic Transparent" w:cs="Arabic Transparent" w:hint="cs"/>
          <w:sz w:val="24"/>
          <w:szCs w:val="24"/>
          <w:lang w:bidi="ar-JO"/>
        </w:rPr>
        <w:t>https://www.dar-alifta.org/ar/fatwa/details/20676</w:t>
      </w:r>
    </w:p>
  </w:footnote>
  <w:footnote w:id="862">
    <w:p w14:paraId="488EC716" w14:textId="3F14BF4D"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فتوى محمد المنجد المنشورة على موقعه الرسمي: </w:t>
      </w:r>
      <w:r w:rsidRPr="002273BC">
        <w:rPr>
          <w:rFonts w:ascii="Arabic Transparent" w:hAnsi="Arabic Transparent" w:cs="Arabic Transparent" w:hint="cs"/>
          <w:b/>
          <w:bCs/>
          <w:sz w:val="24"/>
          <w:szCs w:val="24"/>
          <w:rtl/>
        </w:rPr>
        <w:t>حول حكم غراما</w:t>
      </w:r>
      <w:r w:rsidRPr="002273BC">
        <w:rPr>
          <w:rFonts w:ascii="Arabic Transparent" w:hAnsi="Arabic Transparent" w:cs="Arabic Transparent" w:hint="eastAsia"/>
          <w:b/>
          <w:bCs/>
          <w:sz w:val="24"/>
          <w:szCs w:val="24"/>
          <w:rtl/>
        </w:rPr>
        <w:t>ت</w:t>
      </w:r>
      <w:r w:rsidRPr="002273BC">
        <w:rPr>
          <w:rFonts w:ascii="Arabic Transparent" w:hAnsi="Arabic Transparent" w:cs="Arabic Transparent" w:hint="cs"/>
          <w:b/>
          <w:bCs/>
          <w:sz w:val="24"/>
          <w:szCs w:val="24"/>
          <w:rtl/>
        </w:rPr>
        <w:t xml:space="preserve"> التأخير المالية</w:t>
      </w:r>
      <w:r w:rsidRPr="002273BC">
        <w:rPr>
          <w:rFonts w:ascii="Arabic Transparent" w:hAnsi="Arabic Transparent" w:cs="Arabic Transparent" w:hint="cs"/>
          <w:sz w:val="24"/>
          <w:szCs w:val="24"/>
          <w:rtl/>
        </w:rPr>
        <w:t>، على الرابط:</w:t>
      </w:r>
      <w:r w:rsidRPr="002273BC">
        <w:rPr>
          <w:rFonts w:ascii="Arabic Transparent" w:hAnsi="Arabic Transparent" w:cs="Arabic Transparent" w:hint="cs"/>
          <w:sz w:val="24"/>
          <w:szCs w:val="24"/>
        </w:rPr>
        <w:t xml:space="preserve"> </w:t>
      </w:r>
      <w:hyperlink r:id="rId11" w:history="1">
        <w:r w:rsidRPr="002273BC">
          <w:rPr>
            <w:rStyle w:val="Hyperlink"/>
            <w:rFonts w:ascii="Arabic Transparent" w:hAnsi="Arabic Transparent" w:cs="Arabic Transparent" w:hint="cs"/>
            <w:sz w:val="24"/>
            <w:szCs w:val="24"/>
            <w:lang w:bidi="ar-JO"/>
          </w:rPr>
          <w:t>https://islamqa.info/ar/answers/147777</w:t>
        </w:r>
      </w:hyperlink>
      <w:r w:rsidRPr="002273BC">
        <w:rPr>
          <w:rFonts w:ascii="Arabic Transparent" w:hAnsi="Arabic Transparent" w:cs="Arabic Transparent" w:hint="cs"/>
          <w:sz w:val="24"/>
          <w:szCs w:val="24"/>
          <w:rtl/>
          <w:lang w:bidi="ar-JO"/>
        </w:rPr>
        <w:t xml:space="preserve"> تاريخ الاطلاع، 4/3/2026م.</w:t>
      </w:r>
    </w:p>
  </w:footnote>
  <w:footnote w:id="863">
    <w:p w14:paraId="2878806B" w14:textId="39B89A60"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بعض الشروط وضعتها: انظر</w:t>
      </w:r>
      <w:r w:rsidRPr="002273BC">
        <w:rPr>
          <w:rFonts w:ascii="Arabic Transparent" w:hAnsi="Arabic Transparent" w:cs="Arabic Transparent" w:hint="cs"/>
          <w:b/>
          <w:bCs/>
          <w:sz w:val="24"/>
          <w:szCs w:val="24"/>
          <w:rtl/>
          <w:lang w:bidi="ar-JO"/>
        </w:rPr>
        <w:t>: الموسوعة الميسرة في فقه القضايا المعاصرة</w:t>
      </w:r>
      <w:r w:rsidRPr="002273BC">
        <w:rPr>
          <w:rFonts w:ascii="Arabic Transparent" w:hAnsi="Arabic Transparent" w:cs="Arabic Transparent" w:hint="cs"/>
          <w:sz w:val="24"/>
          <w:szCs w:val="24"/>
          <w:rtl/>
          <w:lang w:bidi="ar-JO"/>
        </w:rPr>
        <w:t xml:space="preserve">، متاح على الرابط: </w:t>
      </w:r>
      <w:r w:rsidRPr="002273BC">
        <w:rPr>
          <w:rFonts w:ascii="Arabic Transparent" w:hAnsi="Arabic Transparent" w:cs="Arabic Transparent" w:hint="cs"/>
          <w:sz w:val="24"/>
          <w:szCs w:val="24"/>
          <w:lang w:bidi="ar-JO"/>
        </w:rPr>
        <w:t>https://erej.org/554</w:t>
      </w:r>
      <w:r w:rsidR="005D7B91" w:rsidRPr="002273BC">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sz w:val="24"/>
          <w:szCs w:val="24"/>
          <w:rtl/>
          <w:lang w:bidi="ar-JO"/>
        </w:rPr>
        <w:t xml:space="preserve">تاريخ الاطلاع: 14/4/2026م، وانظر: العنزي، نايفة خميس عشوي (2017م)، </w:t>
      </w:r>
      <w:r w:rsidRPr="002273BC">
        <w:rPr>
          <w:rFonts w:ascii="Arabic Transparent" w:hAnsi="Arabic Transparent" w:cs="Arabic Transparent" w:hint="cs"/>
          <w:b/>
          <w:bCs/>
          <w:sz w:val="24"/>
          <w:szCs w:val="24"/>
          <w:rtl/>
          <w:lang w:bidi="ar-JO"/>
        </w:rPr>
        <w:t>الأحكام الفقهية المتعلقة بالشرط الجزائي في القروض المالية</w:t>
      </w:r>
      <w:r w:rsidRPr="002273BC">
        <w:rPr>
          <w:rFonts w:ascii="Arabic Transparent" w:hAnsi="Arabic Transparent" w:cs="Arabic Transparent" w:hint="cs"/>
          <w:sz w:val="24"/>
          <w:szCs w:val="24"/>
          <w:rtl/>
          <w:lang w:bidi="ar-JO"/>
        </w:rPr>
        <w:t>، م32، ع4، ص1327، مجلة كلية الشرعية والقانون – بطنطا.</w:t>
      </w:r>
    </w:p>
  </w:footnote>
  <w:footnote w:id="864">
    <w:p w14:paraId="31E35227" w14:textId="19FBBC40"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من قرار مجمع الفقه الإسلامي الدولي، مجمع الفقه الإسلامي الدولي "</w:t>
      </w:r>
      <w:r w:rsidRPr="002273BC">
        <w:rPr>
          <w:rFonts w:ascii="Arabic Transparent" w:hAnsi="Arabic Transparent" w:cs="Arabic Transparent" w:hint="cs"/>
          <w:b/>
          <w:bCs/>
          <w:sz w:val="24"/>
          <w:szCs w:val="24"/>
          <w:rtl/>
          <w:lang w:bidi="ar-JO"/>
        </w:rPr>
        <w:t>قرار بشأن مشكلة المتأخرات في المؤسسات المالية الإسلامية</w:t>
      </w:r>
      <w:r w:rsidRPr="002273BC">
        <w:rPr>
          <w:rFonts w:ascii="Arabic Transparent" w:hAnsi="Arabic Transparent" w:cs="Arabic Transparent" w:hint="cs"/>
          <w:sz w:val="24"/>
          <w:szCs w:val="24"/>
          <w:rtl/>
          <w:lang w:bidi="ar-JO"/>
        </w:rPr>
        <w:t xml:space="preserve">"، مصدر سابق، </w:t>
      </w:r>
      <w:r w:rsidRPr="002273BC">
        <w:rPr>
          <w:rFonts w:ascii="Arabic Transparent" w:hAnsi="Arabic Transparent" w:cs="Arabic Transparent" w:hint="cs"/>
          <w:sz w:val="24"/>
          <w:szCs w:val="24"/>
          <w:lang w:bidi="ar-JO"/>
        </w:rPr>
        <w:t>https://iifa-aifi.org/ar/54153.html</w:t>
      </w:r>
      <w:r w:rsidR="005D7B91" w:rsidRPr="002273BC">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sz w:val="24"/>
          <w:szCs w:val="24"/>
          <w:rtl/>
          <w:lang w:bidi="ar-JO"/>
        </w:rPr>
        <w:t>تاريخ الاطلاع: 14/4/2026م.</w:t>
      </w:r>
    </w:p>
  </w:footnote>
  <w:footnote w:id="865">
    <w:p w14:paraId="78D36E5E" w14:textId="46B2E39A"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انظر: مجموعة من المؤلفين،</w:t>
      </w:r>
      <w:r w:rsidRPr="002273BC">
        <w:rPr>
          <w:rFonts w:ascii="Arabic Transparent" w:hAnsi="Arabic Transparent" w:cs="Arabic Transparent"/>
          <w:sz w:val="24"/>
          <w:szCs w:val="24"/>
          <w:rtl/>
          <w:lang w:bidi="ar-JO"/>
        </w:rPr>
        <w:t xml:space="preserve"> </w:t>
      </w:r>
      <w:r w:rsidRPr="002273BC">
        <w:rPr>
          <w:rFonts w:ascii="Arabic Transparent" w:hAnsi="Arabic Transparent" w:cs="Arabic Transparent"/>
          <w:b/>
          <w:bCs/>
          <w:sz w:val="24"/>
          <w:szCs w:val="24"/>
          <w:rtl/>
          <w:lang w:bidi="ar-JO"/>
        </w:rPr>
        <w:t>الموسوعة الميسرة في فقه القضايا المعاصرة،</w:t>
      </w:r>
      <w:r w:rsidR="00B154EE" w:rsidRPr="002273BC">
        <w:rPr>
          <w:rFonts w:ascii="Arabic Transparent" w:hAnsi="Arabic Transparent" w:cs="Arabic Transparent" w:hint="cs"/>
          <w:b/>
          <w:bCs/>
          <w:sz w:val="24"/>
          <w:szCs w:val="24"/>
          <w:rtl/>
          <w:lang w:bidi="ar-JO"/>
        </w:rPr>
        <w:t xml:space="preserve"> </w:t>
      </w:r>
      <w:r w:rsidRPr="002273BC">
        <w:rPr>
          <w:rFonts w:ascii="Arabic Transparent" w:hAnsi="Arabic Transparent" w:cs="Arabic Transparent" w:hint="cs"/>
          <w:sz w:val="24"/>
          <w:szCs w:val="24"/>
          <w:rtl/>
          <w:lang w:bidi="ar-JO"/>
        </w:rPr>
        <w:t>مصدر سابق،</w:t>
      </w:r>
      <w:r w:rsidRPr="002273BC">
        <w:rPr>
          <w:rFonts w:ascii="Arabic Transparent" w:hAnsi="Arabic Transparent" w:cs="Arabic Transparent"/>
          <w:b/>
          <w:bCs/>
          <w:sz w:val="24"/>
          <w:szCs w:val="24"/>
          <w:rtl/>
          <w:lang w:bidi="ar-JO"/>
        </w:rPr>
        <w:t xml:space="preserve"> </w:t>
      </w:r>
      <w:r w:rsidRPr="002273BC">
        <w:rPr>
          <w:rFonts w:ascii="Arabic Transparent" w:hAnsi="Arabic Transparent" w:cs="Arabic Transparent"/>
          <w:sz w:val="24"/>
          <w:szCs w:val="24"/>
          <w:rtl/>
          <w:lang w:bidi="ar-JO"/>
        </w:rPr>
        <w:t xml:space="preserve">متاح على الرابط: </w:t>
      </w:r>
      <w:r w:rsidRPr="002273BC">
        <w:rPr>
          <w:rFonts w:ascii="Arabic Transparent" w:hAnsi="Arabic Transparent" w:cs="Arabic Transparent"/>
          <w:sz w:val="24"/>
          <w:szCs w:val="24"/>
          <w:lang w:bidi="ar-JO"/>
        </w:rPr>
        <w:t>https://erej.org/554</w:t>
      </w:r>
      <w:r w:rsidR="005D7B91" w:rsidRPr="002273BC">
        <w:rPr>
          <w:rFonts w:ascii="Arabic Transparent" w:hAnsi="Arabic Transparent" w:cs="Arabic Transparent"/>
          <w:sz w:val="24"/>
          <w:szCs w:val="24"/>
          <w:rtl/>
          <w:lang w:bidi="ar-JO"/>
        </w:rPr>
        <w:t xml:space="preserve">، </w:t>
      </w:r>
      <w:r w:rsidRPr="002273BC">
        <w:rPr>
          <w:rFonts w:ascii="Arabic Transparent" w:hAnsi="Arabic Transparent" w:cs="Arabic Transparent"/>
          <w:sz w:val="24"/>
          <w:szCs w:val="24"/>
          <w:rtl/>
          <w:lang w:bidi="ar-JO"/>
        </w:rPr>
        <w:t>تاريخ الاطلاع: 14/4/2026م</w:t>
      </w:r>
    </w:p>
  </w:footnote>
  <w:footnote w:id="866">
    <w:p w14:paraId="623E01EF"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تقرير كريف الأردن</w:t>
      </w:r>
      <w:r w:rsidRPr="002273BC">
        <w:rPr>
          <w:rFonts w:ascii="Arabic Transparent" w:hAnsi="Arabic Transparent" w:cs="Arabic Transparent" w:hint="cs"/>
          <w:b/>
          <w:bCs/>
          <w:sz w:val="24"/>
          <w:szCs w:val="24"/>
          <w:rtl/>
          <w:lang w:bidi="ar-JO"/>
        </w:rPr>
        <w:t>، معلومات عن التقرير الائتماني من شركة كريف الأردن</w:t>
      </w:r>
      <w:r w:rsidRPr="002273BC">
        <w:rPr>
          <w:rFonts w:ascii="Arabic Transparent" w:hAnsi="Arabic Transparent" w:cs="Arabic Transparent" w:hint="cs"/>
          <w:sz w:val="24"/>
          <w:szCs w:val="24"/>
          <w:rtl/>
          <w:lang w:bidi="ar-JO"/>
        </w:rPr>
        <w:t xml:space="preserve">، للاطلاع: </w:t>
      </w:r>
      <w:hyperlink r:id="rId12" w:history="1">
        <w:r w:rsidRPr="002273BC">
          <w:rPr>
            <w:rStyle w:val="Hyperlink"/>
            <w:rFonts w:ascii="Arabic Transparent" w:hAnsi="Arabic Transparent" w:cs="Arabic Transparent" w:hint="cs"/>
            <w:sz w:val="24"/>
            <w:szCs w:val="24"/>
            <w:lang w:bidi="ar-JO"/>
          </w:rPr>
          <w:t>https://www.crif.jo/AR/Pages</w:t>
        </w:r>
        <w:r w:rsidRPr="002273BC">
          <w:rPr>
            <w:rStyle w:val="Hyperlink"/>
            <w:rFonts w:ascii="Arabic Transparent" w:hAnsi="Arabic Transparent" w:cs="Arabic Transparent" w:hint="cs"/>
            <w:sz w:val="24"/>
            <w:szCs w:val="24"/>
            <w:rtl/>
            <w:lang w:bidi="ar-JO"/>
          </w:rPr>
          <w:t>/</w:t>
        </w:r>
      </w:hyperlink>
      <w:r w:rsidRPr="002273BC">
        <w:rPr>
          <w:rFonts w:ascii="Arabic Transparent" w:hAnsi="Arabic Transparent" w:cs="Arabic Transparent" w:hint="cs"/>
          <w:sz w:val="24"/>
          <w:szCs w:val="24"/>
          <w:rtl/>
          <w:lang w:bidi="ar-JO"/>
        </w:rPr>
        <w:t xml:space="preserve"> تاريخ 13/2/2026.</w:t>
      </w:r>
    </w:p>
  </w:footnote>
  <w:footnote w:id="867">
    <w:p w14:paraId="7FDD1C57"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ابن عبدالبر، </w:t>
      </w:r>
      <w:r w:rsidRPr="002273BC">
        <w:rPr>
          <w:rFonts w:ascii="Arabic Transparent" w:hAnsi="Arabic Transparent" w:cs="Arabic Transparent" w:hint="cs"/>
          <w:b/>
          <w:bCs/>
          <w:sz w:val="24"/>
          <w:szCs w:val="24"/>
          <w:rtl/>
          <w:lang w:bidi="ar-JO"/>
        </w:rPr>
        <w:t>الاستذكار</w:t>
      </w:r>
      <w:r w:rsidRPr="002273BC">
        <w:rPr>
          <w:rFonts w:ascii="Arabic Transparent" w:hAnsi="Arabic Transparent" w:cs="Arabic Transparent" w:hint="cs"/>
          <w:sz w:val="24"/>
          <w:szCs w:val="24"/>
          <w:rtl/>
          <w:lang w:bidi="ar-JO"/>
        </w:rPr>
        <w:t>، مصدر سابق، ج6، ص404.</w:t>
      </w:r>
    </w:p>
  </w:footnote>
  <w:footnote w:id="868">
    <w:p w14:paraId="609532BC"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السرخسي، </w:t>
      </w:r>
      <w:r w:rsidRPr="002273BC">
        <w:rPr>
          <w:rFonts w:ascii="Arabic Transparent" w:hAnsi="Arabic Transparent" w:cs="Arabic Transparent" w:hint="cs"/>
          <w:b/>
          <w:bCs/>
          <w:sz w:val="24"/>
          <w:szCs w:val="24"/>
          <w:rtl/>
          <w:lang w:bidi="ar-JO"/>
        </w:rPr>
        <w:t>المبسوط،</w:t>
      </w:r>
      <w:r w:rsidRPr="002273BC">
        <w:rPr>
          <w:rFonts w:ascii="Arabic Transparent" w:hAnsi="Arabic Transparent" w:cs="Arabic Transparent" w:hint="cs"/>
          <w:sz w:val="24"/>
          <w:szCs w:val="24"/>
          <w:rtl/>
          <w:lang w:bidi="ar-JO"/>
        </w:rPr>
        <w:t xml:space="preserve"> مصدر سابق، ج11، ص126.</w:t>
      </w:r>
    </w:p>
  </w:footnote>
  <w:footnote w:id="869">
    <w:p w14:paraId="56C83D52"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خليل، </w:t>
      </w:r>
      <w:r w:rsidRPr="002273BC">
        <w:rPr>
          <w:rFonts w:ascii="Arabic Transparent" w:hAnsi="Arabic Transparent" w:cs="Arabic Transparent" w:hint="cs"/>
          <w:b/>
          <w:bCs/>
          <w:sz w:val="24"/>
          <w:szCs w:val="24"/>
          <w:rtl/>
          <w:lang w:bidi="ar-JO"/>
        </w:rPr>
        <w:t>مختصر خليل</w:t>
      </w:r>
      <w:r w:rsidRPr="002273BC">
        <w:rPr>
          <w:rFonts w:ascii="Arabic Transparent" w:hAnsi="Arabic Transparent" w:cs="Arabic Transparent" w:hint="cs"/>
          <w:sz w:val="24"/>
          <w:szCs w:val="24"/>
          <w:rtl/>
          <w:lang w:bidi="ar-JO"/>
        </w:rPr>
        <w:t>، مصدر سابق، ص149.</w:t>
      </w:r>
    </w:p>
  </w:footnote>
  <w:footnote w:id="870">
    <w:p w14:paraId="5AE569A0"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النووي، </w:t>
      </w:r>
      <w:r w:rsidRPr="002273BC">
        <w:rPr>
          <w:rFonts w:ascii="Arabic Transparent" w:hAnsi="Arabic Transparent" w:cs="Arabic Transparent" w:hint="cs"/>
          <w:b/>
          <w:bCs/>
          <w:sz w:val="24"/>
          <w:szCs w:val="24"/>
          <w:rtl/>
          <w:lang w:bidi="ar-JO"/>
        </w:rPr>
        <w:t>روضة الطالبين</w:t>
      </w:r>
      <w:r w:rsidRPr="002273BC">
        <w:rPr>
          <w:rFonts w:ascii="Arabic Transparent" w:hAnsi="Arabic Transparent" w:cs="Arabic Transparent" w:hint="cs"/>
          <w:sz w:val="24"/>
          <w:szCs w:val="24"/>
          <w:rtl/>
          <w:lang w:bidi="ar-JO"/>
        </w:rPr>
        <w:t>، مصدر سابق، ج5، ص13- 15</w:t>
      </w:r>
    </w:p>
  </w:footnote>
  <w:footnote w:id="871">
    <w:p w14:paraId="2E11FC1D"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البهوتي، </w:t>
      </w:r>
      <w:r w:rsidRPr="002273BC">
        <w:rPr>
          <w:rFonts w:ascii="Arabic Transparent" w:hAnsi="Arabic Transparent" w:cs="Arabic Transparent" w:hint="cs"/>
          <w:b/>
          <w:bCs/>
          <w:sz w:val="24"/>
          <w:szCs w:val="24"/>
          <w:rtl/>
          <w:lang w:bidi="ar-JO"/>
        </w:rPr>
        <w:t>كشاف القناع</w:t>
      </w:r>
      <w:r w:rsidRPr="002273BC">
        <w:rPr>
          <w:rFonts w:ascii="Arabic Transparent" w:hAnsi="Arabic Transparent" w:cs="Arabic Transparent" w:hint="cs"/>
          <w:sz w:val="24"/>
          <w:szCs w:val="24"/>
          <w:rtl/>
          <w:lang w:bidi="ar-JO"/>
        </w:rPr>
        <w:t>، مصدر سابق، ج4، ص111</w:t>
      </w:r>
    </w:p>
  </w:footnote>
  <w:footnote w:id="872">
    <w:p w14:paraId="0301A7FA"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النووي، </w:t>
      </w:r>
      <w:r w:rsidRPr="002273BC">
        <w:rPr>
          <w:rFonts w:ascii="Arabic Transparent" w:hAnsi="Arabic Transparent" w:cs="Arabic Transparent" w:hint="cs"/>
          <w:b/>
          <w:bCs/>
          <w:sz w:val="24"/>
          <w:szCs w:val="24"/>
          <w:rtl/>
          <w:lang w:bidi="ar-JO"/>
        </w:rPr>
        <w:t>روضة الطالبين</w:t>
      </w:r>
      <w:r w:rsidRPr="002273BC">
        <w:rPr>
          <w:rFonts w:ascii="Arabic Transparent" w:hAnsi="Arabic Transparent" w:cs="Arabic Transparent" w:hint="cs"/>
          <w:sz w:val="24"/>
          <w:szCs w:val="24"/>
          <w:rtl/>
          <w:lang w:bidi="ar-JO"/>
        </w:rPr>
        <w:t xml:space="preserve">، مصدر سابق، ج5، ص13- 15، الماوردي، </w:t>
      </w:r>
      <w:r w:rsidRPr="002273BC">
        <w:rPr>
          <w:rFonts w:ascii="Arabic Transparent" w:hAnsi="Arabic Transparent" w:cs="Arabic Transparent" w:hint="cs"/>
          <w:b/>
          <w:bCs/>
          <w:sz w:val="24"/>
          <w:szCs w:val="24"/>
          <w:rtl/>
          <w:lang w:bidi="ar-JO"/>
        </w:rPr>
        <w:t>الحاوي الكبير</w:t>
      </w:r>
      <w:r w:rsidRPr="002273BC">
        <w:rPr>
          <w:rFonts w:ascii="Arabic Transparent" w:hAnsi="Arabic Transparent" w:cs="Arabic Transparent" w:hint="cs"/>
          <w:sz w:val="24"/>
          <w:szCs w:val="24"/>
          <w:rtl/>
          <w:lang w:bidi="ar-JO"/>
        </w:rPr>
        <w:t>، مصدر سابق، ج7، ص160.</w:t>
      </w:r>
    </w:p>
  </w:footnote>
  <w:footnote w:id="873">
    <w:p w14:paraId="7195C136"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انظر: البابرتي، </w:t>
      </w:r>
      <w:r w:rsidRPr="002273BC">
        <w:rPr>
          <w:rFonts w:ascii="Arabic Transparent" w:hAnsi="Arabic Transparent" w:cs="Arabic Transparent" w:hint="cs"/>
          <w:b/>
          <w:bCs/>
          <w:sz w:val="24"/>
          <w:szCs w:val="24"/>
          <w:rtl/>
          <w:lang w:bidi="ar-JO"/>
        </w:rPr>
        <w:t>العناية شرح الهداية</w:t>
      </w:r>
      <w:r w:rsidRPr="002273BC">
        <w:rPr>
          <w:rFonts w:ascii="Arabic Transparent" w:hAnsi="Arabic Transparent" w:cs="Arabic Transparent" w:hint="cs"/>
          <w:sz w:val="24"/>
          <w:szCs w:val="24"/>
          <w:rtl/>
          <w:lang w:bidi="ar-JO"/>
        </w:rPr>
        <w:t>، ط1، مصدر سابق، ج8، ص454.</w:t>
      </w:r>
    </w:p>
  </w:footnote>
  <w:footnote w:id="874">
    <w:p w14:paraId="192238F2"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العجمي، محمد بليه حمد، (2020م)، </w:t>
      </w:r>
      <w:r w:rsidRPr="002273BC">
        <w:rPr>
          <w:rFonts w:ascii="Arabic Transparent" w:hAnsi="Arabic Transparent" w:cs="Arabic Transparent" w:hint="cs"/>
          <w:b/>
          <w:bCs/>
          <w:sz w:val="24"/>
          <w:szCs w:val="24"/>
          <w:rtl/>
          <w:lang w:bidi="ar-JO"/>
        </w:rPr>
        <w:t>الشرط الجزائي في الفقه الإسلامي</w:t>
      </w:r>
      <w:r w:rsidRPr="002273BC">
        <w:rPr>
          <w:rFonts w:ascii="Arabic Transparent" w:hAnsi="Arabic Transparent" w:cs="Arabic Transparent" w:hint="cs"/>
          <w:sz w:val="24"/>
          <w:szCs w:val="24"/>
          <w:rtl/>
          <w:lang w:bidi="ar-JO"/>
        </w:rPr>
        <w:t>، م36، ع4، ص577، مجلة كلية الدراسات الإسلامية والعربية للبنات بالإسكندرية، مصر.</w:t>
      </w:r>
    </w:p>
  </w:footnote>
  <w:footnote w:id="875">
    <w:p w14:paraId="50EF5DED" w14:textId="7860862B"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انظر: دائرة الإفتاء العام الأردنية (2009). </w:t>
      </w:r>
      <w:r w:rsidRPr="002273BC">
        <w:rPr>
          <w:rFonts w:ascii="Arabic Transparent" w:hAnsi="Arabic Transparent" w:cs="Arabic Transparent" w:hint="cs"/>
          <w:b/>
          <w:bCs/>
          <w:sz w:val="24"/>
          <w:szCs w:val="24"/>
          <w:rtl/>
          <w:lang w:bidi="ar-JO"/>
        </w:rPr>
        <w:t>هل يجوز فرض غرامة على الأقساط التي يتأخر سدادها</w:t>
      </w:r>
      <w:r w:rsidRPr="002273BC">
        <w:rPr>
          <w:rFonts w:ascii="Arabic Transparent" w:hAnsi="Arabic Transparent" w:cs="Arabic Transparent" w:hint="cs"/>
          <w:sz w:val="24"/>
          <w:szCs w:val="24"/>
          <w:rtl/>
          <w:lang w:bidi="ar-JO"/>
        </w:rPr>
        <w:t xml:space="preserve">؟، فتوى بحثية رقم 258، دائرة الإفتاء العام، المملكة الأردنية الهاشمية. متاح على الرابط: </w:t>
      </w:r>
      <w:hyperlink r:id="rId13" w:history="1">
        <w:r w:rsidR="00FC366F" w:rsidRPr="002273BC">
          <w:rPr>
            <w:rStyle w:val="Hyperlink"/>
            <w:rFonts w:ascii="Arabic Transparent" w:hAnsi="Arabic Transparent" w:cs="Arabic Transparent"/>
            <w:sz w:val="24"/>
            <w:szCs w:val="24"/>
            <w:lang w:bidi="ar-JO"/>
          </w:rPr>
          <w:t>https://www.aliftaa.jo/research-fatwas/258</w:t>
        </w:r>
      </w:hyperlink>
      <w:r w:rsidR="00FC366F" w:rsidRPr="002273BC">
        <w:rPr>
          <w:rFonts w:ascii="Arabic Transparent" w:hAnsi="Arabic Transparent" w:cs="Arabic Transparent" w:hint="cs"/>
          <w:sz w:val="24"/>
          <w:szCs w:val="24"/>
          <w:rtl/>
          <w:lang w:bidi="ar-JO"/>
        </w:rPr>
        <w:t xml:space="preserve"> تاريخ الاطلاع: 17/ 4/2026م.</w:t>
      </w:r>
    </w:p>
  </w:footnote>
  <w:footnote w:id="876">
    <w:p w14:paraId="09F327EA" w14:textId="76284394"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00F21D04">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sz w:val="24"/>
          <w:szCs w:val="24"/>
          <w:rtl/>
          <w:lang w:bidi="ar-JO"/>
        </w:rPr>
        <w:t xml:space="preserve">العجمي، محمد بليه حمد، (2020م)، </w:t>
      </w:r>
      <w:r w:rsidRPr="002273BC">
        <w:rPr>
          <w:rFonts w:ascii="Arabic Transparent" w:hAnsi="Arabic Transparent" w:cs="Arabic Transparent" w:hint="cs"/>
          <w:b/>
          <w:bCs/>
          <w:sz w:val="24"/>
          <w:szCs w:val="24"/>
          <w:rtl/>
          <w:lang w:bidi="ar-JO"/>
        </w:rPr>
        <w:t>الشرط الجزائي في الفقه الإسلامي،</w:t>
      </w:r>
      <w:r w:rsidRPr="002273BC">
        <w:rPr>
          <w:rFonts w:ascii="Arabic Transparent" w:hAnsi="Arabic Transparent" w:cs="Arabic Transparent" w:hint="cs"/>
          <w:sz w:val="24"/>
          <w:szCs w:val="24"/>
          <w:rtl/>
          <w:lang w:bidi="ar-JO"/>
        </w:rPr>
        <w:t xml:space="preserve"> مصدر سابق، ص577.</w:t>
      </w:r>
    </w:p>
  </w:footnote>
  <w:footnote w:id="877">
    <w:p w14:paraId="504EF52D" w14:textId="0988D418"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lang w:bidi="ar-JO"/>
        </w:rPr>
        <w:t xml:space="preserve"> سيلغروفا، برلنت (2021). "</w:t>
      </w:r>
      <w:r w:rsidRPr="002273BC">
        <w:rPr>
          <w:rFonts w:ascii="Arabic Transparent" w:hAnsi="Arabic Transparent" w:cs="Arabic Transparent" w:hint="cs"/>
          <w:b/>
          <w:bCs/>
          <w:sz w:val="24"/>
          <w:szCs w:val="24"/>
          <w:rtl/>
          <w:lang w:bidi="ar-JO"/>
        </w:rPr>
        <w:t>مشكلة الديون المتعثرة في المصارف الإسلامية</w:t>
      </w:r>
      <w:r w:rsidR="00DA3039" w:rsidRPr="002273BC">
        <w:rPr>
          <w:rFonts w:ascii="Arabic Transparent" w:hAnsi="Arabic Transparent" w:cs="Arabic Transparent" w:hint="cs"/>
          <w:sz w:val="24"/>
          <w:szCs w:val="24"/>
          <w:rtl/>
          <w:lang w:bidi="ar-JO"/>
        </w:rPr>
        <w:t>"،</w:t>
      </w:r>
      <w:r w:rsidR="005D7B91" w:rsidRPr="002273BC">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sz w:val="24"/>
          <w:szCs w:val="24"/>
          <w:rtl/>
          <w:lang w:bidi="ar-JO"/>
        </w:rPr>
        <w:t>مج23، ع4، ص3302، مجلة كلية الشريعة والقانون بتفهنا الأشراف – دقهلية.</w:t>
      </w:r>
    </w:p>
  </w:footnote>
  <w:footnote w:id="878">
    <w:p w14:paraId="0020AFE5" w14:textId="57D27112"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انظر: مجموعة من الؤلفين (2022) </w:t>
      </w:r>
      <w:r w:rsidRPr="002273BC">
        <w:rPr>
          <w:rFonts w:ascii="Arabic Transparent" w:hAnsi="Arabic Transparent" w:cs="Arabic Transparent" w:hint="cs"/>
          <w:b/>
          <w:bCs/>
          <w:sz w:val="24"/>
          <w:szCs w:val="24"/>
          <w:rtl/>
          <w:lang w:bidi="ar-JO"/>
        </w:rPr>
        <w:t>موسوعة الفتاوى الاقتصادية</w:t>
      </w:r>
      <w:r w:rsidRPr="002273BC">
        <w:rPr>
          <w:rFonts w:ascii="Arabic Transparent" w:hAnsi="Arabic Transparent" w:cs="Arabic Transparent" w:hint="cs"/>
          <w:sz w:val="24"/>
          <w:szCs w:val="24"/>
          <w:rtl/>
          <w:lang w:bidi="ar-JO"/>
        </w:rPr>
        <w:t>، ط1، ص148-160، الشبكة الإسلامية العالمية، الرياض.</w:t>
      </w:r>
    </w:p>
  </w:footnote>
  <w:footnote w:id="879">
    <w:p w14:paraId="010890EE" w14:textId="53FE9C6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00F21D04">
        <w:rPr>
          <w:rFonts w:ascii="Arabic Transparent" w:hAnsi="Arabic Transparent" w:cs="Arabic Transparent" w:hint="cs"/>
          <w:sz w:val="24"/>
          <w:szCs w:val="24"/>
          <w:rtl/>
          <w:lang w:bidi="ar-JO"/>
        </w:rPr>
        <w:t xml:space="preserve">انظر: </w:t>
      </w:r>
      <w:r w:rsidRPr="002273BC">
        <w:rPr>
          <w:rFonts w:ascii="Arabic Transparent" w:hAnsi="Arabic Transparent" w:cs="Arabic Transparent" w:hint="cs"/>
          <w:sz w:val="24"/>
          <w:szCs w:val="24"/>
          <w:rtl/>
          <w:lang w:bidi="ar-JO"/>
        </w:rPr>
        <w:t xml:space="preserve">مجمع الفقه الإسلامي الدولي (2003م). </w:t>
      </w:r>
      <w:r w:rsidRPr="002273BC">
        <w:rPr>
          <w:rFonts w:ascii="Arabic Transparent" w:hAnsi="Arabic Transparent" w:cs="Arabic Transparent" w:hint="cs"/>
          <w:b/>
          <w:bCs/>
          <w:sz w:val="24"/>
          <w:szCs w:val="24"/>
          <w:rtl/>
          <w:lang w:bidi="ar-JO"/>
        </w:rPr>
        <w:t>"قرار بشأن مشكلة المتأخرات في المؤسسات المالية الإسلامية</w:t>
      </w:r>
      <w:r w:rsidRPr="002273BC">
        <w:rPr>
          <w:rFonts w:ascii="Arabic Transparent" w:hAnsi="Arabic Transparent" w:cs="Arabic Transparent" w:hint="cs"/>
          <w:sz w:val="24"/>
          <w:szCs w:val="24"/>
          <w:rtl/>
          <w:lang w:bidi="ar-JO"/>
        </w:rPr>
        <w:t>"، القرار رقم 133، مصدر سابق.</w:t>
      </w:r>
    </w:p>
  </w:footnote>
  <w:footnote w:id="880">
    <w:p w14:paraId="40AC986F" w14:textId="427DB03D"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00311235">
        <w:rPr>
          <w:rFonts w:ascii="Arabic Transparent" w:hAnsi="Arabic Transparent" w:cs="Arabic Transparent" w:hint="cs"/>
          <w:sz w:val="24"/>
          <w:szCs w:val="24"/>
          <w:rtl/>
        </w:rPr>
        <w:t xml:space="preserve">انظر: </w:t>
      </w:r>
      <w:r w:rsidRPr="002273BC">
        <w:rPr>
          <w:rFonts w:ascii="Arabic Transparent" w:hAnsi="Arabic Transparent" w:cs="Arabic Transparent" w:hint="cs"/>
          <w:sz w:val="24"/>
          <w:szCs w:val="24"/>
          <w:rtl/>
          <w:lang w:bidi="ar-JO"/>
        </w:rPr>
        <w:t xml:space="preserve">العنين، حمداتي شبيهنا ماء، </w:t>
      </w:r>
      <w:r w:rsidRPr="002273BC">
        <w:rPr>
          <w:rFonts w:ascii="Arabic Transparent" w:hAnsi="Arabic Transparent" w:cs="Arabic Transparent" w:hint="cs"/>
          <w:b/>
          <w:bCs/>
          <w:sz w:val="24"/>
          <w:szCs w:val="24"/>
          <w:rtl/>
          <w:lang w:bidi="ar-JO"/>
        </w:rPr>
        <w:t>‌‌الشرط الجزائي ومختلف صوره وأحكامه</w:t>
      </w:r>
      <w:r w:rsidRPr="002273BC">
        <w:rPr>
          <w:rFonts w:ascii="Arabic Transparent" w:hAnsi="Arabic Transparent" w:cs="Arabic Transparent" w:hint="cs"/>
          <w:sz w:val="24"/>
          <w:szCs w:val="24"/>
          <w:rtl/>
          <w:lang w:bidi="ar-JO"/>
        </w:rPr>
        <w:t>، بحوث مجلة الفقه الإسلامي،</w:t>
      </w:r>
      <w:r w:rsidRPr="002273BC">
        <w:rPr>
          <w:rFonts w:ascii="Arabic Transparent" w:hAnsi="Arabic Transparent" w:cs="Arabic Transparent" w:hint="cs"/>
          <w:sz w:val="24"/>
          <w:szCs w:val="24"/>
          <w:rtl/>
        </w:rPr>
        <w:t xml:space="preserve">ط1، ج12، ص462، </w:t>
      </w:r>
      <w:r w:rsidRPr="002273BC">
        <w:rPr>
          <w:rFonts w:ascii="Arabic Transparent" w:hAnsi="Arabic Transparent" w:cs="Arabic Transparent" w:hint="cs"/>
          <w:sz w:val="24"/>
          <w:szCs w:val="24"/>
          <w:rtl/>
          <w:lang w:bidi="ar-JO"/>
        </w:rPr>
        <w:t>منظمة المؤتمر الاسلامي بجدة.</w:t>
      </w:r>
    </w:p>
  </w:footnote>
  <w:footnote w:id="881">
    <w:p w14:paraId="3860B55A" w14:textId="3E248F65"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انظر: </w:t>
      </w:r>
      <w:r w:rsidRPr="002273BC">
        <w:rPr>
          <w:rFonts w:ascii="Arabic Transparent" w:hAnsi="Arabic Transparent" w:cs="Arabic Transparent" w:hint="cs"/>
          <w:b/>
          <w:bCs/>
          <w:sz w:val="24"/>
          <w:szCs w:val="24"/>
          <w:rtl/>
          <w:lang w:bidi="ar-JO"/>
        </w:rPr>
        <w:t>مطالبات بتشديد الرقابة على أوجه صرف غرامات المصارف الإسلامية</w:t>
      </w:r>
      <w:r w:rsidRPr="002273BC">
        <w:rPr>
          <w:rFonts w:ascii="Arabic Transparent" w:hAnsi="Arabic Transparent" w:cs="Arabic Transparent" w:hint="cs"/>
          <w:sz w:val="24"/>
          <w:szCs w:val="24"/>
          <w:rtl/>
          <w:lang w:bidi="ar-JO"/>
        </w:rPr>
        <w:t xml:space="preserve">، جريدة الاتحاد، أبوظبي، 21 أغسطس 2009م. متاح على الرابط: </w:t>
      </w:r>
      <w:r w:rsidRPr="002273BC">
        <w:rPr>
          <w:rFonts w:ascii="Arabic Transparent" w:hAnsi="Arabic Transparent" w:cs="Arabic Transparent" w:hint="cs"/>
          <w:sz w:val="24"/>
          <w:szCs w:val="24"/>
          <w:lang w:bidi="ar-JO"/>
        </w:rPr>
        <w:t>https://www.aletihad.ae/news</w:t>
      </w:r>
      <w:r w:rsidRPr="002273BC">
        <w:rPr>
          <w:rFonts w:ascii="Arabic Transparent" w:hAnsi="Arabic Transparent" w:cs="Arabic Transparent" w:hint="cs"/>
          <w:sz w:val="24"/>
          <w:szCs w:val="24"/>
          <w:rtl/>
          <w:lang w:bidi="ar-JO"/>
        </w:rPr>
        <w:t>/اقتصاد (تاريخ الاطلاع: 15 أبريل 2026م).</w:t>
      </w:r>
    </w:p>
  </w:footnote>
  <w:footnote w:id="882">
    <w:p w14:paraId="0D8D7C68" w14:textId="6E21E344"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قال ابن عبدالبر:، "أجمع المسلمون نقلاً عن نبيهم </w:t>
      </w:r>
      <w:r w:rsidRPr="002273BC">
        <w:rPr>
          <w:rFonts w:ascii="AGA Arabesque" w:eastAsia="AGA Arabesque" w:hAnsi="AGA Arabesque" w:cs="AGA Arabesque"/>
          <w:sz w:val="24"/>
          <w:szCs w:val="24"/>
          <w:lang w:bidi="ar-JO"/>
        </w:rPr>
        <w:t></w:t>
      </w:r>
      <w:r w:rsidRPr="002273BC">
        <w:rPr>
          <w:rFonts w:ascii="Arabic Transparent" w:hAnsi="Arabic Transparent" w:cs="Arabic Transparent" w:hint="cs"/>
          <w:sz w:val="24"/>
          <w:szCs w:val="24"/>
          <w:rtl/>
          <w:lang w:bidi="ar-JO"/>
        </w:rPr>
        <w:t xml:space="preserve"> أنَّ اشتراط الزيادة في السلف ربا ولو كان قبضة من علف أو حبة"، </w:t>
      </w:r>
      <w:r w:rsidR="00311235">
        <w:rPr>
          <w:rFonts w:ascii="Arabic Transparent" w:hAnsi="Arabic Transparent" w:cs="Arabic Transparent" w:hint="cs"/>
          <w:sz w:val="24"/>
          <w:szCs w:val="24"/>
          <w:rtl/>
          <w:lang w:bidi="ar-JO"/>
        </w:rPr>
        <w:t xml:space="preserve">انظر: </w:t>
      </w:r>
      <w:r w:rsidRPr="002273BC">
        <w:rPr>
          <w:rFonts w:ascii="Arabic Transparent" w:hAnsi="Arabic Transparent" w:cs="Arabic Transparent" w:hint="cs"/>
          <w:sz w:val="24"/>
          <w:szCs w:val="24"/>
          <w:rtl/>
          <w:lang w:bidi="ar-JO"/>
        </w:rPr>
        <w:t xml:space="preserve">ابن عبدالبر، </w:t>
      </w:r>
      <w:r w:rsidRPr="002273BC">
        <w:rPr>
          <w:rFonts w:ascii="Arabic Transparent" w:hAnsi="Arabic Transparent" w:cs="Arabic Transparent" w:hint="cs"/>
          <w:b/>
          <w:bCs/>
          <w:sz w:val="24"/>
          <w:szCs w:val="24"/>
          <w:rtl/>
          <w:lang w:bidi="ar-JO"/>
        </w:rPr>
        <w:t>التمهيد</w:t>
      </w:r>
      <w:r w:rsidRPr="002273BC">
        <w:rPr>
          <w:rFonts w:ascii="Arabic Transparent" w:hAnsi="Arabic Transparent" w:cs="Arabic Transparent" w:hint="cs"/>
          <w:sz w:val="24"/>
          <w:szCs w:val="24"/>
          <w:rtl/>
          <w:lang w:bidi="ar-JO"/>
        </w:rPr>
        <w:t xml:space="preserve">، مصدر سابق، ج4، </w:t>
      </w:r>
      <w:r w:rsidR="005E7FE8">
        <w:rPr>
          <w:rFonts w:ascii="Arabic Transparent" w:hAnsi="Arabic Transparent" w:cs="Arabic Transparent" w:hint="cs"/>
          <w:sz w:val="24"/>
          <w:szCs w:val="24"/>
          <w:rtl/>
          <w:lang w:bidi="ar-JO"/>
        </w:rPr>
        <w:t>ص</w:t>
      </w:r>
      <w:r w:rsidRPr="002273BC">
        <w:rPr>
          <w:rFonts w:ascii="Arabic Transparent" w:hAnsi="Arabic Transparent" w:cs="Arabic Transparent" w:hint="cs"/>
          <w:sz w:val="24"/>
          <w:szCs w:val="24"/>
          <w:rtl/>
          <w:lang w:bidi="ar-JO"/>
        </w:rPr>
        <w:t xml:space="preserve">68، وابن قدامة، </w:t>
      </w:r>
      <w:r w:rsidRPr="002273BC">
        <w:rPr>
          <w:rFonts w:ascii="Arabic Transparent" w:hAnsi="Arabic Transparent" w:cs="Arabic Transparent" w:hint="cs"/>
          <w:b/>
          <w:bCs/>
          <w:sz w:val="24"/>
          <w:szCs w:val="24"/>
          <w:rtl/>
          <w:lang w:bidi="ar-JO"/>
        </w:rPr>
        <w:t>المغني،</w:t>
      </w:r>
      <w:r w:rsidRPr="002273BC">
        <w:rPr>
          <w:rFonts w:ascii="Arabic Transparent" w:hAnsi="Arabic Transparent" w:cs="Arabic Transparent" w:hint="cs"/>
          <w:sz w:val="24"/>
          <w:szCs w:val="24"/>
          <w:rtl/>
          <w:lang w:bidi="ar-JO"/>
        </w:rPr>
        <w:t xml:space="preserve"> مصدر سابق، ج6، ص436.</w:t>
      </w:r>
    </w:p>
  </w:footnote>
  <w:footnote w:id="883">
    <w:p w14:paraId="07EA5C4E" w14:textId="49A6B014"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وعند المالكية تفصيل في الزيادة إن كانت بالعدد منعت، وإن كانت بالوصف جازت،</w:t>
      </w:r>
      <w:r w:rsidR="00311235">
        <w:rPr>
          <w:rFonts w:ascii="Arabic Transparent" w:hAnsi="Arabic Transparent" w:cs="Arabic Transparent" w:hint="cs"/>
          <w:sz w:val="24"/>
          <w:szCs w:val="24"/>
          <w:rtl/>
          <w:lang w:bidi="ar-JO"/>
        </w:rPr>
        <w:t xml:space="preserve"> انظر:</w:t>
      </w:r>
      <w:r w:rsidRPr="002273BC">
        <w:rPr>
          <w:rFonts w:ascii="Arabic Transparent" w:hAnsi="Arabic Transparent" w:cs="Arabic Transparent" w:hint="cs"/>
          <w:sz w:val="24"/>
          <w:szCs w:val="24"/>
          <w:rtl/>
          <w:lang w:bidi="ar-JO"/>
        </w:rPr>
        <w:t xml:space="preserve"> الحطاب، </w:t>
      </w:r>
      <w:r w:rsidRPr="002273BC">
        <w:rPr>
          <w:rFonts w:ascii="Arabic Transparent" w:hAnsi="Arabic Transparent" w:cs="Arabic Transparent" w:hint="cs"/>
          <w:b/>
          <w:bCs/>
          <w:sz w:val="24"/>
          <w:szCs w:val="24"/>
          <w:rtl/>
          <w:lang w:bidi="ar-JO"/>
        </w:rPr>
        <w:t>مواهب الجليل</w:t>
      </w:r>
      <w:r w:rsidRPr="002273BC">
        <w:rPr>
          <w:rFonts w:ascii="Arabic Transparent" w:hAnsi="Arabic Transparent" w:cs="Arabic Transparent" w:hint="cs"/>
          <w:sz w:val="24"/>
          <w:szCs w:val="24"/>
          <w:rtl/>
          <w:lang w:bidi="ar-JO"/>
        </w:rPr>
        <w:t xml:space="preserve"> في </w:t>
      </w:r>
      <w:r w:rsidRPr="002273BC">
        <w:rPr>
          <w:rFonts w:ascii="Arabic Transparent" w:hAnsi="Arabic Transparent" w:cs="Arabic Transparent" w:hint="cs"/>
          <w:b/>
          <w:bCs/>
          <w:sz w:val="24"/>
          <w:szCs w:val="24"/>
          <w:rtl/>
          <w:lang w:bidi="ar-JO"/>
        </w:rPr>
        <w:t>شرح مختصر خليل</w:t>
      </w:r>
      <w:r w:rsidRPr="002273BC">
        <w:rPr>
          <w:rFonts w:ascii="Arabic Transparent" w:hAnsi="Arabic Transparent" w:cs="Arabic Transparent" w:hint="cs"/>
          <w:sz w:val="24"/>
          <w:szCs w:val="24"/>
          <w:rtl/>
          <w:lang w:bidi="ar-JO"/>
        </w:rPr>
        <w:t>، ج6، ص71.</w:t>
      </w:r>
    </w:p>
  </w:footnote>
  <w:footnote w:id="884">
    <w:p w14:paraId="44E3CA7E"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ابن حجر</w:t>
      </w:r>
      <w:r w:rsidRPr="002273BC">
        <w:rPr>
          <w:rFonts w:ascii="Arabic Transparent" w:hAnsi="Arabic Transparent" w:cs="Arabic Transparent" w:hint="cs"/>
          <w:b/>
          <w:bCs/>
          <w:sz w:val="24"/>
          <w:szCs w:val="24"/>
          <w:rtl/>
          <w:lang w:bidi="ar-JO"/>
        </w:rPr>
        <w:t>، فتح الباري</w:t>
      </w:r>
      <w:r w:rsidRPr="002273BC">
        <w:rPr>
          <w:rFonts w:ascii="Arabic Transparent" w:hAnsi="Arabic Transparent" w:cs="Arabic Transparent" w:hint="cs"/>
          <w:sz w:val="24"/>
          <w:szCs w:val="24"/>
          <w:rtl/>
          <w:lang w:bidi="ar-JO"/>
        </w:rPr>
        <w:t>، مصدر سابق، ج5، ص57.</w:t>
      </w:r>
    </w:p>
  </w:footnote>
  <w:footnote w:id="885">
    <w:p w14:paraId="71DC196A"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انظر: دائرة الإفتاء العام الأردنية، </w:t>
      </w:r>
      <w:r w:rsidRPr="002273BC">
        <w:rPr>
          <w:rFonts w:ascii="Arabic Transparent" w:hAnsi="Arabic Transparent" w:cs="Arabic Transparent" w:hint="cs"/>
          <w:b/>
          <w:bCs/>
          <w:sz w:val="24"/>
          <w:szCs w:val="24"/>
          <w:rtl/>
          <w:lang w:bidi="ar-JO"/>
        </w:rPr>
        <w:t>فتوى: حول فرض غرامة على الأقساط التي يتأخر سدادها</w:t>
      </w:r>
      <w:r w:rsidRPr="002273BC">
        <w:rPr>
          <w:rFonts w:ascii="Arabic Transparent" w:hAnsi="Arabic Transparent" w:cs="Arabic Transparent" w:hint="cs"/>
          <w:sz w:val="24"/>
          <w:szCs w:val="24"/>
          <w:rtl/>
          <w:lang w:bidi="ar-JO"/>
        </w:rPr>
        <w:t xml:space="preserve"> مصدر سابق، متاح على الرابط: </w:t>
      </w:r>
      <w:r w:rsidRPr="002273BC">
        <w:rPr>
          <w:rFonts w:ascii="Arabic Transparent" w:hAnsi="Arabic Transparent" w:cs="Arabic Transparent" w:hint="cs"/>
          <w:sz w:val="24"/>
          <w:szCs w:val="24"/>
          <w:lang w:bidi="ar-JO"/>
        </w:rPr>
        <w:t>https://www.aliftaa.jo/research-fatwas/258</w:t>
      </w:r>
    </w:p>
  </w:footnote>
  <w:footnote w:id="886">
    <w:p w14:paraId="23C7E8F4"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انظر إلى الصفحة السابقة ص 155.</w:t>
      </w:r>
    </w:p>
  </w:footnote>
  <w:footnote w:id="887">
    <w:p w14:paraId="47408C6A"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lang w:bidi="ar-JO"/>
        </w:rPr>
        <w:t xml:space="preserve"> يسجن الغني حتى يؤدي المال، فإذا لم يسجن عقوبته بأخذ ماله كما أخذ ماله وقال {فَمَنِ اعْتَدَى عَلَيْكُمْ فَاعْتَدُوا عَلَيْهِ بِمِثْلِ مَا اعْتَدَى عَلَيْكُمْ} [البقرة: 194]: واقتضى بالأخذ المماثلة كما هو القصاص بشروطه وضوابطه، ابن العربي، محمد بن عبد الله أبو بكر المعافري الإشبيلي المالكي (2003). </w:t>
      </w:r>
      <w:r w:rsidRPr="002273BC">
        <w:rPr>
          <w:rFonts w:ascii="Arabic Transparent" w:hAnsi="Arabic Transparent" w:cs="Arabic Transparent" w:hint="cs"/>
          <w:b/>
          <w:bCs/>
          <w:sz w:val="24"/>
          <w:szCs w:val="24"/>
          <w:rtl/>
          <w:lang w:bidi="ar-JO"/>
        </w:rPr>
        <w:t>أحكام القرآن</w:t>
      </w:r>
      <w:r w:rsidRPr="002273BC">
        <w:rPr>
          <w:rFonts w:ascii="Arabic Transparent" w:hAnsi="Arabic Transparent" w:cs="Arabic Transparent" w:hint="cs"/>
          <w:sz w:val="24"/>
          <w:szCs w:val="24"/>
          <w:rtl/>
          <w:lang w:bidi="ar-JO"/>
        </w:rPr>
        <w:t>، تحقيق: محمد عبد القادر عطا، ط3، ج1، ص160، دار الكتب العلمية، بيروت</w:t>
      </w:r>
    </w:p>
  </w:footnote>
  <w:footnote w:id="888">
    <w:p w14:paraId="1257AC0E"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أخرجه ابن ماجة في السنن</w:t>
      </w:r>
      <w:r w:rsidRPr="002273BC">
        <w:rPr>
          <w:rFonts w:ascii="Arabic Transparent" w:hAnsi="Arabic Transparent" w:cs="Arabic Transparent" w:hint="cs"/>
          <w:b/>
          <w:bCs/>
          <w:sz w:val="24"/>
          <w:szCs w:val="24"/>
          <w:rtl/>
          <w:lang w:bidi="ar-JO"/>
        </w:rPr>
        <w:t>، سنن ابن ماجة</w:t>
      </w:r>
      <w:r w:rsidRPr="002273BC">
        <w:rPr>
          <w:rFonts w:ascii="Arabic Transparent" w:hAnsi="Arabic Transparent" w:cs="Arabic Transparent" w:hint="cs"/>
          <w:sz w:val="24"/>
          <w:szCs w:val="24"/>
          <w:rtl/>
          <w:lang w:bidi="ar-JO"/>
        </w:rPr>
        <w:t>، مصدر سابق، أبواب الصدقة، باب الحبس في الدين والملازمة، 2427، ج3، ص497، وقال الحافظ في «الفتح»: «إسناده حسن»، ابن حجر</w:t>
      </w:r>
      <w:r w:rsidRPr="002273BC">
        <w:rPr>
          <w:rFonts w:ascii="Arabic Transparent" w:hAnsi="Arabic Transparent" w:cs="Arabic Transparent" w:hint="cs"/>
          <w:b/>
          <w:bCs/>
          <w:sz w:val="24"/>
          <w:szCs w:val="24"/>
          <w:rtl/>
          <w:lang w:bidi="ar-JO"/>
        </w:rPr>
        <w:t>، فتح الباري بشرح البخاري</w:t>
      </w:r>
      <w:r w:rsidRPr="002273BC">
        <w:rPr>
          <w:rFonts w:ascii="Arabic Transparent" w:hAnsi="Arabic Transparent" w:cs="Arabic Transparent" w:hint="cs"/>
          <w:sz w:val="24"/>
          <w:szCs w:val="24"/>
          <w:rtl/>
          <w:lang w:bidi="ar-JO"/>
        </w:rPr>
        <w:t>، مصدر سابق، ج1، ص42.</w:t>
      </w:r>
    </w:p>
  </w:footnote>
  <w:footnote w:id="889">
    <w:p w14:paraId="48705DFE"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الضرير</w:t>
      </w:r>
      <w:r w:rsidRPr="002273BC">
        <w:rPr>
          <w:rFonts w:ascii="Arabic Transparent" w:hAnsi="Arabic Transparent" w:cs="Arabic Transparent" w:hint="cs"/>
          <w:b/>
          <w:bCs/>
          <w:sz w:val="24"/>
          <w:szCs w:val="24"/>
          <w:rtl/>
          <w:lang w:bidi="ar-JO"/>
        </w:rPr>
        <w:t>، "الاتفاق على إلزام المدين الموسر بتعويض ضرر المماطلة</w:t>
      </w:r>
      <w:r w:rsidRPr="002273BC">
        <w:rPr>
          <w:rFonts w:ascii="Arabic Transparent" w:hAnsi="Arabic Transparent" w:cs="Arabic Transparent" w:hint="cs"/>
          <w:sz w:val="24"/>
          <w:szCs w:val="24"/>
          <w:rtl/>
          <w:lang w:bidi="ar-JO"/>
        </w:rPr>
        <w:t>"، مصدر سابق، ص112.</w:t>
      </w:r>
    </w:p>
  </w:footnote>
  <w:footnote w:id="890">
    <w:p w14:paraId="19D2A900"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انظر: </w:t>
      </w:r>
      <w:r w:rsidRPr="002273BC">
        <w:rPr>
          <w:rFonts w:ascii="Arabic Transparent" w:hAnsi="Arabic Transparent" w:cs="Arabic Transparent" w:hint="cs"/>
          <w:sz w:val="24"/>
          <w:szCs w:val="24"/>
          <w:rtl/>
          <w:lang w:bidi="ar-JO"/>
        </w:rPr>
        <w:t>الأبهري، أبو بكر محمد بن عبد الله المالكي (2020</w:t>
      </w:r>
      <w:r w:rsidRPr="002273BC">
        <w:rPr>
          <w:rFonts w:ascii="Arabic Transparent" w:hAnsi="Arabic Transparent" w:cs="Arabic Transparent" w:hint="cs"/>
          <w:b/>
          <w:bCs/>
          <w:sz w:val="24"/>
          <w:szCs w:val="24"/>
          <w:rtl/>
          <w:lang w:bidi="ar-JO"/>
        </w:rPr>
        <w:t>). شرح المختصر الكبير لابن عبد الحكم</w:t>
      </w:r>
      <w:r w:rsidRPr="002273BC">
        <w:rPr>
          <w:rFonts w:ascii="Arabic Transparent" w:hAnsi="Arabic Transparent" w:cs="Arabic Transparent" w:hint="cs"/>
          <w:sz w:val="24"/>
          <w:szCs w:val="24"/>
          <w:rtl/>
          <w:lang w:bidi="ar-JO"/>
        </w:rPr>
        <w:t>، تحقيق: أحمد عبد الله حسن، ط1، ج1، ص332، جمعية دار البر، دبي.</w:t>
      </w:r>
    </w:p>
  </w:footnote>
  <w:footnote w:id="891">
    <w:p w14:paraId="41AA22AB"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مجمع الفقه الإسلامي الدولي المنبثق عن منظمة التعاون الإسلامي. (2025</w:t>
      </w:r>
      <w:r w:rsidRPr="002273BC">
        <w:rPr>
          <w:rFonts w:ascii="Arabic Transparent" w:hAnsi="Arabic Transparent" w:cs="Arabic Transparent" w:hint="cs"/>
          <w:b/>
          <w:bCs/>
          <w:sz w:val="24"/>
          <w:szCs w:val="24"/>
          <w:rtl/>
          <w:lang w:bidi="ar-JO"/>
        </w:rPr>
        <w:t>). قرار رقم: 259 (4/26) بشأن دفع الزيادة في القرض من طرف ثالث، وحكم الأجر على خطاب الضمان والاعتماد المستندي</w:t>
      </w:r>
      <w:r w:rsidRPr="002273BC">
        <w:rPr>
          <w:rFonts w:ascii="Arabic Transparent" w:hAnsi="Arabic Transparent" w:cs="Arabic Transparent" w:hint="cs"/>
          <w:sz w:val="24"/>
          <w:szCs w:val="24"/>
          <w:rtl/>
          <w:lang w:bidi="ar-JO"/>
        </w:rPr>
        <w:t xml:space="preserve">. الدورة السادسة والعشرين. الدوحة، قطر. 4-8 مايو 2025م. متاح على: </w:t>
      </w:r>
      <w:r w:rsidRPr="002273BC">
        <w:rPr>
          <w:rFonts w:ascii="Arabic Transparent" w:hAnsi="Arabic Transparent" w:cs="Arabic Transparent" w:hint="cs"/>
          <w:sz w:val="24"/>
          <w:szCs w:val="24"/>
          <w:lang w:bidi="ar-JO"/>
        </w:rPr>
        <w:t>https://iifa-aifi.org/ar/56041.html</w:t>
      </w:r>
    </w:p>
  </w:footnote>
  <w:footnote w:id="892">
    <w:p w14:paraId="3700C068"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مجمع الفقه الإسلامي الدولي المنبثق عن منظمة التعاون الإسلامي. (2025). </w:t>
      </w:r>
      <w:r w:rsidRPr="002273BC">
        <w:rPr>
          <w:rFonts w:ascii="Arabic Transparent" w:hAnsi="Arabic Transparent" w:cs="Arabic Transparent" w:hint="cs"/>
          <w:b/>
          <w:bCs/>
          <w:sz w:val="24"/>
          <w:szCs w:val="24"/>
          <w:rtl/>
          <w:lang w:bidi="ar-JO"/>
        </w:rPr>
        <w:t>نوازل ومستجدات في صناعة المالية الإسلامية: دفع الزيادة في القرض من طرف ثالث</w:t>
      </w:r>
      <w:r w:rsidRPr="002273BC">
        <w:rPr>
          <w:rFonts w:ascii="Arabic Transparent" w:hAnsi="Arabic Transparent" w:cs="Arabic Transparent" w:hint="cs"/>
          <w:sz w:val="24"/>
          <w:szCs w:val="24"/>
          <w:rtl/>
          <w:lang w:bidi="ar-JO"/>
        </w:rPr>
        <w:t xml:space="preserve">، الدورة 26، ص28، برعاية وزارة الأوقاف، الدوحة، قطر. </w:t>
      </w:r>
    </w:p>
  </w:footnote>
  <w:footnote w:id="893">
    <w:p w14:paraId="32E217CB"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لم يقف الباحث على فتاوى واجتهادات حول الموضوع، إلا الأبحاث التي قدمت للمجمع في دورته (26)، </w:t>
      </w:r>
      <w:r w:rsidRPr="002273BC">
        <w:rPr>
          <w:rFonts w:ascii="Arabic Transparent" w:hAnsi="Arabic Transparent" w:cs="Arabic Transparent" w:hint="cs"/>
          <w:b/>
          <w:bCs/>
          <w:sz w:val="24"/>
          <w:szCs w:val="24"/>
          <w:rtl/>
          <w:lang w:bidi="ar-JO"/>
        </w:rPr>
        <w:t>المصدر السابق نفسه</w:t>
      </w:r>
      <w:r w:rsidRPr="002273BC">
        <w:rPr>
          <w:rFonts w:ascii="Arabic Transparent" w:hAnsi="Arabic Transparent" w:cs="Arabic Transparent" w:hint="cs"/>
          <w:sz w:val="24"/>
          <w:szCs w:val="24"/>
          <w:rtl/>
          <w:lang w:bidi="ar-JO"/>
        </w:rPr>
        <w:t>، ص59/ ص335/ ص369/ ص451.</w:t>
      </w:r>
    </w:p>
  </w:footnote>
  <w:footnote w:id="894">
    <w:p w14:paraId="26B7A190"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المصدر السابق نفسه، ص163/ ص489/ ص727/ ص765/ص93.</w:t>
      </w:r>
    </w:p>
  </w:footnote>
  <w:footnote w:id="895">
    <w:p w14:paraId="6DBDCA7B"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المصدر السابق نفسه، ص7/ ص25/ ص187/ ص243/ ص299/ ص407/ ص529/ ص561/ ص603/ ص649/ ص681.</w:t>
      </w:r>
    </w:p>
  </w:footnote>
  <w:footnote w:id="896">
    <w:p w14:paraId="250DC13A" w14:textId="11637F8E"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00311235">
        <w:rPr>
          <w:rFonts w:ascii="Arabic Transparent" w:hAnsi="Arabic Transparent" w:cs="Arabic Transparent" w:hint="cs"/>
          <w:sz w:val="24"/>
          <w:szCs w:val="24"/>
          <w:rtl/>
          <w:lang w:bidi="ar-JO"/>
        </w:rPr>
        <w:t>سبق تخريجه انظر: ص68، هامش 2.</w:t>
      </w:r>
    </w:p>
  </w:footnote>
  <w:footnote w:id="897">
    <w:p w14:paraId="1BBAA151"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مجمع الفقه الإسلامي الدولي (2000)، قرار رقم: 108 (12/2) </w:t>
      </w:r>
      <w:r w:rsidRPr="002273BC">
        <w:rPr>
          <w:rFonts w:ascii="Arabic Transparent" w:hAnsi="Arabic Transparent" w:cs="Arabic Transparent" w:hint="cs"/>
          <w:b/>
          <w:bCs/>
          <w:sz w:val="24"/>
          <w:szCs w:val="24"/>
          <w:rtl/>
          <w:lang w:bidi="ar-JO"/>
        </w:rPr>
        <w:t>بشأن موضوع بطاقات الائتمان غير المغطاة، الدورة الثانية عشرة</w:t>
      </w:r>
      <w:r w:rsidRPr="002273BC">
        <w:rPr>
          <w:rFonts w:ascii="Arabic Transparent" w:hAnsi="Arabic Transparent" w:cs="Arabic Transparent" w:hint="cs"/>
          <w:sz w:val="24"/>
          <w:szCs w:val="24"/>
          <w:rtl/>
          <w:lang w:bidi="ar-JO"/>
        </w:rPr>
        <w:t xml:space="preserve">، قرارات المجمع، منظمة المؤتمر الإسلامي، الرياض، </w:t>
      </w:r>
      <w:r w:rsidRPr="002273BC">
        <w:rPr>
          <w:rFonts w:ascii="Arabic Transparent" w:hAnsi="Arabic Transparent" w:cs="Arabic Transparent" w:hint="cs"/>
          <w:sz w:val="24"/>
          <w:szCs w:val="24"/>
          <w:lang w:bidi="ar-JO"/>
        </w:rPr>
        <w:t>https://iifa-aifi.org/ar/2055.html</w:t>
      </w:r>
      <w:r w:rsidRPr="002273BC">
        <w:rPr>
          <w:rFonts w:ascii="Arabic Transparent" w:hAnsi="Arabic Transparent" w:cs="Arabic Transparent" w:hint="cs"/>
          <w:sz w:val="24"/>
          <w:szCs w:val="24"/>
          <w:rtl/>
          <w:lang w:bidi="ar-JO"/>
        </w:rPr>
        <w:t>، (تاريخ الاطلاع: 22/4/2026).</w:t>
      </w:r>
    </w:p>
  </w:footnote>
  <w:footnote w:id="898">
    <w:p w14:paraId="61CB72B2"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مجمع الفقه الإسلامي الدولي، قرار رقم: 30 (5/4) </w:t>
      </w:r>
      <w:r w:rsidRPr="002273BC">
        <w:rPr>
          <w:rFonts w:ascii="Arabic Transparent" w:hAnsi="Arabic Transparent" w:cs="Arabic Transparent" w:hint="cs"/>
          <w:b/>
          <w:bCs/>
          <w:sz w:val="24"/>
          <w:szCs w:val="24"/>
          <w:rtl/>
        </w:rPr>
        <w:t>بشأن سندات المقارضة وسندات الاستثمار</w:t>
      </w:r>
      <w:r w:rsidRPr="002273BC">
        <w:rPr>
          <w:rFonts w:ascii="Arabic Transparent" w:hAnsi="Arabic Transparent" w:cs="Arabic Transparent" w:hint="cs"/>
          <w:sz w:val="24"/>
          <w:szCs w:val="24"/>
          <w:rtl/>
        </w:rPr>
        <w:t xml:space="preserve">، الدورة الرابعة، قرارات المجمع، منظمة المؤتمر الإسلامي، جدة، </w:t>
      </w:r>
      <w:r w:rsidRPr="002273BC">
        <w:rPr>
          <w:rFonts w:ascii="Arabic Transparent" w:hAnsi="Arabic Transparent" w:cs="Arabic Transparent" w:hint="cs"/>
          <w:sz w:val="24"/>
          <w:szCs w:val="24"/>
        </w:rPr>
        <w:t>https://iifa-aifi.org/ar/1713.html</w:t>
      </w:r>
      <w:r w:rsidRPr="002273BC">
        <w:rPr>
          <w:rFonts w:ascii="Arabic Transparent" w:hAnsi="Arabic Transparent" w:cs="Arabic Transparent" w:hint="cs"/>
          <w:sz w:val="24"/>
          <w:szCs w:val="24"/>
          <w:rtl/>
        </w:rPr>
        <w:t xml:space="preserve">، (تاريخ الاطلاع: 22/4/2026) </w:t>
      </w:r>
    </w:p>
  </w:footnote>
  <w:footnote w:id="899">
    <w:p w14:paraId="54FC0170"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انظر: المالكي، </w:t>
      </w:r>
      <w:r w:rsidRPr="002273BC">
        <w:rPr>
          <w:rFonts w:ascii="Arabic Transparent" w:hAnsi="Arabic Transparent" w:cs="Arabic Transparent" w:hint="cs"/>
          <w:b/>
          <w:bCs/>
          <w:sz w:val="24"/>
          <w:szCs w:val="24"/>
          <w:rtl/>
          <w:lang w:bidi="ar-JO"/>
        </w:rPr>
        <w:t>المدونة،</w:t>
      </w:r>
      <w:r w:rsidRPr="002273BC">
        <w:rPr>
          <w:rFonts w:ascii="Arabic Transparent" w:hAnsi="Arabic Transparent" w:cs="Arabic Transparent" w:hint="cs"/>
          <w:sz w:val="24"/>
          <w:szCs w:val="24"/>
          <w:rtl/>
          <w:lang w:bidi="ar-JO"/>
        </w:rPr>
        <w:t xml:space="preserve"> مصدر سابق، ج3، ص417.</w:t>
      </w:r>
    </w:p>
  </w:footnote>
  <w:footnote w:id="900">
    <w:p w14:paraId="62CFF94E"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انظر: مجمع الفقه الإسلامي الدولي المنبثق عن منظمة التعاون الإسلامي. </w:t>
      </w:r>
      <w:r w:rsidRPr="002273BC">
        <w:rPr>
          <w:rFonts w:ascii="Arabic Transparent" w:hAnsi="Arabic Transparent" w:cs="Arabic Transparent" w:hint="cs"/>
          <w:b/>
          <w:bCs/>
          <w:sz w:val="24"/>
          <w:szCs w:val="24"/>
          <w:rtl/>
          <w:lang w:bidi="ar-JO"/>
        </w:rPr>
        <w:t>نوازل ومستجدات في صناعة المالية الإسلامية:</w:t>
      </w:r>
      <w:r w:rsidRPr="002273BC">
        <w:rPr>
          <w:rFonts w:ascii="Arabic Transparent" w:hAnsi="Arabic Transparent" w:cs="Arabic Transparent" w:hint="cs"/>
          <w:sz w:val="24"/>
          <w:szCs w:val="24"/>
          <w:rtl/>
          <w:lang w:bidi="ar-JO"/>
        </w:rPr>
        <w:t xml:space="preserve"> دفع الزيادة في القرض من طرف ثالث، مصدر سابق، ص28.</w:t>
      </w:r>
    </w:p>
  </w:footnote>
  <w:footnote w:id="901">
    <w:p w14:paraId="5F9C1A72" w14:textId="1798D1DC"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الجويني</w:t>
      </w:r>
      <w:r w:rsidRPr="002273BC">
        <w:rPr>
          <w:rFonts w:ascii="Arabic Transparent" w:hAnsi="Arabic Transparent" w:cs="Arabic Transparent" w:hint="cs"/>
          <w:b/>
          <w:bCs/>
          <w:sz w:val="24"/>
          <w:szCs w:val="24"/>
          <w:rtl/>
          <w:lang w:bidi="ar-JO"/>
        </w:rPr>
        <w:t xml:space="preserve">، نهاية المطلب في دراية المذهب، </w:t>
      </w:r>
      <w:r w:rsidRPr="002273BC">
        <w:rPr>
          <w:rFonts w:ascii="Arabic Transparent" w:hAnsi="Arabic Transparent" w:cs="Arabic Transparent" w:hint="cs"/>
          <w:sz w:val="24"/>
          <w:szCs w:val="24"/>
          <w:rtl/>
          <w:lang w:bidi="ar-JO"/>
        </w:rPr>
        <w:t>مصدر سابق</w:t>
      </w:r>
      <w:r w:rsidRPr="002273BC">
        <w:rPr>
          <w:rFonts w:ascii="Arabic Transparent" w:hAnsi="Arabic Transparent" w:cs="Arabic Transparent" w:hint="cs"/>
          <w:b/>
          <w:bCs/>
          <w:sz w:val="24"/>
          <w:szCs w:val="24"/>
          <w:rtl/>
          <w:lang w:bidi="ar-JO"/>
        </w:rPr>
        <w:t>،</w:t>
      </w:r>
      <w:r w:rsidRPr="002273BC">
        <w:rPr>
          <w:rFonts w:ascii="Arabic Transparent" w:hAnsi="Arabic Transparent" w:cs="Arabic Transparent" w:hint="cs"/>
          <w:sz w:val="24"/>
          <w:szCs w:val="24"/>
          <w:rtl/>
          <w:lang w:bidi="ar-JO"/>
        </w:rPr>
        <w:t xml:space="preserve"> ج15، ص467، وانظر: الغزالي، </w:t>
      </w:r>
      <w:r w:rsidRPr="002273BC">
        <w:rPr>
          <w:rFonts w:ascii="Arabic Transparent" w:hAnsi="Arabic Transparent" w:cs="Arabic Transparent" w:hint="cs"/>
          <w:b/>
          <w:bCs/>
          <w:sz w:val="24"/>
          <w:szCs w:val="24"/>
          <w:rtl/>
          <w:lang w:bidi="ar-JO"/>
        </w:rPr>
        <w:t>المستصفى،</w:t>
      </w:r>
      <w:r w:rsidRPr="002273BC">
        <w:rPr>
          <w:rFonts w:ascii="Arabic Transparent" w:hAnsi="Arabic Transparent" w:cs="Arabic Transparent" w:hint="cs"/>
          <w:sz w:val="24"/>
          <w:szCs w:val="24"/>
          <w:rtl/>
          <w:lang w:bidi="ar-JO"/>
        </w:rPr>
        <w:t xml:space="preserve"> مصدر سابق، ص322.</w:t>
      </w:r>
    </w:p>
  </w:footnote>
  <w:footnote w:id="902">
    <w:p w14:paraId="02AF83F3"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انظر: الباجي، </w:t>
      </w:r>
      <w:r w:rsidRPr="002273BC">
        <w:rPr>
          <w:rFonts w:ascii="Arabic Transparent" w:hAnsi="Arabic Transparent" w:cs="Arabic Transparent" w:hint="cs"/>
          <w:b/>
          <w:bCs/>
          <w:sz w:val="24"/>
          <w:szCs w:val="24"/>
          <w:rtl/>
          <w:lang w:bidi="ar-JO"/>
        </w:rPr>
        <w:t>المنتقى شرح الموطأ</w:t>
      </w:r>
      <w:r w:rsidRPr="002273BC">
        <w:rPr>
          <w:rFonts w:ascii="Arabic Transparent" w:hAnsi="Arabic Transparent" w:cs="Arabic Transparent" w:hint="cs"/>
          <w:sz w:val="24"/>
          <w:szCs w:val="24"/>
          <w:rtl/>
          <w:lang w:bidi="ar-JO"/>
        </w:rPr>
        <w:t>، مصدر سابق، ج5، ص97، وانظر، ابن النجار</w:t>
      </w:r>
      <w:r w:rsidRPr="002273BC">
        <w:rPr>
          <w:rFonts w:ascii="Arabic Transparent" w:hAnsi="Arabic Transparent" w:cs="Arabic Transparent" w:hint="cs"/>
          <w:b/>
          <w:bCs/>
          <w:sz w:val="24"/>
          <w:szCs w:val="24"/>
          <w:rtl/>
          <w:lang w:bidi="ar-JO"/>
        </w:rPr>
        <w:t>، شرح منتهى الإرادات</w:t>
      </w:r>
      <w:r w:rsidRPr="002273BC">
        <w:rPr>
          <w:rFonts w:ascii="Arabic Transparent" w:hAnsi="Arabic Transparent" w:cs="Arabic Transparent" w:hint="cs"/>
          <w:sz w:val="24"/>
          <w:szCs w:val="24"/>
          <w:rtl/>
          <w:lang w:bidi="ar-JO"/>
        </w:rPr>
        <w:t>، مصدر سابق، ج5، ص223.</w:t>
      </w:r>
    </w:p>
  </w:footnote>
  <w:footnote w:id="903">
    <w:p w14:paraId="2265B069" w14:textId="31AC29CC" w:rsidR="00201DD5" w:rsidRPr="002273BC" w:rsidRDefault="00201DD5" w:rsidP="00EA3738">
      <w:pPr>
        <w:pStyle w:val="FootnoteText"/>
        <w:spacing w:line="360" w:lineRule="auto"/>
        <w:jc w:val="both"/>
        <w:rPr>
          <w:rFonts w:ascii="Arabic Transparent" w:hAnsi="Arabic Transparent" w:cs="Arabic Transparent"/>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سميت بالثلاثية؛ لأنها حصلت بين ثلاثة أطراف، </w:t>
      </w:r>
      <w:r w:rsidRPr="002273BC">
        <w:rPr>
          <w:rFonts w:ascii="Arabic Transparent" w:hAnsi="Arabic Transparent" w:cs="Arabic Transparent"/>
          <w:sz w:val="24"/>
          <w:szCs w:val="24"/>
          <w:rtl/>
          <w:lang w:bidi="ar-JO"/>
        </w:rPr>
        <w:t>وقد جيء بالطَّرف الثالثِ حيلة على العِيْنَة</w:t>
      </w:r>
      <w:r w:rsidRPr="002273BC">
        <w:rPr>
          <w:rFonts w:ascii="Arabic Transparent" w:hAnsi="Arabic Transparent" w:cs="Arabic Transparent" w:hint="cs"/>
          <w:sz w:val="24"/>
          <w:szCs w:val="24"/>
          <w:rtl/>
          <w:lang w:bidi="ar-JO"/>
        </w:rPr>
        <w:t xml:space="preserve"> منذ القدم لتخرج عن طابع العينة المحرمة بطرفين" </w:t>
      </w:r>
      <w:r w:rsidR="00DC1989" w:rsidRPr="002273BC">
        <w:rPr>
          <w:rFonts w:ascii="Arabic Transparent" w:hAnsi="Arabic Transparent" w:cs="Arabic Transparent" w:hint="cs"/>
          <w:sz w:val="24"/>
          <w:szCs w:val="24"/>
          <w:rtl/>
          <w:lang w:bidi="ar-JO"/>
        </w:rPr>
        <w:t>ال</w:t>
      </w:r>
      <w:r w:rsidRPr="002273BC">
        <w:rPr>
          <w:rFonts w:ascii="Arabic Transparent" w:hAnsi="Arabic Transparent" w:cs="Arabic Transparent" w:hint="cs"/>
          <w:sz w:val="24"/>
          <w:szCs w:val="24"/>
          <w:rtl/>
          <w:lang w:bidi="ar-JO"/>
        </w:rPr>
        <w:t xml:space="preserve">رشود، </w:t>
      </w:r>
      <w:r w:rsidRPr="002273BC">
        <w:rPr>
          <w:rFonts w:ascii="Arabic Transparent" w:hAnsi="Arabic Transparent" w:cs="Arabic Transparent" w:hint="cs"/>
          <w:b/>
          <w:bCs/>
          <w:sz w:val="24"/>
          <w:szCs w:val="24"/>
          <w:rtl/>
          <w:lang w:bidi="ar-JO"/>
        </w:rPr>
        <w:t>التورق المصرفي</w:t>
      </w:r>
      <w:r w:rsidRPr="002273BC">
        <w:rPr>
          <w:rFonts w:ascii="Arabic Transparent" w:hAnsi="Arabic Transparent" w:cs="Arabic Transparent" w:hint="cs"/>
          <w:sz w:val="24"/>
          <w:szCs w:val="24"/>
          <w:rtl/>
          <w:lang w:bidi="ar-JO"/>
        </w:rPr>
        <w:t xml:space="preserve">، </w:t>
      </w:r>
      <w:r w:rsidR="00DC1989" w:rsidRPr="002273BC">
        <w:rPr>
          <w:rFonts w:ascii="Arabic Transparent" w:hAnsi="Arabic Transparent" w:cs="Arabic Transparent" w:hint="cs"/>
          <w:sz w:val="24"/>
          <w:szCs w:val="24"/>
          <w:rtl/>
          <w:lang w:bidi="ar-JO"/>
        </w:rPr>
        <w:t>مصدر سابق، ص20.</w:t>
      </w:r>
    </w:p>
  </w:footnote>
  <w:footnote w:id="904">
    <w:p w14:paraId="322D694A"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فصل ابن تيمية الأوصاف العارضة ووضع أمثلة عليها وفرّق بينها وبين الأوصاف اللازمة التي تؤثر في حكم المسائل، انظر: ابن تيمية، </w:t>
      </w:r>
      <w:r w:rsidRPr="002273BC">
        <w:rPr>
          <w:rFonts w:ascii="Arabic Transparent" w:hAnsi="Arabic Transparent" w:cs="Arabic Transparent" w:hint="cs"/>
          <w:b/>
          <w:bCs/>
          <w:sz w:val="24"/>
          <w:szCs w:val="24"/>
          <w:rtl/>
          <w:lang w:bidi="ar-JO"/>
        </w:rPr>
        <w:t>مجموع الفتاوى</w:t>
      </w:r>
      <w:r w:rsidRPr="002273BC">
        <w:rPr>
          <w:rFonts w:ascii="Arabic Transparent" w:hAnsi="Arabic Transparent" w:cs="Arabic Transparent" w:hint="cs"/>
          <w:sz w:val="24"/>
          <w:szCs w:val="24"/>
          <w:rtl/>
          <w:lang w:bidi="ar-JO"/>
        </w:rPr>
        <w:t>، مصدر سابق، ج27، ص45.</w:t>
      </w:r>
    </w:p>
  </w:footnote>
  <w:footnote w:id="905">
    <w:p w14:paraId="132D0EC2"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lang w:bidi="ar-JO"/>
        </w:rPr>
        <w:t xml:space="preserve">مجموعة من مؤلفي المنتدى الإسلامي، </w:t>
      </w:r>
      <w:r w:rsidRPr="002273BC">
        <w:rPr>
          <w:rFonts w:ascii="Arabic Transparent" w:hAnsi="Arabic Transparent" w:cs="Arabic Transparent" w:hint="cs"/>
          <w:b/>
          <w:bCs/>
          <w:sz w:val="24"/>
          <w:szCs w:val="24"/>
          <w:rtl/>
          <w:lang w:bidi="ar-JO"/>
        </w:rPr>
        <w:t>مجلة البيان</w:t>
      </w:r>
      <w:r w:rsidRPr="002273BC">
        <w:rPr>
          <w:rFonts w:ascii="Arabic Transparent" w:hAnsi="Arabic Transparent" w:cs="Arabic Transparent" w:hint="cs"/>
          <w:sz w:val="24"/>
          <w:szCs w:val="24"/>
          <w:rtl/>
          <w:lang w:bidi="ar-JO"/>
        </w:rPr>
        <w:t>، مصدر سابق، ج8، ص142.</w:t>
      </w:r>
    </w:p>
  </w:footnote>
  <w:footnote w:id="906">
    <w:p w14:paraId="429BD7E8"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انظر: ابن حجر، </w:t>
      </w:r>
      <w:r w:rsidRPr="002273BC">
        <w:rPr>
          <w:rFonts w:ascii="Arabic Transparent" w:hAnsi="Arabic Transparent" w:cs="Arabic Transparent" w:hint="cs"/>
          <w:b/>
          <w:bCs/>
          <w:sz w:val="24"/>
          <w:szCs w:val="24"/>
          <w:rtl/>
          <w:lang w:bidi="ar-JO"/>
        </w:rPr>
        <w:t>تحفة المحتاج في شرح المنهاج وحواشي الشرواني والعبادي</w:t>
      </w:r>
      <w:r w:rsidRPr="002273BC">
        <w:rPr>
          <w:rFonts w:ascii="Arabic Transparent" w:hAnsi="Arabic Transparent" w:cs="Arabic Transparent" w:hint="cs"/>
          <w:sz w:val="24"/>
          <w:szCs w:val="24"/>
          <w:rtl/>
          <w:lang w:bidi="ar-JO"/>
        </w:rPr>
        <w:t>، مصدر سابق، ج5، ص139.</w:t>
      </w:r>
    </w:p>
  </w:footnote>
  <w:footnote w:id="907">
    <w:p w14:paraId="6FB6B84B"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الشاطبي، </w:t>
      </w:r>
      <w:r w:rsidRPr="002273BC">
        <w:rPr>
          <w:rFonts w:ascii="Arabic Transparent" w:hAnsi="Arabic Transparent" w:cs="Arabic Transparent" w:hint="cs"/>
          <w:b/>
          <w:bCs/>
          <w:sz w:val="24"/>
          <w:szCs w:val="24"/>
          <w:rtl/>
          <w:lang w:bidi="ar-JO"/>
        </w:rPr>
        <w:t>الموافقات</w:t>
      </w:r>
      <w:r w:rsidRPr="002273BC">
        <w:rPr>
          <w:rFonts w:ascii="Arabic Transparent" w:hAnsi="Arabic Transparent" w:cs="Arabic Transparent" w:hint="cs"/>
          <w:sz w:val="24"/>
          <w:szCs w:val="24"/>
          <w:rtl/>
          <w:lang w:bidi="ar-JO"/>
        </w:rPr>
        <w:t>، مصدر سابق، ج5، ص239.</w:t>
      </w:r>
    </w:p>
  </w:footnote>
  <w:footnote w:id="908">
    <w:p w14:paraId="6F123C7D" w14:textId="00C9B539"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00503FC7">
        <w:rPr>
          <w:rFonts w:ascii="Arabic Transparent" w:hAnsi="Arabic Transparent" w:cs="Arabic Transparent" w:hint="cs"/>
          <w:sz w:val="24"/>
          <w:szCs w:val="24"/>
          <w:rtl/>
        </w:rPr>
        <w:t xml:space="preserve">انظر: </w:t>
      </w:r>
      <w:r w:rsidRPr="002273BC">
        <w:rPr>
          <w:rFonts w:ascii="Arabic Transparent" w:hAnsi="Arabic Transparent" w:cs="Arabic Transparent" w:hint="cs"/>
          <w:sz w:val="24"/>
          <w:szCs w:val="24"/>
          <w:rtl/>
          <w:lang w:bidi="ar-JO"/>
        </w:rPr>
        <w:t>الأنصاري</w:t>
      </w:r>
      <w:r w:rsidRPr="002273BC">
        <w:rPr>
          <w:rFonts w:ascii="Arabic Transparent" w:hAnsi="Arabic Transparent" w:cs="Arabic Transparent" w:hint="cs"/>
          <w:b/>
          <w:bCs/>
          <w:sz w:val="24"/>
          <w:szCs w:val="24"/>
          <w:rtl/>
          <w:lang w:bidi="ar-JO"/>
        </w:rPr>
        <w:t>، أسنى المطالب</w:t>
      </w:r>
      <w:r w:rsidRPr="002273BC">
        <w:rPr>
          <w:rFonts w:ascii="Arabic Transparent" w:hAnsi="Arabic Transparent" w:cs="Arabic Transparent" w:hint="cs"/>
          <w:sz w:val="24"/>
          <w:szCs w:val="24"/>
          <w:rtl/>
          <w:lang w:bidi="ar-JO"/>
        </w:rPr>
        <w:t>، مصدر سابق، ج2، ص140.</w:t>
      </w:r>
    </w:p>
  </w:footnote>
  <w:footnote w:id="909">
    <w:p w14:paraId="29A77ED9"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ابن قدامة، </w:t>
      </w:r>
      <w:r w:rsidRPr="002273BC">
        <w:rPr>
          <w:rFonts w:ascii="Arabic Transparent" w:hAnsi="Arabic Transparent" w:cs="Arabic Transparent" w:hint="cs"/>
          <w:b/>
          <w:bCs/>
          <w:sz w:val="24"/>
          <w:szCs w:val="24"/>
          <w:rtl/>
          <w:lang w:bidi="ar-JO"/>
        </w:rPr>
        <w:t>روضة الناظر وجنة المناظر،</w:t>
      </w:r>
      <w:r w:rsidRPr="002273BC">
        <w:rPr>
          <w:rFonts w:ascii="Arabic Transparent" w:hAnsi="Arabic Transparent" w:cs="Arabic Transparent" w:hint="cs"/>
          <w:sz w:val="24"/>
          <w:szCs w:val="24"/>
          <w:rtl/>
          <w:lang w:bidi="ar-JO"/>
        </w:rPr>
        <w:t xml:space="preserve"> مصدر سابق، ج2، ص274.</w:t>
      </w:r>
    </w:p>
  </w:footnote>
  <w:footnote w:id="910">
    <w:p w14:paraId="19BA12FE"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انظر، ابن النجار، </w:t>
      </w:r>
      <w:r w:rsidRPr="002273BC">
        <w:rPr>
          <w:rFonts w:ascii="Arabic Transparent" w:hAnsi="Arabic Transparent" w:cs="Arabic Transparent" w:hint="cs"/>
          <w:b/>
          <w:bCs/>
          <w:sz w:val="24"/>
          <w:szCs w:val="24"/>
          <w:rtl/>
          <w:lang w:bidi="ar-JO"/>
        </w:rPr>
        <w:t>شرح منتهى الإرادات</w:t>
      </w:r>
      <w:r w:rsidRPr="002273BC">
        <w:rPr>
          <w:rFonts w:ascii="Arabic Transparent" w:hAnsi="Arabic Transparent" w:cs="Arabic Transparent" w:hint="cs"/>
          <w:sz w:val="24"/>
          <w:szCs w:val="24"/>
          <w:rtl/>
          <w:lang w:bidi="ar-JO"/>
        </w:rPr>
        <w:t>، مصدر سابق، ج5، ص223</w:t>
      </w:r>
    </w:p>
  </w:footnote>
  <w:footnote w:id="911">
    <w:p w14:paraId="12774AAE"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السرخسي، </w:t>
      </w:r>
      <w:r w:rsidRPr="002273BC">
        <w:rPr>
          <w:rFonts w:ascii="Arabic Transparent" w:hAnsi="Arabic Transparent" w:cs="Arabic Transparent" w:hint="cs"/>
          <w:b/>
          <w:bCs/>
          <w:sz w:val="24"/>
          <w:szCs w:val="24"/>
          <w:rtl/>
          <w:lang w:bidi="ar-JO"/>
        </w:rPr>
        <w:t>المبسوط</w:t>
      </w:r>
      <w:r w:rsidRPr="002273BC">
        <w:rPr>
          <w:rFonts w:ascii="Arabic Transparent" w:hAnsi="Arabic Transparent" w:cs="Arabic Transparent" w:hint="cs"/>
          <w:sz w:val="24"/>
          <w:szCs w:val="24"/>
          <w:rtl/>
          <w:lang w:bidi="ar-JO"/>
        </w:rPr>
        <w:t>، مصدر سابق، ج14، ص36.</w:t>
      </w:r>
    </w:p>
  </w:footnote>
  <w:footnote w:id="912">
    <w:p w14:paraId="0578B5BA" w14:textId="671F75A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00503FC7">
        <w:rPr>
          <w:rFonts w:ascii="Arabic Transparent" w:hAnsi="Arabic Transparent" w:cs="Arabic Transparent" w:hint="cs"/>
          <w:sz w:val="24"/>
          <w:szCs w:val="24"/>
          <w:rtl/>
          <w:lang w:bidi="ar-JO"/>
        </w:rPr>
        <w:t xml:space="preserve">انظر: </w:t>
      </w:r>
      <w:r w:rsidRPr="002273BC">
        <w:rPr>
          <w:rFonts w:ascii="Arabic Transparent" w:hAnsi="Arabic Transparent" w:cs="Arabic Transparent" w:hint="cs"/>
          <w:sz w:val="24"/>
          <w:szCs w:val="24"/>
          <w:rtl/>
          <w:lang w:bidi="ar-JO"/>
        </w:rPr>
        <w:t xml:space="preserve">البنك الإسلامي الأردني، </w:t>
      </w:r>
      <w:r w:rsidRPr="002273BC">
        <w:rPr>
          <w:rFonts w:ascii="Arabic Transparent" w:hAnsi="Arabic Transparent" w:cs="Arabic Transparent" w:hint="cs"/>
          <w:b/>
          <w:bCs/>
          <w:sz w:val="24"/>
          <w:szCs w:val="24"/>
          <w:rtl/>
          <w:lang w:bidi="ar-JO"/>
        </w:rPr>
        <w:t>تفاصيل منتج تمويل المساومة الإسلامي</w:t>
      </w:r>
      <w:r w:rsidRPr="002273BC">
        <w:rPr>
          <w:rFonts w:ascii="Arabic Transparent" w:hAnsi="Arabic Transparent" w:cs="Arabic Transparent" w:hint="cs"/>
          <w:sz w:val="24"/>
          <w:szCs w:val="24"/>
          <w:rtl/>
          <w:lang w:bidi="ar-JO"/>
        </w:rPr>
        <w:t xml:space="preserve">، المنتجات والخدمات، </w:t>
      </w:r>
      <w:r w:rsidRPr="002273BC">
        <w:rPr>
          <w:rFonts w:ascii="Arabic Transparent" w:hAnsi="Arabic Transparent" w:cs="Arabic Transparent" w:hint="cs"/>
          <w:sz w:val="24"/>
          <w:szCs w:val="24"/>
          <w:lang w:bidi="ar-JO"/>
        </w:rPr>
        <w:t>https://www.jordanislamicbank.com/ar/musawama-product</w:t>
      </w:r>
      <w:r w:rsidRPr="002273BC">
        <w:rPr>
          <w:rFonts w:ascii="Arabic Transparent" w:hAnsi="Arabic Transparent" w:cs="Arabic Transparent" w:hint="cs"/>
          <w:sz w:val="24"/>
          <w:szCs w:val="24"/>
          <w:rtl/>
          <w:lang w:bidi="ar-JO"/>
        </w:rPr>
        <w:t>، (تاريخ الزيارة: 22/4/2026).</w:t>
      </w:r>
    </w:p>
  </w:footnote>
  <w:footnote w:id="913">
    <w:p w14:paraId="02E0631C" w14:textId="15E9D9DA" w:rsidR="00201DD5" w:rsidRPr="002273BC" w:rsidRDefault="00201DD5" w:rsidP="00EA3738">
      <w:pPr>
        <w:pStyle w:val="FootnoteText"/>
        <w:spacing w:line="360" w:lineRule="auto"/>
        <w:jc w:val="both"/>
        <w:rPr>
          <w:rFonts w:ascii="Arabic Transparent" w:hAnsi="Arabic Transparent" w:cs="Arabic Transparent"/>
          <w:sz w:val="24"/>
          <w:szCs w:val="24"/>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لتغير العملة العديد من الأسباب منها الانقطاع، والكساد، وتغير سعر الصرف، وتغير السياسات النقدية، وغيرها من الأسباب، لذلك من الخطأ الشائع أن يربط تغير قيمة العملة بالتضخم فقط، بل هناك العديد من الأسباب الأخرى التي تسبب ذلك. انظر: القره داغي،</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2018م، </w:t>
      </w:r>
      <w:r w:rsidR="00503FC7">
        <w:rPr>
          <w:rFonts w:ascii="Arabic Transparent" w:hAnsi="Arabic Transparent" w:cs="Arabic Transparent" w:hint="cs"/>
          <w:b/>
          <w:bCs/>
          <w:sz w:val="24"/>
          <w:szCs w:val="24"/>
          <w:rtl/>
          <w:lang w:bidi="ar-JO"/>
        </w:rPr>
        <w:t xml:space="preserve">انظر: </w:t>
      </w:r>
      <w:r w:rsidRPr="002273BC">
        <w:rPr>
          <w:rFonts w:ascii="Arabic Transparent" w:hAnsi="Arabic Transparent" w:cs="Arabic Transparent" w:hint="cs"/>
          <w:b/>
          <w:bCs/>
          <w:sz w:val="24"/>
          <w:szCs w:val="24"/>
          <w:rtl/>
          <w:lang w:bidi="ar-JO"/>
        </w:rPr>
        <w:t>مقال بعنوان: تغير القيمة الشرائية للنقود،</w:t>
      </w:r>
      <w:r w:rsidRPr="002273BC">
        <w:rPr>
          <w:rFonts w:ascii="Arabic Transparent" w:hAnsi="Arabic Transparent" w:cs="Arabic Transparent" w:hint="cs"/>
          <w:sz w:val="24"/>
          <w:szCs w:val="24"/>
          <w:rtl/>
          <w:lang w:bidi="ar-JO"/>
        </w:rPr>
        <w:t xml:space="preserve"> منشورات الإتحاد العالمي لعلماء المسلمين، على الرابط: </w:t>
      </w:r>
      <w:hyperlink r:id="rId14" w:history="1">
        <w:r w:rsidRPr="002273BC">
          <w:rPr>
            <w:rStyle w:val="Hyperlink"/>
            <w:rFonts w:ascii="Arabic Transparent" w:hAnsi="Arabic Transparent" w:cs="Arabic Transparent" w:hint="cs"/>
            <w:sz w:val="24"/>
            <w:szCs w:val="24"/>
            <w:lang w:bidi="ar-JO"/>
          </w:rPr>
          <w:t>https://alqaradaghi.com/2332</w:t>
        </w:r>
      </w:hyperlink>
    </w:p>
    <w:p w14:paraId="7546E809"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tl/>
          <w:lang w:bidi="ar-JO"/>
        </w:rPr>
        <w:t>تاريخ الاطلاع: 7/ 2/ 2026م.</w:t>
      </w:r>
    </w:p>
  </w:footnote>
  <w:footnote w:id="914">
    <w:p w14:paraId="3C408A52"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الفيروزآبادي، </w:t>
      </w:r>
      <w:r w:rsidRPr="002273BC">
        <w:rPr>
          <w:rFonts w:ascii="Arabic Transparent" w:hAnsi="Arabic Transparent" w:cs="Arabic Transparent" w:hint="cs"/>
          <w:b/>
          <w:bCs/>
          <w:sz w:val="24"/>
          <w:szCs w:val="24"/>
          <w:rtl/>
          <w:lang w:bidi="ar-JO"/>
        </w:rPr>
        <w:t>القاموس المحيط،</w:t>
      </w:r>
      <w:r w:rsidRPr="002273BC">
        <w:rPr>
          <w:rFonts w:ascii="Arabic Transparent" w:hAnsi="Arabic Transparent" w:cs="Arabic Transparent" w:hint="cs"/>
          <w:sz w:val="24"/>
          <w:szCs w:val="24"/>
          <w:rtl/>
          <w:lang w:bidi="ar-JO"/>
        </w:rPr>
        <w:t xml:space="preserve"> مصدر سابق، ص1299.</w:t>
      </w:r>
    </w:p>
  </w:footnote>
  <w:footnote w:id="915">
    <w:p w14:paraId="13074FAC" w14:textId="74377B28"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الروبي، ناصر (2002</w:t>
      </w:r>
      <w:r w:rsidRPr="002273BC">
        <w:rPr>
          <w:rFonts w:ascii="Arabic Transparent" w:hAnsi="Arabic Transparent" w:cs="Arabic Transparent" w:hint="cs"/>
          <w:b/>
          <w:bCs/>
          <w:sz w:val="24"/>
          <w:szCs w:val="24"/>
          <w:rtl/>
          <w:lang w:bidi="ar-JO"/>
        </w:rPr>
        <w:t>). نظرية التضخم</w:t>
      </w:r>
      <w:r w:rsidRPr="002273BC">
        <w:rPr>
          <w:rFonts w:ascii="Arabic Transparent" w:hAnsi="Arabic Transparent" w:cs="Arabic Transparent" w:hint="cs"/>
          <w:sz w:val="24"/>
          <w:szCs w:val="24"/>
          <w:rtl/>
          <w:lang w:bidi="ar-JO"/>
        </w:rPr>
        <w:t xml:space="preserve">، ط1، </w:t>
      </w:r>
      <w:r w:rsidR="005E7FE8">
        <w:rPr>
          <w:rFonts w:ascii="Arabic Transparent" w:hAnsi="Arabic Transparent" w:cs="Arabic Transparent" w:hint="cs"/>
          <w:sz w:val="24"/>
          <w:szCs w:val="24"/>
          <w:rtl/>
          <w:lang w:bidi="ar-JO"/>
        </w:rPr>
        <w:t xml:space="preserve">ص54، </w:t>
      </w:r>
      <w:r w:rsidRPr="002273BC">
        <w:rPr>
          <w:rFonts w:ascii="Arabic Transparent" w:hAnsi="Arabic Transparent" w:cs="Arabic Transparent" w:hint="cs"/>
          <w:sz w:val="24"/>
          <w:szCs w:val="24"/>
          <w:rtl/>
          <w:lang w:bidi="ar-JO"/>
        </w:rPr>
        <w:t>مؤسسة الثقافة الجامعية، الإسكندرية.</w:t>
      </w:r>
    </w:p>
  </w:footnote>
  <w:footnote w:id="916">
    <w:p w14:paraId="1A8831D5"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الصاوي، رمضان (د.ت</w:t>
      </w:r>
      <w:r w:rsidRPr="002273BC">
        <w:rPr>
          <w:rFonts w:ascii="Arabic Transparent" w:hAnsi="Arabic Transparent" w:cs="Arabic Transparent" w:hint="cs"/>
          <w:b/>
          <w:bCs/>
          <w:sz w:val="24"/>
          <w:szCs w:val="24"/>
          <w:rtl/>
          <w:lang w:bidi="ar-JO"/>
        </w:rPr>
        <w:t>)، "التضخم النقدي في ميزان الفقه الإسلامي: المفهوم، الأسباب، الآثار والعلاج</w:t>
      </w:r>
      <w:r w:rsidRPr="002273BC">
        <w:rPr>
          <w:rFonts w:ascii="Arabic Transparent" w:hAnsi="Arabic Transparent" w:cs="Arabic Transparent" w:hint="cs"/>
          <w:sz w:val="24"/>
          <w:szCs w:val="24"/>
          <w:lang w:bidi="ar-JO"/>
        </w:rPr>
        <w:t>"</w:t>
      </w:r>
      <w:r w:rsidRPr="002273BC">
        <w:rPr>
          <w:rFonts w:ascii="Arabic Transparent" w:hAnsi="Arabic Transparent" w:cs="Arabic Transparent" w:hint="cs"/>
          <w:sz w:val="24"/>
          <w:szCs w:val="24"/>
          <w:rtl/>
          <w:lang w:bidi="ar-JO"/>
        </w:rPr>
        <w:t xml:space="preserve">، العدد (50)، 2022م، ص15، </w:t>
      </w:r>
      <w:r w:rsidRPr="002273BC">
        <w:rPr>
          <w:rFonts w:ascii="Arabic Transparent" w:hAnsi="Arabic Transparent" w:cs="Arabic Transparent"/>
          <w:sz w:val="24"/>
          <w:szCs w:val="24"/>
          <w:rtl/>
          <w:lang w:bidi="ar-JO"/>
        </w:rPr>
        <w:t>مجلة الإفتاء المصرية</w:t>
      </w:r>
      <w:r w:rsidRPr="002273BC">
        <w:rPr>
          <w:rFonts w:ascii="Arabic Transparent" w:hAnsi="Arabic Transparent" w:cs="Arabic Transparent" w:hint="cs"/>
          <w:sz w:val="24"/>
          <w:szCs w:val="24"/>
          <w:rtl/>
          <w:lang w:bidi="ar-JO"/>
        </w:rPr>
        <w:t>.</w:t>
      </w:r>
    </w:p>
  </w:footnote>
  <w:footnote w:id="917">
    <w:p w14:paraId="75EC82A1" w14:textId="77941D15"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00503FC7">
        <w:rPr>
          <w:rFonts w:ascii="Arabic Transparent" w:hAnsi="Arabic Transparent" w:cs="Arabic Transparent" w:hint="cs"/>
          <w:sz w:val="24"/>
          <w:szCs w:val="24"/>
          <w:rtl/>
          <w:lang w:bidi="ar-JO"/>
        </w:rPr>
        <w:t xml:space="preserve"> </w:t>
      </w:r>
      <w:r w:rsidR="00D24322" w:rsidRPr="002273BC">
        <w:rPr>
          <w:rFonts w:ascii="Arabic Transparent" w:hAnsi="Arabic Transparent" w:cs="Arabic Transparent" w:hint="cs"/>
          <w:sz w:val="24"/>
          <w:szCs w:val="24"/>
          <w:rtl/>
          <w:lang w:bidi="ar-JO"/>
        </w:rPr>
        <w:t>المرجع السابق نفسه، ص15.</w:t>
      </w:r>
    </w:p>
  </w:footnote>
  <w:footnote w:id="918">
    <w:p w14:paraId="0D5C5AEB"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الفيروزآبادي، </w:t>
      </w:r>
      <w:r w:rsidRPr="002273BC">
        <w:rPr>
          <w:rFonts w:ascii="Arabic Transparent" w:hAnsi="Arabic Transparent" w:cs="Arabic Transparent" w:hint="cs"/>
          <w:b/>
          <w:bCs/>
          <w:sz w:val="24"/>
          <w:szCs w:val="24"/>
          <w:rtl/>
          <w:lang w:bidi="ar-JO"/>
        </w:rPr>
        <w:t>القاموس المحيط،</w:t>
      </w:r>
      <w:r w:rsidRPr="002273BC">
        <w:rPr>
          <w:rFonts w:ascii="Arabic Transparent" w:hAnsi="Arabic Transparent" w:cs="Arabic Transparent" w:hint="cs"/>
          <w:sz w:val="24"/>
          <w:szCs w:val="24"/>
          <w:rtl/>
          <w:lang w:bidi="ar-JO"/>
        </w:rPr>
        <w:t xml:space="preserve"> مصدر سابق،ج2، ص287.</w:t>
      </w:r>
    </w:p>
  </w:footnote>
  <w:footnote w:id="919">
    <w:p w14:paraId="2B18A9BC"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الأشقر، أحمد، (2007) </w:t>
      </w:r>
      <w:r w:rsidRPr="002273BC">
        <w:rPr>
          <w:rFonts w:ascii="Arabic Transparent" w:hAnsi="Arabic Transparent" w:cs="Arabic Transparent" w:hint="cs"/>
          <w:b/>
          <w:bCs/>
          <w:sz w:val="24"/>
          <w:szCs w:val="24"/>
          <w:rtl/>
          <w:lang w:bidi="ar-JO"/>
        </w:rPr>
        <w:t>الاقتصاد الكلي</w:t>
      </w:r>
      <w:r w:rsidRPr="002273BC">
        <w:rPr>
          <w:rFonts w:ascii="Arabic Transparent" w:hAnsi="Arabic Transparent" w:cs="Arabic Transparent" w:hint="cs"/>
          <w:sz w:val="24"/>
          <w:szCs w:val="24"/>
          <w:rtl/>
          <w:lang w:bidi="ar-JO"/>
        </w:rPr>
        <w:t>، ط1، ص33.دار الثقافة للنشر والتوزيع، بيروت.</w:t>
      </w:r>
    </w:p>
  </w:footnote>
  <w:footnote w:id="920">
    <w:p w14:paraId="6C346C42"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المصدر السابق نفسه، ص34.</w:t>
      </w:r>
    </w:p>
  </w:footnote>
  <w:footnote w:id="921">
    <w:p w14:paraId="322A0D73"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انظر: محمد، فتح الرحمن (2009</w:t>
      </w:r>
      <w:r w:rsidRPr="002273BC">
        <w:rPr>
          <w:rFonts w:ascii="Arabic Transparent" w:hAnsi="Arabic Transparent" w:cs="Arabic Transparent" w:hint="cs"/>
          <w:b/>
          <w:bCs/>
          <w:sz w:val="24"/>
          <w:szCs w:val="24"/>
          <w:rtl/>
          <w:lang w:bidi="ar-JO"/>
        </w:rPr>
        <w:t>)، الربط القياسي جداوه وصلاحيته في الحقوق والالتزامات الآجلة</w:t>
      </w:r>
      <w:r w:rsidRPr="002273BC">
        <w:rPr>
          <w:rFonts w:ascii="Arabic Transparent" w:hAnsi="Arabic Transparent" w:cs="Arabic Transparent" w:hint="cs"/>
          <w:sz w:val="24"/>
          <w:szCs w:val="24"/>
          <w:rtl/>
          <w:lang w:bidi="ar-JO"/>
        </w:rPr>
        <w:t>، ع26، ص40، مجلة المال والاقتصاد، بنك فيصل الإسلامي.</w:t>
      </w:r>
    </w:p>
  </w:footnote>
  <w:footnote w:id="922">
    <w:p w14:paraId="1252B6CB" w14:textId="06949CC9"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انظر: </w:t>
      </w:r>
      <w:r w:rsidRPr="002273BC">
        <w:rPr>
          <w:rFonts w:ascii="Arabic Transparent" w:hAnsi="Arabic Transparent" w:cs="Arabic Transparent" w:hint="cs"/>
          <w:b/>
          <w:bCs/>
          <w:sz w:val="24"/>
          <w:szCs w:val="24"/>
          <w:rtl/>
          <w:lang w:bidi="ar-JO"/>
        </w:rPr>
        <w:t>المصدر السابق نفسه</w:t>
      </w:r>
      <w:r w:rsidRPr="002273BC">
        <w:rPr>
          <w:rFonts w:ascii="Arabic Transparent" w:hAnsi="Arabic Transparent" w:cs="Arabic Transparent" w:hint="cs"/>
          <w:sz w:val="24"/>
          <w:szCs w:val="24"/>
          <w:rtl/>
          <w:lang w:bidi="ar-JO"/>
        </w:rPr>
        <w:t>، ص26.</w:t>
      </w:r>
    </w:p>
  </w:footnote>
  <w:footnote w:id="923">
    <w:p w14:paraId="0A3B3E33" w14:textId="77777777" w:rsidR="00201DD5" w:rsidRPr="002273BC" w:rsidRDefault="00201DD5" w:rsidP="00EA3738">
      <w:pPr>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مجمع الفقه الإسلامي الدولي (1988). </w:t>
      </w:r>
      <w:r w:rsidRPr="002273BC">
        <w:rPr>
          <w:rFonts w:ascii="Arabic Transparent" w:hAnsi="Arabic Transparent" w:cs="Arabic Transparent" w:hint="cs"/>
          <w:b/>
          <w:bCs/>
          <w:sz w:val="24"/>
          <w:szCs w:val="24"/>
          <w:rtl/>
          <w:lang w:bidi="ar-JO"/>
        </w:rPr>
        <w:t>"قرار رقم 42 (5/4) بشأن تغيُّر قيمة العملة</w:t>
      </w:r>
      <w:r w:rsidRPr="002273BC">
        <w:rPr>
          <w:rFonts w:ascii="Arabic Transparent" w:hAnsi="Arabic Transparent" w:cs="Arabic Transparent" w:hint="cs"/>
          <w:sz w:val="24"/>
          <w:szCs w:val="24"/>
          <w:rtl/>
          <w:lang w:bidi="ar-JO"/>
        </w:rPr>
        <w:t xml:space="preserve">"، مجلة المجمع، العدد 5، ج3، ص1609، الكويت: مجمع الفقه الإسلامي الدولي، تاريخ الاطلاع: 17 أبريل 2026، متاح على: </w:t>
      </w:r>
      <w:r w:rsidRPr="002273BC">
        <w:rPr>
          <w:rFonts w:ascii="Arabic Transparent" w:hAnsi="Arabic Transparent" w:cs="Arabic Transparent" w:hint="cs"/>
          <w:sz w:val="24"/>
          <w:szCs w:val="24"/>
          <w:lang w:bidi="ar-JO"/>
        </w:rPr>
        <w:t>https://iifa-aifi.org/ar/1754.html</w:t>
      </w:r>
    </w:p>
  </w:footnote>
  <w:footnote w:id="924">
    <w:p w14:paraId="1DCDE3B3" w14:textId="41A8D790"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دائرة الإفتاء العام الأردنية. (2010). </w:t>
      </w:r>
      <w:r w:rsidRPr="002273BC">
        <w:rPr>
          <w:rFonts w:ascii="Arabic Transparent" w:hAnsi="Arabic Transparent" w:cs="Arabic Transparent" w:hint="cs"/>
          <w:b/>
          <w:bCs/>
          <w:sz w:val="24"/>
          <w:szCs w:val="24"/>
          <w:rtl/>
          <w:lang w:bidi="ar-JO"/>
        </w:rPr>
        <w:t>كيف يرد الدين إذا تغيرت قيمته. رقم الفتوى</w:t>
      </w:r>
      <w:r w:rsidRPr="002273BC">
        <w:rPr>
          <w:rFonts w:ascii="Arabic Transparent" w:hAnsi="Arabic Transparent" w:cs="Arabic Transparent" w:hint="cs"/>
          <w:sz w:val="24"/>
          <w:szCs w:val="24"/>
          <w:rtl/>
          <w:lang w:bidi="ar-JO"/>
        </w:rPr>
        <w:t xml:space="preserve">: 444. إفتاء: لجنة الإفتاء ومراجعة سماحة المفتي العام الدكتور نوح علي سلمان. متاح على: </w:t>
      </w:r>
      <w:r w:rsidRPr="002273BC">
        <w:rPr>
          <w:rFonts w:ascii="Arabic Transparent" w:hAnsi="Arabic Transparent" w:cs="Arabic Transparent" w:hint="cs"/>
          <w:sz w:val="24"/>
          <w:szCs w:val="24"/>
          <w:lang w:bidi="ar-JO"/>
        </w:rPr>
        <w:t>https://www.aliftaa.jo/Question.aspx?QuestionId=444</w:t>
      </w:r>
    </w:p>
  </w:footnote>
  <w:footnote w:id="925">
    <w:p w14:paraId="7EA51434"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دار الإفتاء المصرية. (2015). </w:t>
      </w:r>
      <w:r w:rsidRPr="002273BC">
        <w:rPr>
          <w:rFonts w:ascii="Arabic Transparent" w:hAnsi="Arabic Transparent" w:cs="Arabic Transparent" w:hint="cs"/>
          <w:b/>
          <w:bCs/>
          <w:sz w:val="24"/>
          <w:szCs w:val="24"/>
          <w:rtl/>
          <w:lang w:bidi="ar-JO"/>
        </w:rPr>
        <w:t>ربط القرض بالقيمة من الذهب</w:t>
      </w:r>
      <w:r w:rsidRPr="002273BC">
        <w:rPr>
          <w:rFonts w:ascii="Arabic Transparent" w:hAnsi="Arabic Transparent" w:cs="Arabic Transparent" w:hint="cs"/>
          <w:sz w:val="24"/>
          <w:szCs w:val="24"/>
          <w:rtl/>
          <w:lang w:bidi="ar-JO"/>
        </w:rPr>
        <w:t xml:space="preserve">. رقم الفتوى: 1447. تاريخ الفتوى: 19 أكتوبر 2015م. متاح على: </w:t>
      </w:r>
      <w:r w:rsidRPr="002273BC">
        <w:rPr>
          <w:rFonts w:ascii="Arabic Transparent" w:hAnsi="Arabic Transparent" w:cs="Arabic Transparent" w:hint="cs"/>
          <w:sz w:val="24"/>
          <w:szCs w:val="24"/>
          <w:lang w:bidi="ar-JO"/>
        </w:rPr>
        <w:t>https://www.dar-alifta.org/ar/FatwaResearch/details/267</w:t>
      </w:r>
      <w:r w:rsidRPr="002273BC">
        <w:rPr>
          <w:rFonts w:ascii="Arabic Transparent" w:hAnsi="Arabic Transparent" w:cs="Arabic Transparent" w:hint="cs"/>
          <w:sz w:val="24"/>
          <w:szCs w:val="24"/>
          <w:rtl/>
          <w:lang w:bidi="ar-JO"/>
        </w:rPr>
        <w:t>/</w:t>
      </w:r>
    </w:p>
  </w:footnote>
  <w:footnote w:id="926">
    <w:p w14:paraId="1E05085A"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المجلس الإسلامي للإفتاء - الداخل الفلسطيني 48. (2015). </w:t>
      </w:r>
      <w:r w:rsidRPr="002273BC">
        <w:rPr>
          <w:rFonts w:ascii="Arabic Transparent" w:hAnsi="Arabic Transparent" w:cs="Arabic Transparent" w:hint="cs"/>
          <w:b/>
          <w:bCs/>
          <w:sz w:val="24"/>
          <w:szCs w:val="24"/>
          <w:rtl/>
          <w:lang w:bidi="ar-JO"/>
        </w:rPr>
        <w:t>ربط الديون بعملات ثابتة نسبياً كالدولار والذهب ونحوه محرم شرعاً</w:t>
      </w:r>
      <w:r w:rsidRPr="002273BC">
        <w:rPr>
          <w:rFonts w:ascii="Arabic Transparent" w:hAnsi="Arabic Transparent" w:cs="Arabic Transparent" w:hint="cs"/>
          <w:sz w:val="24"/>
          <w:szCs w:val="24"/>
          <w:rtl/>
          <w:lang w:bidi="ar-JO"/>
        </w:rPr>
        <w:t xml:space="preserve">. رقم الفتوى: 881. إفتاء: الشيخ مشهور فواز. تاريخ الفتوى: 6 أكتوبر 2015م. تاريخ النشر: 29 يوليو 2021م. متاح على: </w:t>
      </w:r>
      <w:r w:rsidRPr="002273BC">
        <w:rPr>
          <w:rFonts w:ascii="Arabic Transparent" w:hAnsi="Arabic Transparent" w:cs="Arabic Transparent" w:hint="cs"/>
          <w:sz w:val="24"/>
          <w:szCs w:val="24"/>
          <w:lang w:bidi="ar-JO"/>
        </w:rPr>
        <w:t>https://www.fatawah.net/topic-details/fatwah/881</w:t>
      </w:r>
      <w:r w:rsidRPr="002273BC">
        <w:rPr>
          <w:rFonts w:ascii="Arabic Transparent" w:hAnsi="Arabic Transparent" w:cs="Arabic Transparent" w:hint="cs"/>
          <w:sz w:val="24"/>
          <w:szCs w:val="24"/>
          <w:rtl/>
          <w:lang w:bidi="ar-JO"/>
        </w:rPr>
        <w:t>/</w:t>
      </w:r>
    </w:p>
  </w:footnote>
  <w:footnote w:id="927">
    <w:p w14:paraId="421E291B" w14:textId="77777777" w:rsidR="00201DD5" w:rsidRPr="002273BC" w:rsidRDefault="00201DD5" w:rsidP="00EA3738">
      <w:pPr>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المجلس الأوروبي للإفتاء والبحوث، </w:t>
      </w:r>
      <w:r w:rsidRPr="002273BC">
        <w:rPr>
          <w:rFonts w:ascii="Arabic Transparent" w:hAnsi="Arabic Transparent" w:cs="Arabic Transparent" w:hint="cs"/>
          <w:b/>
          <w:bCs/>
          <w:sz w:val="24"/>
          <w:szCs w:val="24"/>
          <w:rtl/>
          <w:lang w:bidi="ar-JO"/>
        </w:rPr>
        <w:t>أثر التضخم في النقود،</w:t>
      </w:r>
      <w:r w:rsidRPr="002273BC">
        <w:rPr>
          <w:rFonts w:ascii="Arabic Transparent" w:hAnsi="Arabic Transparent" w:cs="Arabic Transparent" w:hint="cs"/>
          <w:sz w:val="24"/>
          <w:szCs w:val="24"/>
          <w:rtl/>
          <w:lang w:bidi="ar-JO"/>
        </w:rPr>
        <w:t xml:space="preserve"> مصدر سابق، متاح على الرابط: </w:t>
      </w:r>
      <w:r w:rsidRPr="002273BC">
        <w:rPr>
          <w:rFonts w:ascii="Arabic Transparent" w:hAnsi="Arabic Transparent" w:cs="Arabic Transparent" w:hint="cs"/>
          <w:sz w:val="24"/>
          <w:szCs w:val="24"/>
          <w:lang w:bidi="ar-JO"/>
        </w:rPr>
        <w:t>https://www.e-cfr.org/blog/2018/11/07</w:t>
      </w:r>
      <w:r w:rsidRPr="002273BC">
        <w:rPr>
          <w:rFonts w:ascii="Arabic Transparent" w:hAnsi="Arabic Transparent" w:cs="Arabic Transparent" w:hint="cs"/>
          <w:sz w:val="24"/>
          <w:szCs w:val="24"/>
          <w:rtl/>
          <w:lang w:bidi="ar-JO"/>
        </w:rPr>
        <w:t>/أثر-التضخم-في-النقود (تاريخ الاطلاع: 16 اذار 2026م).</w:t>
      </w:r>
    </w:p>
  </w:footnote>
  <w:footnote w:id="928">
    <w:p w14:paraId="1A1BC46E" w14:textId="24D719F1"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مجمع الفقه الإسلامي الدولي، قرار رقم 75 (8/6) </w:t>
      </w:r>
      <w:r w:rsidRPr="002273BC">
        <w:rPr>
          <w:rFonts w:ascii="Arabic Transparent" w:hAnsi="Arabic Transparent" w:cs="Arabic Transparent" w:hint="cs"/>
          <w:b/>
          <w:bCs/>
          <w:sz w:val="24"/>
          <w:szCs w:val="24"/>
          <w:rtl/>
          <w:lang w:bidi="ar-JO"/>
        </w:rPr>
        <w:t>بشأن قضايا العملة</w:t>
      </w:r>
      <w:r w:rsidRPr="002273BC">
        <w:rPr>
          <w:rFonts w:ascii="Arabic Transparent" w:hAnsi="Arabic Transparent" w:cs="Arabic Transparent" w:hint="cs"/>
          <w:sz w:val="24"/>
          <w:szCs w:val="24"/>
          <w:rtl/>
          <w:lang w:bidi="ar-JO"/>
        </w:rPr>
        <w:t xml:space="preserve">، مصدر سابق، متاح على الرابط: </w:t>
      </w:r>
      <w:hyperlink r:id="rId15" w:history="1">
        <w:r w:rsidRPr="002273BC">
          <w:rPr>
            <w:rStyle w:val="Hyperlink"/>
            <w:rFonts w:ascii="Arabic Transparent" w:hAnsi="Arabic Transparent" w:cs="Arabic Transparent" w:hint="cs"/>
            <w:sz w:val="24"/>
            <w:szCs w:val="24"/>
            <w:lang w:bidi="ar-JO"/>
          </w:rPr>
          <w:t>https://iifa-aifi.org/ar/1962.html</w:t>
        </w:r>
      </w:hyperlink>
      <w:r w:rsidR="005D7B91" w:rsidRPr="002273BC">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sz w:val="24"/>
          <w:szCs w:val="24"/>
          <w:rtl/>
          <w:lang w:bidi="ar-JO"/>
        </w:rPr>
        <w:t>(تاريخ الاطلاع: 16 اذار</w:t>
      </w:r>
      <w:r w:rsidRPr="002273BC">
        <w:rPr>
          <w:rFonts w:ascii="Arabic Transparent" w:hAnsi="Arabic Transparent" w:cs="Arabic Transparent" w:hint="cs"/>
          <w:sz w:val="24"/>
          <w:szCs w:val="24"/>
          <w:rtl/>
          <w:lang w:bidi="ar-JO"/>
        </w:rPr>
        <w:tab/>
        <w:t xml:space="preserve"> 2026م).</w:t>
      </w:r>
    </w:p>
  </w:footnote>
  <w:footnote w:id="929">
    <w:p w14:paraId="364B7EB6" w14:textId="77777777" w:rsidR="00201DD5" w:rsidRPr="002273BC" w:rsidRDefault="00201DD5" w:rsidP="00EA3738">
      <w:pPr>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تليمة، عصام (2023). </w:t>
      </w:r>
      <w:r w:rsidRPr="002273BC">
        <w:rPr>
          <w:rFonts w:ascii="Arabic Transparent" w:hAnsi="Arabic Transparent" w:cs="Arabic Transparent" w:hint="cs"/>
          <w:b/>
          <w:bCs/>
          <w:sz w:val="24"/>
          <w:szCs w:val="24"/>
          <w:rtl/>
          <w:lang w:bidi="ar-JO"/>
        </w:rPr>
        <w:t>"كيفية سداد الحقوق المالية عند التضخم"، موقع الاتحاد العالمي لعلماء المسلمين،</w:t>
      </w:r>
      <w:r w:rsidRPr="002273BC">
        <w:rPr>
          <w:rFonts w:ascii="Arabic Transparent" w:hAnsi="Arabic Transparent" w:cs="Arabic Transparent" w:hint="cs"/>
          <w:sz w:val="24"/>
          <w:szCs w:val="24"/>
          <w:rtl/>
          <w:lang w:bidi="ar-JO"/>
        </w:rPr>
        <w:t xml:space="preserve"> نُشر بتاريخ 26 ديسمبر 2023م. متاح على الرابط: </w:t>
      </w:r>
      <w:r w:rsidRPr="002273BC">
        <w:rPr>
          <w:rFonts w:ascii="Arabic Transparent" w:hAnsi="Arabic Transparent" w:cs="Arabic Transparent" w:hint="cs"/>
          <w:sz w:val="24"/>
          <w:szCs w:val="24"/>
          <w:lang w:bidi="ar-JO"/>
        </w:rPr>
        <w:t>https://iumsonline.org/ar/ContentDetails.aspx?ID=32061</w:t>
      </w:r>
    </w:p>
  </w:footnote>
  <w:footnote w:id="930">
    <w:p w14:paraId="0948E24A"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القره داغي، علي محيي الدين (2020). </w:t>
      </w:r>
      <w:r w:rsidRPr="002273BC">
        <w:rPr>
          <w:rFonts w:ascii="Arabic Transparent" w:hAnsi="Arabic Transparent" w:cs="Arabic Transparent" w:hint="cs"/>
          <w:b/>
          <w:bCs/>
          <w:sz w:val="24"/>
          <w:szCs w:val="24"/>
          <w:rtl/>
          <w:lang w:bidi="ar-JO"/>
        </w:rPr>
        <w:t>"علاج التضخم في النقود الورقية من منظور الفقه الإسلامي"،</w:t>
      </w:r>
      <w:r w:rsidRPr="002273BC">
        <w:rPr>
          <w:rFonts w:ascii="Arabic Transparent" w:hAnsi="Arabic Transparent" w:cs="Arabic Transparent" w:hint="cs"/>
          <w:sz w:val="24"/>
          <w:szCs w:val="24"/>
          <w:rtl/>
          <w:lang w:bidi="ar-JO"/>
        </w:rPr>
        <w:t xml:space="preserve"> موقع المجلس الأوروبي للإفتاء والبحوث، نُشر بتاريخ 28 نوفمبر 2020م. متاح على الرابط: </w:t>
      </w:r>
      <w:r w:rsidRPr="002273BC">
        <w:rPr>
          <w:rFonts w:ascii="Arabic Transparent" w:hAnsi="Arabic Transparent" w:cs="Arabic Transparent" w:hint="cs"/>
          <w:sz w:val="24"/>
          <w:szCs w:val="24"/>
          <w:lang w:bidi="ar-JO"/>
        </w:rPr>
        <w:t>https://www.e-cfr.org/blog/2020/11/28</w:t>
      </w:r>
      <w:r w:rsidRPr="002273BC">
        <w:rPr>
          <w:rFonts w:ascii="Arabic Transparent" w:hAnsi="Arabic Transparent" w:cs="Arabic Transparent" w:hint="cs"/>
          <w:sz w:val="24"/>
          <w:szCs w:val="24"/>
          <w:rtl/>
          <w:lang w:bidi="ar-JO"/>
        </w:rPr>
        <w:t>/علاج-التضخم-في-النقود-الورقية.</w:t>
      </w:r>
    </w:p>
  </w:footnote>
  <w:footnote w:id="931">
    <w:p w14:paraId="4C1DE003"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بن بيه، عبد الله (2021). </w:t>
      </w:r>
      <w:r w:rsidRPr="002273BC">
        <w:rPr>
          <w:rFonts w:ascii="Arabic Transparent" w:hAnsi="Arabic Transparent" w:cs="Arabic Transparent" w:hint="cs"/>
          <w:b/>
          <w:bCs/>
          <w:sz w:val="24"/>
          <w:szCs w:val="24"/>
          <w:rtl/>
          <w:lang w:bidi="ar-JO"/>
        </w:rPr>
        <w:t>"حكم الشرع في تعديل ما ترتب بذمة المدين للدائن في حالة التضخم"،</w:t>
      </w:r>
      <w:r w:rsidRPr="002273BC">
        <w:rPr>
          <w:rFonts w:ascii="Arabic Transparent" w:hAnsi="Arabic Transparent" w:cs="Arabic Transparent" w:hint="cs"/>
          <w:sz w:val="24"/>
          <w:szCs w:val="24"/>
          <w:rtl/>
          <w:lang w:bidi="ar-JO"/>
        </w:rPr>
        <w:t xml:space="preserve"> مستخرج من: مقاصد المعاملات ومراصد الواقعات، الموقع الرسمي للعلامة عبد الله بن بيه، تاريخ الاطلاع: 17 أبريل 2026، متاح على: </w:t>
      </w:r>
      <w:r w:rsidRPr="002273BC">
        <w:rPr>
          <w:rFonts w:ascii="Arabic Transparent" w:hAnsi="Arabic Transparent" w:cs="Arabic Transparent" w:hint="cs"/>
          <w:sz w:val="24"/>
          <w:szCs w:val="24"/>
          <w:lang w:bidi="ar-JO"/>
        </w:rPr>
        <w:t>https://binbayyah.net/arabic/archives/3553</w:t>
      </w:r>
    </w:p>
  </w:footnote>
  <w:footnote w:id="932">
    <w:p w14:paraId="3127B699"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الأشقر، محمد (دت</w:t>
      </w:r>
      <w:r w:rsidRPr="002273BC">
        <w:rPr>
          <w:rFonts w:ascii="Arabic Transparent" w:hAnsi="Arabic Transparent" w:cs="Arabic Transparent" w:hint="cs"/>
          <w:b/>
          <w:bCs/>
          <w:sz w:val="24"/>
          <w:szCs w:val="24"/>
          <w:rtl/>
          <w:lang w:bidi="ar-JO"/>
        </w:rPr>
        <w:t>) النقود وتقلب قيمة العملة</w:t>
      </w:r>
      <w:r w:rsidRPr="002273BC">
        <w:rPr>
          <w:rFonts w:ascii="Arabic Transparent" w:hAnsi="Arabic Transparent" w:cs="Arabic Transparent" w:hint="cs"/>
          <w:sz w:val="24"/>
          <w:szCs w:val="24"/>
          <w:rtl/>
          <w:lang w:bidi="ar-JO"/>
        </w:rPr>
        <w:t>، مجلة مجمع الفقه الإسلامي، ع5 ج2، ص9753.</w:t>
      </w:r>
    </w:p>
  </w:footnote>
  <w:footnote w:id="933">
    <w:p w14:paraId="5B94C773"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حماد، نزيه، (دت</w:t>
      </w:r>
      <w:r w:rsidRPr="002273BC">
        <w:rPr>
          <w:rFonts w:ascii="Arabic Transparent" w:hAnsi="Arabic Transparent" w:cs="Arabic Transparent" w:hint="cs"/>
          <w:b/>
          <w:bCs/>
          <w:sz w:val="24"/>
          <w:szCs w:val="24"/>
          <w:rtl/>
          <w:lang w:bidi="ar-JO"/>
        </w:rPr>
        <w:t>) تغيرات النقود والأحكام المتعلقة بها في الفقه الإسلامي</w:t>
      </w:r>
      <w:r w:rsidRPr="002273BC">
        <w:rPr>
          <w:rFonts w:ascii="Arabic Transparent" w:hAnsi="Arabic Transparent" w:cs="Arabic Transparent" w:hint="cs"/>
          <w:sz w:val="24"/>
          <w:szCs w:val="24"/>
          <w:rtl/>
          <w:lang w:bidi="ar-JO"/>
        </w:rPr>
        <w:t>، مجلة مجمع الفقه الإسلامي، ع3، ج2، ص1879.</w:t>
      </w:r>
    </w:p>
  </w:footnote>
  <w:footnote w:id="934">
    <w:p w14:paraId="75B465A2" w14:textId="05BD6EB6"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النشمي، عجيل(دت) </w:t>
      </w:r>
      <w:r w:rsidRPr="002273BC">
        <w:rPr>
          <w:rFonts w:ascii="Arabic Transparent" w:hAnsi="Arabic Transparent" w:cs="Arabic Transparent" w:hint="cs"/>
          <w:b/>
          <w:bCs/>
          <w:sz w:val="24"/>
          <w:szCs w:val="24"/>
          <w:rtl/>
          <w:lang w:bidi="ar-JO"/>
        </w:rPr>
        <w:t>تغير قيمة العملة في الفقه الإسلامي</w:t>
      </w:r>
      <w:r w:rsidRPr="002273BC">
        <w:rPr>
          <w:rFonts w:ascii="Arabic Transparent" w:hAnsi="Arabic Transparent" w:cs="Arabic Transparent" w:hint="cs"/>
          <w:sz w:val="24"/>
          <w:szCs w:val="24"/>
          <w:rtl/>
          <w:lang w:bidi="ar-JO"/>
        </w:rPr>
        <w:t xml:space="preserve">، مجلة مجمع الفقه الإسلامي، ع5، ج2، </w:t>
      </w:r>
      <w:r w:rsidR="005E7FE8">
        <w:rPr>
          <w:rFonts w:ascii="Arabic Transparent" w:hAnsi="Arabic Transparent" w:cs="Arabic Transparent" w:hint="cs"/>
          <w:sz w:val="24"/>
          <w:szCs w:val="24"/>
          <w:rtl/>
          <w:lang w:bidi="ar-JO"/>
        </w:rPr>
        <w:t>ص</w:t>
      </w:r>
      <w:r w:rsidRPr="002273BC">
        <w:rPr>
          <w:rFonts w:ascii="Arabic Transparent" w:hAnsi="Arabic Transparent" w:cs="Arabic Transparent" w:hint="cs"/>
          <w:sz w:val="24"/>
          <w:szCs w:val="24"/>
          <w:rtl/>
          <w:lang w:bidi="ar-JO"/>
        </w:rPr>
        <w:t>9729.</w:t>
      </w:r>
    </w:p>
  </w:footnote>
  <w:footnote w:id="935">
    <w:p w14:paraId="24ABF668" w14:textId="77777777" w:rsidR="00201DD5" w:rsidRPr="002273BC" w:rsidRDefault="00201DD5" w:rsidP="00EA3738">
      <w:pPr>
        <w:pStyle w:val="FootnoteText"/>
        <w:spacing w:line="360" w:lineRule="auto"/>
        <w:jc w:val="both"/>
        <w:rPr>
          <w:rFonts w:ascii="Arabic Transparent" w:hAnsi="Arabic Transparent" w:cs="Arabic Transparent"/>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ابن منيع، عبدالله(دت) </w:t>
      </w:r>
      <w:r w:rsidRPr="002273BC">
        <w:rPr>
          <w:rFonts w:ascii="Arabic Transparent" w:hAnsi="Arabic Transparent" w:cs="Arabic Transparent" w:hint="cs"/>
          <w:b/>
          <w:bCs/>
          <w:sz w:val="24"/>
          <w:szCs w:val="24"/>
          <w:rtl/>
          <w:lang w:bidi="ar-JO"/>
        </w:rPr>
        <w:t>موقف الشريعة من ربط الحقوق والالتزامات المؤجلة بمستوى الأسعار</w:t>
      </w:r>
      <w:r w:rsidRPr="002273BC">
        <w:rPr>
          <w:rFonts w:ascii="Arabic Transparent" w:hAnsi="Arabic Transparent" w:cs="Arabic Transparent" w:hint="cs"/>
          <w:sz w:val="24"/>
          <w:szCs w:val="24"/>
          <w:rtl/>
          <w:lang w:bidi="ar-JO"/>
        </w:rPr>
        <w:t>، مجلة مجمع الفقه الإسلامي، ع5، ج2، ص9901.</w:t>
      </w:r>
    </w:p>
  </w:footnote>
  <w:footnote w:id="936">
    <w:p w14:paraId="7418C5AD"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ذهب إلى هذا القول الدكتور محمد الأشقر والدكتور نزيه حماد، الصفحة السابقة، هامش 6/7.</w:t>
      </w:r>
    </w:p>
  </w:footnote>
  <w:footnote w:id="937">
    <w:p w14:paraId="75646C24" w14:textId="0E4F6E50" w:rsidR="00201DD5" w:rsidRPr="002273BC" w:rsidRDefault="00201DD5" w:rsidP="00EA3738">
      <w:pPr>
        <w:pStyle w:val="FootnoteText"/>
        <w:spacing w:line="360" w:lineRule="auto"/>
        <w:jc w:val="both"/>
        <w:rPr>
          <w:rFonts w:ascii="Arabic Transparent" w:hAnsi="Arabic Transparent" w:cs="Arabic Transparent"/>
          <w:sz w:val="24"/>
          <w:szCs w:val="24"/>
          <w:rtl/>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لا عبرة عندهم للتضخم الطبيعي أو اليسير، فلا يثب له، الرد إلا بالمثل. </w:t>
      </w:r>
    </w:p>
  </w:footnote>
  <w:footnote w:id="938">
    <w:p w14:paraId="2895894E" w14:textId="1847BBBF"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ذهب إلى هذا القول مجمع الفقه الإسلامي، والمجلس </w:t>
      </w:r>
      <w:r w:rsidR="00B154EE" w:rsidRPr="002273BC">
        <w:rPr>
          <w:rFonts w:ascii="Arabic Transparent" w:hAnsi="Arabic Transparent" w:cs="Arabic Transparent" w:hint="cs"/>
          <w:sz w:val="24"/>
          <w:szCs w:val="24"/>
          <w:rtl/>
          <w:lang w:bidi="ar-JO"/>
        </w:rPr>
        <w:t>الأوروب</w:t>
      </w:r>
      <w:r w:rsidR="00B154EE" w:rsidRPr="002273BC">
        <w:rPr>
          <w:rFonts w:ascii="Arabic Transparent" w:hAnsi="Arabic Transparent" w:cs="Arabic Transparent" w:hint="eastAsia"/>
          <w:sz w:val="24"/>
          <w:szCs w:val="24"/>
          <w:rtl/>
          <w:lang w:bidi="ar-JO"/>
        </w:rPr>
        <w:t>ي</w:t>
      </w:r>
      <w:r w:rsidRPr="002273BC">
        <w:rPr>
          <w:rFonts w:ascii="Arabic Transparent" w:hAnsi="Arabic Transparent" w:cs="Arabic Transparent" w:hint="cs"/>
          <w:sz w:val="24"/>
          <w:szCs w:val="24"/>
          <w:rtl/>
          <w:lang w:bidi="ar-JO"/>
        </w:rPr>
        <w:t xml:space="preserve"> للإفتاء، والدكتور عصام تلمية، الدكتور عبدالله ابن بيه، والدكتور علي القره داغي، والدكتور عجيل النشمي، انظر الصفحة السابقة</w:t>
      </w:r>
      <w:r w:rsidR="00B154EE" w:rsidRPr="002273BC">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sz w:val="24"/>
          <w:szCs w:val="24"/>
          <w:rtl/>
          <w:lang w:bidi="ar-JO"/>
        </w:rPr>
        <w:t>الهامش رقم: 1/2/3/5/8/4.</w:t>
      </w:r>
    </w:p>
  </w:footnote>
  <w:footnote w:id="939">
    <w:p w14:paraId="0BC1424A"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ذهب إلى هذا القول الدكتور عبدالله المنيع، انظر الصفحة السابقة الهامش رقم 9.</w:t>
      </w:r>
    </w:p>
  </w:footnote>
  <w:footnote w:id="940">
    <w:p w14:paraId="1018D944" w14:textId="050CA4AC"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القره داغي، علي محيي الدين (2020). </w:t>
      </w:r>
      <w:r w:rsidRPr="002273BC">
        <w:rPr>
          <w:rFonts w:ascii="Arabic Transparent" w:hAnsi="Arabic Transparent" w:cs="Arabic Transparent" w:hint="cs"/>
          <w:b/>
          <w:bCs/>
          <w:sz w:val="24"/>
          <w:szCs w:val="24"/>
          <w:rtl/>
          <w:lang w:bidi="ar-JO"/>
        </w:rPr>
        <w:t>"علاج التضخم في النقود الورقية من منظور الفقه الإسلامي"،</w:t>
      </w:r>
      <w:r w:rsidRPr="002273BC">
        <w:rPr>
          <w:rFonts w:ascii="Arabic Transparent" w:hAnsi="Arabic Transparent" w:cs="Arabic Transparent" w:hint="cs"/>
          <w:sz w:val="24"/>
          <w:szCs w:val="24"/>
          <w:rtl/>
          <w:lang w:bidi="ar-JO"/>
        </w:rPr>
        <w:t xml:space="preserve"> موقع المجلس الأوروبي للإفتاء والبحوث، متاح على الرابط: </w:t>
      </w:r>
      <w:hyperlink r:id="rId16" w:history="1">
        <w:r w:rsidR="00503FC7" w:rsidRPr="006A577A">
          <w:rPr>
            <w:rStyle w:val="Hyperlink"/>
            <w:rFonts w:ascii="Arabic Transparent" w:hAnsi="Arabic Transparent" w:cs="Arabic Transparent"/>
            <w:sz w:val="24"/>
            <w:szCs w:val="24"/>
            <w:lang w:bidi="ar-JO"/>
          </w:rPr>
          <w:t>https://www.ecfr.org/blog/</w:t>
        </w:r>
        <w:r w:rsidR="00503FC7" w:rsidRPr="006A577A">
          <w:rPr>
            <w:rStyle w:val="Hyperlink"/>
            <w:rFonts w:ascii="Arabic Transparent" w:hAnsi="Arabic Transparent" w:cs="Arabic Transparent"/>
            <w:sz w:val="24"/>
            <w:szCs w:val="24"/>
            <w:rtl/>
            <w:lang w:bidi="ar-JO"/>
          </w:rPr>
          <w:t>/</w:t>
        </w:r>
      </w:hyperlink>
      <w:r w:rsidR="00503FC7">
        <w:rPr>
          <w:rFonts w:ascii="Arabic Transparent" w:hAnsi="Arabic Transparent" w:cs="Arabic Transparent" w:hint="cs"/>
          <w:sz w:val="24"/>
          <w:szCs w:val="24"/>
          <w:rtl/>
          <w:lang w:bidi="ar-JO"/>
        </w:rPr>
        <w:t>، تاريخ الاطلاع 22/4/ 2026.</w:t>
      </w:r>
    </w:p>
  </w:footnote>
  <w:footnote w:id="941">
    <w:p w14:paraId="2453CB04"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الجويني، </w:t>
      </w:r>
      <w:r w:rsidRPr="002273BC">
        <w:rPr>
          <w:rFonts w:ascii="Arabic Transparent" w:hAnsi="Arabic Transparent" w:cs="Arabic Transparent" w:hint="cs"/>
          <w:b/>
          <w:bCs/>
          <w:sz w:val="24"/>
          <w:szCs w:val="24"/>
          <w:rtl/>
          <w:lang w:bidi="ar-JO"/>
        </w:rPr>
        <w:t>نهاية المطلب في دراية المذهب</w:t>
      </w:r>
      <w:r w:rsidRPr="002273BC">
        <w:rPr>
          <w:rFonts w:ascii="Arabic Transparent" w:hAnsi="Arabic Transparent" w:cs="Arabic Transparent" w:hint="cs"/>
          <w:sz w:val="24"/>
          <w:szCs w:val="24"/>
          <w:rtl/>
          <w:lang w:bidi="ar-JO"/>
        </w:rPr>
        <w:t>، مصدر سابق، ج5، ص70.</w:t>
      </w:r>
    </w:p>
  </w:footnote>
  <w:footnote w:id="942">
    <w:p w14:paraId="3DA00C9B" w14:textId="29653BA6"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00E40BF1">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sz w:val="24"/>
          <w:szCs w:val="24"/>
          <w:rtl/>
          <w:lang w:bidi="ar-JO"/>
        </w:rPr>
        <w:t>مجمع الفقه الإسلامي الدولي "</w:t>
      </w:r>
      <w:r w:rsidRPr="002273BC">
        <w:rPr>
          <w:rFonts w:ascii="Arabic Transparent" w:hAnsi="Arabic Transparent" w:cs="Arabic Transparent" w:hint="cs"/>
          <w:b/>
          <w:bCs/>
          <w:sz w:val="24"/>
          <w:szCs w:val="24"/>
          <w:rtl/>
          <w:lang w:bidi="ar-JO"/>
        </w:rPr>
        <w:t>قرار رقم 42 (5/4) بشأن تغيُّر قيمة العملة</w:t>
      </w:r>
      <w:r w:rsidRPr="002273BC">
        <w:rPr>
          <w:rFonts w:ascii="Arabic Transparent" w:hAnsi="Arabic Transparent" w:cs="Arabic Transparent" w:hint="cs"/>
          <w:sz w:val="24"/>
          <w:szCs w:val="24"/>
          <w:rtl/>
          <w:lang w:bidi="ar-JO"/>
        </w:rPr>
        <w:t>"، مصدر سابق، مجلة المجمع، العدد 5، ج3، ص1609 تاريخ الاطلاع: 17</w:t>
      </w:r>
      <w:r w:rsidR="00503FC7">
        <w:rPr>
          <w:rFonts w:ascii="Arabic Transparent" w:hAnsi="Arabic Transparent" w:cs="Arabic Transparent" w:hint="cs"/>
          <w:sz w:val="24"/>
          <w:szCs w:val="24"/>
          <w:rtl/>
          <w:lang w:bidi="ar-JO"/>
        </w:rPr>
        <w:t>/4/</w:t>
      </w:r>
      <w:r w:rsidRPr="002273BC">
        <w:rPr>
          <w:rFonts w:ascii="Arabic Transparent" w:hAnsi="Arabic Transparent" w:cs="Arabic Transparent" w:hint="cs"/>
          <w:sz w:val="24"/>
          <w:szCs w:val="24"/>
          <w:rtl/>
          <w:lang w:bidi="ar-JO"/>
        </w:rPr>
        <w:t xml:space="preserve">2026، متاح على: </w:t>
      </w:r>
      <w:r w:rsidRPr="002273BC">
        <w:rPr>
          <w:rFonts w:ascii="Arabic Transparent" w:hAnsi="Arabic Transparent" w:cs="Arabic Transparent" w:hint="cs"/>
          <w:sz w:val="24"/>
          <w:szCs w:val="24"/>
          <w:lang w:bidi="ar-JO"/>
        </w:rPr>
        <w:t>https://iifa-aifi.org/ar/1754.html</w:t>
      </w:r>
    </w:p>
  </w:footnote>
  <w:footnote w:id="943">
    <w:p w14:paraId="401059F8" w14:textId="1A16C5ED"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00E40BF1">
        <w:rPr>
          <w:rFonts w:ascii="Arabic Transparent" w:hAnsi="Arabic Transparent" w:cs="Arabic Transparent" w:hint="cs"/>
          <w:sz w:val="24"/>
          <w:szCs w:val="24"/>
          <w:rtl/>
        </w:rPr>
        <w:t xml:space="preserve">انظر: </w:t>
      </w:r>
      <w:r w:rsidRPr="002273BC">
        <w:rPr>
          <w:rFonts w:ascii="Arabic Transparent" w:hAnsi="Arabic Transparent" w:cs="Arabic Transparent" w:hint="cs"/>
          <w:sz w:val="24"/>
          <w:szCs w:val="24"/>
          <w:rtl/>
          <w:lang w:bidi="ar-JO"/>
        </w:rPr>
        <w:t xml:space="preserve">القره داغي، علي محيي الدين </w:t>
      </w:r>
      <w:r w:rsidRPr="002273BC">
        <w:rPr>
          <w:rFonts w:ascii="Arabic Transparent" w:hAnsi="Arabic Transparent" w:cs="Arabic Transparent" w:hint="cs"/>
          <w:b/>
          <w:bCs/>
          <w:sz w:val="24"/>
          <w:szCs w:val="24"/>
          <w:rtl/>
          <w:lang w:bidi="ar-JO"/>
        </w:rPr>
        <w:t xml:space="preserve">"علاج التضخم في النقود الورقية من منظور الفقه الإسلامي"، </w:t>
      </w:r>
      <w:r w:rsidRPr="002273BC">
        <w:rPr>
          <w:rFonts w:ascii="Arabic Transparent" w:hAnsi="Arabic Transparent" w:cs="Arabic Transparent" w:hint="cs"/>
          <w:sz w:val="24"/>
          <w:szCs w:val="24"/>
          <w:rtl/>
          <w:lang w:bidi="ar-JO"/>
        </w:rPr>
        <w:t xml:space="preserve">مصدر سابق، على الرابط: </w:t>
      </w:r>
      <w:r w:rsidRPr="002273BC">
        <w:rPr>
          <w:rFonts w:ascii="Arabic Transparent" w:hAnsi="Arabic Transparent" w:cs="Arabic Transparent" w:hint="cs"/>
          <w:sz w:val="24"/>
          <w:szCs w:val="24"/>
          <w:lang w:bidi="ar-JO"/>
        </w:rPr>
        <w:t>https://www.e-cfr.org/blog/2020/11/28</w:t>
      </w:r>
      <w:r w:rsidRPr="002273BC">
        <w:rPr>
          <w:rFonts w:ascii="Arabic Transparent" w:hAnsi="Arabic Transparent" w:cs="Arabic Transparent" w:hint="cs"/>
          <w:sz w:val="24"/>
          <w:szCs w:val="24"/>
          <w:rtl/>
          <w:lang w:bidi="ar-JO"/>
        </w:rPr>
        <w:t>/علاج-التضخم-في-النقود-الورقية.</w:t>
      </w:r>
    </w:p>
  </w:footnote>
  <w:footnote w:id="944">
    <w:p w14:paraId="4E5859C2" w14:textId="12FA4935"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القري، محمد(1993)، </w:t>
      </w:r>
      <w:r w:rsidRPr="002273BC">
        <w:rPr>
          <w:rFonts w:ascii="Arabic Transparent" w:hAnsi="Arabic Transparent" w:cs="Arabic Transparent" w:hint="cs"/>
          <w:b/>
          <w:bCs/>
          <w:sz w:val="24"/>
          <w:szCs w:val="24"/>
          <w:rtl/>
          <w:lang w:bidi="ar-JO"/>
        </w:rPr>
        <w:t>صور محتملة تتضمن الربط القياسي للأجور، ص219، ندوة قضايا معاصرة في النقود والبنوك رقم (38)،</w:t>
      </w:r>
      <w:r w:rsidRPr="002273BC">
        <w:rPr>
          <w:rFonts w:ascii="Arabic Transparent" w:hAnsi="Arabic Transparent" w:cs="Arabic Transparent" w:hint="cs"/>
          <w:sz w:val="24"/>
          <w:szCs w:val="24"/>
          <w:rtl/>
          <w:lang w:bidi="ar-JO"/>
        </w:rPr>
        <w:t xml:space="preserve"> البنك الإسلامي للتنمية، جدة.</w:t>
      </w:r>
    </w:p>
  </w:footnote>
  <w:footnote w:id="945">
    <w:p w14:paraId="2E783913" w14:textId="45B0F80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00E40BF1">
        <w:rPr>
          <w:rFonts w:ascii="Arabic Transparent" w:hAnsi="Arabic Transparent" w:cs="Arabic Transparent" w:hint="cs"/>
          <w:sz w:val="24"/>
          <w:szCs w:val="24"/>
          <w:rtl/>
        </w:rPr>
        <w:t xml:space="preserve">انظر: </w:t>
      </w:r>
      <w:r w:rsidRPr="002273BC">
        <w:rPr>
          <w:rFonts w:ascii="Arabic Transparent" w:hAnsi="Arabic Transparent" w:cs="Arabic Transparent" w:hint="cs"/>
          <w:sz w:val="24"/>
          <w:szCs w:val="24"/>
          <w:rtl/>
          <w:lang w:bidi="ar-JO"/>
        </w:rPr>
        <w:t xml:space="preserve">المجلس الأوروبي للإفتاء والبحوث، </w:t>
      </w:r>
      <w:r w:rsidRPr="002273BC">
        <w:rPr>
          <w:rFonts w:ascii="Arabic Transparent" w:hAnsi="Arabic Transparent" w:cs="Arabic Transparent" w:hint="cs"/>
          <w:b/>
          <w:bCs/>
          <w:sz w:val="24"/>
          <w:szCs w:val="24"/>
          <w:rtl/>
          <w:lang w:bidi="ar-JO"/>
        </w:rPr>
        <w:t>أثر التضخم في النقود</w:t>
      </w:r>
      <w:r w:rsidRPr="002273BC">
        <w:rPr>
          <w:rFonts w:ascii="Arabic Transparent" w:hAnsi="Arabic Transparent" w:cs="Arabic Transparent" w:hint="cs"/>
          <w:sz w:val="24"/>
          <w:szCs w:val="24"/>
          <w:rtl/>
          <w:lang w:bidi="ar-JO"/>
        </w:rPr>
        <w:t xml:space="preserve">، مصدر سابق، متاح على الرابط: </w:t>
      </w:r>
      <w:hyperlink r:id="rId17" w:history="1">
        <w:r w:rsidRPr="002273BC">
          <w:rPr>
            <w:rStyle w:val="Hyperlink"/>
            <w:rFonts w:ascii="Arabic Transparent" w:hAnsi="Arabic Transparent" w:cs="Arabic Transparent" w:hint="cs"/>
            <w:sz w:val="24"/>
            <w:szCs w:val="24"/>
            <w:lang w:bidi="ar-JO"/>
          </w:rPr>
          <w:t>https://www.e-cfr.org/blog/2018/11/07</w:t>
        </w:r>
        <w:r w:rsidRPr="002273BC">
          <w:rPr>
            <w:rStyle w:val="Hyperlink"/>
            <w:rFonts w:ascii="Arabic Transparent" w:hAnsi="Arabic Transparent" w:cs="Arabic Transparent" w:hint="cs"/>
            <w:sz w:val="24"/>
            <w:szCs w:val="24"/>
            <w:rtl/>
            <w:lang w:bidi="ar-JO"/>
          </w:rPr>
          <w:t>/</w:t>
        </w:r>
      </w:hyperlink>
      <w:r w:rsidRPr="002273BC">
        <w:rPr>
          <w:rFonts w:ascii="Arabic Transparent" w:hAnsi="Arabic Transparent" w:cs="Arabic Transparent" w:hint="cs"/>
          <w:sz w:val="24"/>
          <w:szCs w:val="24"/>
          <w:rtl/>
          <w:lang w:bidi="ar-JO"/>
        </w:rPr>
        <w:t xml:space="preserve"> </w:t>
      </w:r>
      <w:r w:rsidR="00E40BF1">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sz w:val="24"/>
          <w:szCs w:val="24"/>
          <w:rtl/>
          <w:lang w:bidi="ar-JO"/>
        </w:rPr>
        <w:t>تاريخ الاطلاع: 16</w:t>
      </w:r>
      <w:r w:rsidR="00E40BF1">
        <w:rPr>
          <w:rFonts w:ascii="Arabic Transparent" w:hAnsi="Arabic Transparent" w:cs="Arabic Transparent" w:hint="cs"/>
          <w:sz w:val="24"/>
          <w:szCs w:val="24"/>
          <w:rtl/>
          <w:lang w:bidi="ar-JO"/>
        </w:rPr>
        <w:t>/3/</w:t>
      </w:r>
      <w:r w:rsidRPr="002273BC">
        <w:rPr>
          <w:rFonts w:ascii="Arabic Transparent" w:hAnsi="Arabic Transparent" w:cs="Arabic Transparent" w:hint="cs"/>
          <w:sz w:val="24"/>
          <w:szCs w:val="24"/>
          <w:rtl/>
          <w:lang w:bidi="ar-JO"/>
        </w:rPr>
        <w:t xml:space="preserve"> 2026م.</w:t>
      </w:r>
    </w:p>
  </w:footnote>
  <w:footnote w:id="946">
    <w:p w14:paraId="55326053"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انظر: مجمع الفقه الإسلامي الدولي </w:t>
      </w:r>
      <w:r w:rsidRPr="002273BC">
        <w:rPr>
          <w:rFonts w:ascii="Arabic Transparent" w:hAnsi="Arabic Transparent" w:cs="Arabic Transparent" w:hint="cs"/>
          <w:b/>
          <w:bCs/>
          <w:sz w:val="24"/>
          <w:szCs w:val="24"/>
          <w:rtl/>
          <w:lang w:bidi="ar-JO"/>
        </w:rPr>
        <w:t>"قرار رقم 42 (5/4) بشأن تغيُّر قيمة العملة</w:t>
      </w:r>
      <w:r w:rsidRPr="002273BC">
        <w:rPr>
          <w:rFonts w:ascii="Arabic Transparent" w:hAnsi="Arabic Transparent" w:cs="Arabic Transparent" w:hint="cs"/>
          <w:sz w:val="24"/>
          <w:szCs w:val="24"/>
          <w:rtl/>
          <w:lang w:bidi="ar-JO"/>
        </w:rPr>
        <w:t xml:space="preserve">"، مصدر سابق، مجلة المجمع، العدد 5، ج3، ص1609 </w:t>
      </w:r>
    </w:p>
  </w:footnote>
  <w:footnote w:id="947">
    <w:p w14:paraId="08A62281" w14:textId="5980018C"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00E40BF1">
        <w:rPr>
          <w:rFonts w:ascii="Arabic Transparent" w:hAnsi="Arabic Transparent" w:cs="Arabic Transparent" w:hint="cs"/>
          <w:sz w:val="24"/>
          <w:szCs w:val="24"/>
          <w:rtl/>
        </w:rPr>
        <w:t xml:space="preserve">انظر: </w:t>
      </w:r>
      <w:r w:rsidRPr="002273BC">
        <w:rPr>
          <w:rFonts w:ascii="Arabic Transparent" w:hAnsi="Arabic Transparent" w:cs="Arabic Transparent" w:hint="cs"/>
          <w:sz w:val="24"/>
          <w:szCs w:val="24"/>
          <w:rtl/>
          <w:lang w:bidi="ar-JO"/>
        </w:rPr>
        <w:t xml:space="preserve">تليمة، </w:t>
      </w:r>
      <w:r w:rsidRPr="002273BC">
        <w:rPr>
          <w:rFonts w:ascii="Arabic Transparent" w:hAnsi="Arabic Transparent" w:cs="Arabic Transparent" w:hint="cs"/>
          <w:b/>
          <w:bCs/>
          <w:sz w:val="24"/>
          <w:szCs w:val="24"/>
          <w:rtl/>
          <w:lang w:bidi="ar-JO"/>
        </w:rPr>
        <w:t>"كيفية سداد الحقوق المالية عند التضخم"</w:t>
      </w:r>
      <w:r w:rsidRPr="002273BC">
        <w:rPr>
          <w:rFonts w:ascii="Arabic Transparent" w:hAnsi="Arabic Transparent" w:cs="Arabic Transparent" w:hint="cs"/>
          <w:sz w:val="24"/>
          <w:szCs w:val="24"/>
          <w:rtl/>
          <w:lang w:bidi="ar-JO"/>
        </w:rPr>
        <w:t xml:space="preserve">، مصدر سابق، متاح على الرابط: </w:t>
      </w:r>
      <w:hyperlink r:id="rId18" w:history="1">
        <w:r w:rsidR="00E40BF1" w:rsidRPr="006A577A">
          <w:rPr>
            <w:rStyle w:val="Hyperlink"/>
            <w:rFonts w:ascii="Arabic Transparent" w:hAnsi="Arabic Transparent" w:cs="Arabic Transparent"/>
            <w:sz w:val="24"/>
            <w:szCs w:val="24"/>
            <w:lang w:bidi="ar-JO"/>
          </w:rPr>
          <w:t>https://iumsonline.org/ar/ContentDetails.aspx?ID=32061</w:t>
        </w:r>
      </w:hyperlink>
      <w:r w:rsidR="00E40BF1">
        <w:rPr>
          <w:rFonts w:ascii="Arabic Transparent" w:hAnsi="Arabic Transparent" w:cs="Arabic Transparent" w:hint="cs"/>
          <w:sz w:val="24"/>
          <w:szCs w:val="24"/>
          <w:rtl/>
          <w:lang w:bidi="ar-JO"/>
        </w:rPr>
        <w:t>، تاريخ الاطلاع: 3/ 7/ 2024.</w:t>
      </w:r>
    </w:p>
  </w:footnote>
  <w:footnote w:id="948">
    <w:p w14:paraId="688653E0" w14:textId="56C8E1FD"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00E40BF1">
        <w:rPr>
          <w:rFonts w:ascii="Arabic Transparent" w:hAnsi="Arabic Transparent" w:cs="Arabic Transparent" w:hint="cs"/>
          <w:sz w:val="24"/>
          <w:szCs w:val="24"/>
          <w:rtl/>
        </w:rPr>
        <w:t xml:space="preserve">انظر: </w:t>
      </w:r>
      <w:r w:rsidRPr="002273BC">
        <w:rPr>
          <w:rFonts w:ascii="Arabic Transparent" w:hAnsi="Arabic Transparent" w:cs="Arabic Transparent" w:hint="cs"/>
          <w:sz w:val="24"/>
          <w:szCs w:val="24"/>
          <w:rtl/>
          <w:lang w:bidi="ar-JO"/>
        </w:rPr>
        <w:t xml:space="preserve">البقمي، صالح، (1993) </w:t>
      </w:r>
      <w:r w:rsidRPr="002273BC">
        <w:rPr>
          <w:rFonts w:ascii="Arabic Transparent" w:hAnsi="Arabic Transparent" w:cs="Arabic Transparent" w:hint="cs"/>
          <w:b/>
          <w:bCs/>
          <w:sz w:val="24"/>
          <w:szCs w:val="24"/>
          <w:rtl/>
          <w:lang w:bidi="ar-JO"/>
        </w:rPr>
        <w:t>حسن وفاء الديون وعلاقته بالربط بتغير المستوى العام للأسعار</w:t>
      </w:r>
      <w:r w:rsidRPr="002273BC">
        <w:rPr>
          <w:rFonts w:ascii="Arabic Transparent" w:hAnsi="Arabic Transparent" w:cs="Arabic Transparent" w:hint="cs"/>
          <w:sz w:val="24"/>
          <w:szCs w:val="24"/>
          <w:rtl/>
          <w:lang w:bidi="ar-JO"/>
        </w:rPr>
        <w:t>، بحث منشور في مجلة مجمع الفقه الإسلامي، ع8، ج8، ص1512، منظمة المؤتمر الإسلامي- جدة.</w:t>
      </w:r>
    </w:p>
  </w:footnote>
  <w:footnote w:id="949">
    <w:p w14:paraId="044CAE3E" w14:textId="01007236"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00E40BF1">
        <w:rPr>
          <w:rFonts w:ascii="Arabic Transparent" w:hAnsi="Arabic Transparent" w:cs="Arabic Transparent" w:hint="cs"/>
          <w:sz w:val="24"/>
          <w:szCs w:val="24"/>
          <w:rtl/>
          <w:lang w:bidi="ar-JO"/>
        </w:rPr>
        <w:t xml:space="preserve">انظر: </w:t>
      </w:r>
      <w:r w:rsidRPr="002273BC">
        <w:rPr>
          <w:rFonts w:ascii="Arabic Transparent" w:hAnsi="Arabic Transparent" w:cs="Arabic Transparent" w:hint="cs"/>
          <w:sz w:val="24"/>
          <w:szCs w:val="24"/>
          <w:rtl/>
          <w:lang w:bidi="ar-JO"/>
        </w:rPr>
        <w:t xml:space="preserve">الجويني، </w:t>
      </w:r>
      <w:r w:rsidRPr="002273BC">
        <w:rPr>
          <w:rFonts w:ascii="Arabic Transparent" w:hAnsi="Arabic Transparent" w:cs="Arabic Transparent" w:hint="cs"/>
          <w:b/>
          <w:bCs/>
          <w:sz w:val="24"/>
          <w:szCs w:val="24"/>
          <w:rtl/>
          <w:lang w:bidi="ar-JO"/>
        </w:rPr>
        <w:t>نهاية المطلب في دراية المذهب،</w:t>
      </w:r>
      <w:r w:rsidRPr="002273BC">
        <w:rPr>
          <w:rFonts w:ascii="Arabic Transparent" w:hAnsi="Arabic Transparent" w:cs="Arabic Transparent" w:hint="cs"/>
          <w:sz w:val="24"/>
          <w:szCs w:val="24"/>
          <w:rtl/>
          <w:lang w:bidi="ar-JO"/>
        </w:rPr>
        <w:t xml:space="preserve"> مصدر سابق، ج5، ص70.</w:t>
      </w:r>
    </w:p>
  </w:footnote>
  <w:footnote w:id="950">
    <w:p w14:paraId="0CC5294A"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ابن نجيم، </w:t>
      </w:r>
      <w:r w:rsidRPr="002273BC">
        <w:rPr>
          <w:rFonts w:ascii="Arabic Transparent" w:hAnsi="Arabic Transparent" w:cs="Arabic Transparent" w:hint="cs"/>
          <w:b/>
          <w:bCs/>
          <w:sz w:val="24"/>
          <w:szCs w:val="24"/>
          <w:rtl/>
          <w:lang w:bidi="ar-JO"/>
        </w:rPr>
        <w:t>الأشباه والنظائر</w:t>
      </w:r>
      <w:r w:rsidRPr="002273BC">
        <w:rPr>
          <w:rFonts w:ascii="Arabic Transparent" w:hAnsi="Arabic Transparent" w:cs="Arabic Transparent" w:hint="cs"/>
          <w:sz w:val="24"/>
          <w:szCs w:val="24"/>
          <w:rtl/>
          <w:lang w:bidi="ar-JO"/>
        </w:rPr>
        <w:t>، مصدر سابق، ص72.</w:t>
      </w:r>
    </w:p>
  </w:footnote>
  <w:footnote w:id="951">
    <w:p w14:paraId="02CDA82B" w14:textId="4D496D41"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القره داغي، </w:t>
      </w:r>
      <w:r w:rsidRPr="002273BC">
        <w:rPr>
          <w:rFonts w:ascii="Arabic Transparent" w:hAnsi="Arabic Transparent" w:cs="Arabic Transparent" w:hint="cs"/>
          <w:b/>
          <w:bCs/>
          <w:sz w:val="24"/>
          <w:szCs w:val="24"/>
          <w:rtl/>
          <w:lang w:bidi="ar-JO"/>
        </w:rPr>
        <w:t>"علاج التضخم في النقود الورقية من منظور الفقه الإسلامي</w:t>
      </w:r>
      <w:r w:rsidRPr="002273BC">
        <w:rPr>
          <w:rFonts w:ascii="Arabic Transparent" w:hAnsi="Arabic Transparent" w:cs="Arabic Transparent" w:hint="cs"/>
          <w:sz w:val="24"/>
          <w:szCs w:val="24"/>
          <w:rtl/>
          <w:lang w:bidi="ar-JO"/>
        </w:rPr>
        <w:t>"، مصدر سابق</w:t>
      </w:r>
      <w:r w:rsidR="005D7B91" w:rsidRPr="002273BC">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sz w:val="24"/>
          <w:szCs w:val="24"/>
          <w:rtl/>
          <w:lang w:bidi="ar-JO"/>
        </w:rPr>
        <w:t xml:space="preserve">متاح على الرابط: </w:t>
      </w:r>
      <w:r w:rsidRPr="002273BC">
        <w:rPr>
          <w:rFonts w:ascii="Arabic Transparent" w:hAnsi="Arabic Transparent" w:cs="Arabic Transparent" w:hint="cs"/>
          <w:sz w:val="24"/>
          <w:szCs w:val="24"/>
          <w:lang w:bidi="ar-JO"/>
        </w:rPr>
        <w:t>https://www.e-cfr.org/blog/2020/11/28</w:t>
      </w:r>
      <w:r w:rsidRPr="002273BC">
        <w:rPr>
          <w:rFonts w:ascii="Arabic Transparent" w:hAnsi="Arabic Transparent" w:cs="Arabic Transparent" w:hint="cs"/>
          <w:sz w:val="24"/>
          <w:szCs w:val="24"/>
          <w:rtl/>
          <w:lang w:bidi="ar-JO"/>
        </w:rPr>
        <w:t>/</w:t>
      </w:r>
    </w:p>
  </w:footnote>
  <w:footnote w:id="952">
    <w:p w14:paraId="26B93A83"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sz w:val="24"/>
          <w:szCs w:val="24"/>
        </w:rPr>
        <w:t xml:space="preserve"> </w:t>
      </w: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lang w:bidi="ar-JO"/>
        </w:rPr>
        <w:t xml:space="preserve">انظر: </w:t>
      </w:r>
      <w:r w:rsidRPr="002273BC">
        <w:rPr>
          <w:rFonts w:ascii="Arabic Transparent" w:hAnsi="Arabic Transparent" w:cs="Arabic Transparent"/>
          <w:sz w:val="24"/>
          <w:szCs w:val="24"/>
          <w:rtl/>
          <w:lang w:bidi="ar-JO"/>
        </w:rPr>
        <w:t>تليمة، "</w:t>
      </w:r>
      <w:r w:rsidRPr="005E7FE8">
        <w:rPr>
          <w:rFonts w:ascii="Arabic Transparent" w:hAnsi="Arabic Transparent" w:cs="Arabic Transparent"/>
          <w:b/>
          <w:bCs/>
          <w:sz w:val="24"/>
          <w:szCs w:val="24"/>
          <w:rtl/>
          <w:lang w:bidi="ar-JO"/>
        </w:rPr>
        <w:t>كيفية سداد الحقوق المالية عند التضخم</w:t>
      </w:r>
      <w:r w:rsidRPr="002273BC">
        <w:rPr>
          <w:rFonts w:ascii="Arabic Transparent" w:hAnsi="Arabic Transparent" w:cs="Arabic Transparent"/>
          <w:sz w:val="24"/>
          <w:szCs w:val="24"/>
          <w:rtl/>
          <w:lang w:bidi="ar-JO"/>
        </w:rPr>
        <w:t xml:space="preserve">"، مصدر سابق، متاح على الرابط: </w:t>
      </w:r>
      <w:r w:rsidRPr="002273BC">
        <w:rPr>
          <w:rFonts w:ascii="Arabic Transparent" w:hAnsi="Arabic Transparent" w:cs="Arabic Transparent"/>
          <w:sz w:val="24"/>
          <w:szCs w:val="24"/>
          <w:lang w:bidi="ar-JO"/>
        </w:rPr>
        <w:t>https://iumsonline.org/ar/ContentDetails.aspx?ID=32061</w:t>
      </w:r>
    </w:p>
  </w:footnote>
  <w:footnote w:id="953">
    <w:p w14:paraId="2B06729C"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lang w:bidi="ar-JO"/>
        </w:rPr>
        <w:t xml:space="preserve"> ابن عربي، </w:t>
      </w:r>
      <w:r w:rsidRPr="002273BC">
        <w:rPr>
          <w:rFonts w:ascii="Arabic Transparent" w:hAnsi="Arabic Transparent" w:cs="Arabic Transparent" w:hint="cs"/>
          <w:b/>
          <w:bCs/>
          <w:sz w:val="24"/>
          <w:szCs w:val="24"/>
          <w:rtl/>
          <w:lang w:bidi="ar-JO"/>
        </w:rPr>
        <w:t>أحكام القرآن،</w:t>
      </w:r>
      <w:r w:rsidRPr="002273BC">
        <w:rPr>
          <w:rFonts w:ascii="Arabic Transparent" w:hAnsi="Arabic Transparent" w:cs="Arabic Transparent" w:hint="cs"/>
          <w:sz w:val="24"/>
          <w:szCs w:val="24"/>
          <w:rtl/>
          <w:lang w:bidi="ar-JO"/>
        </w:rPr>
        <w:t xml:space="preserve"> مصدر سابق، ج4، ص1804.</w:t>
      </w:r>
    </w:p>
  </w:footnote>
  <w:footnote w:id="954">
    <w:p w14:paraId="31678BF0" w14:textId="4074AA03" w:rsidR="00201DD5" w:rsidRPr="002273BC" w:rsidRDefault="00201DD5" w:rsidP="00EA3738">
      <w:pPr>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007E5C97">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المجمع الفقهي الإسلامي التابع لرابطة العالم الإسلامي (1982)، </w:t>
      </w:r>
      <w:r w:rsidRPr="002273BC">
        <w:rPr>
          <w:rFonts w:ascii="Arabic Transparent" w:hAnsi="Arabic Transparent" w:cs="Arabic Transparent" w:hint="cs"/>
          <w:b/>
          <w:bCs/>
          <w:sz w:val="24"/>
          <w:szCs w:val="24"/>
          <w:rtl/>
          <w:lang w:bidi="ar-JO"/>
        </w:rPr>
        <w:t>قرار رقم (7) بشأن الظروف الطارئة وتأثيرها في الحقوق والالتزامات العقدية،</w:t>
      </w:r>
      <w:r w:rsidRPr="002273BC">
        <w:rPr>
          <w:rFonts w:ascii="Arabic Transparent" w:hAnsi="Arabic Transparent" w:cs="Arabic Transparent" w:hint="cs"/>
          <w:sz w:val="24"/>
          <w:szCs w:val="24"/>
          <w:rtl/>
          <w:lang w:bidi="ar-JO"/>
        </w:rPr>
        <w:t xml:space="preserve"> مصدر سابق، رابطة العالم الإسلامي، مكة المكرمة.</w:t>
      </w:r>
    </w:p>
  </w:footnote>
  <w:footnote w:id="955">
    <w:p w14:paraId="6C7031AE"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انظر: ابن هادي، </w:t>
      </w:r>
      <w:r w:rsidRPr="002273BC">
        <w:rPr>
          <w:rFonts w:ascii="Arabic Transparent" w:hAnsi="Arabic Transparent" w:cs="Arabic Transparent" w:hint="cs"/>
          <w:b/>
          <w:bCs/>
          <w:sz w:val="24"/>
          <w:szCs w:val="24"/>
          <w:rtl/>
          <w:lang w:bidi="ar-JO"/>
        </w:rPr>
        <w:t>أصول ضبط المعاملات المعاصر</w:t>
      </w:r>
      <w:r w:rsidRPr="002273BC">
        <w:rPr>
          <w:rFonts w:ascii="Arabic Transparent" w:hAnsi="Arabic Transparent" w:cs="Arabic Transparent" w:hint="cs"/>
          <w:sz w:val="24"/>
          <w:szCs w:val="24"/>
          <w:rtl/>
          <w:lang w:bidi="ar-JO"/>
        </w:rPr>
        <w:t>، مصدر سابق، ص353- 354.</w:t>
      </w:r>
    </w:p>
  </w:footnote>
  <w:footnote w:id="956">
    <w:p w14:paraId="272EC298" w14:textId="77777777" w:rsidR="00201DD5" w:rsidRPr="002273BC" w:rsidRDefault="00201DD5" w:rsidP="00EA3738">
      <w:pPr>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صالح، أيمن. (2021). </w:t>
      </w:r>
      <w:r w:rsidRPr="002273BC">
        <w:rPr>
          <w:rFonts w:ascii="Arabic Transparent" w:hAnsi="Arabic Transparent" w:cs="Arabic Transparent" w:hint="cs"/>
          <w:b/>
          <w:bCs/>
          <w:sz w:val="24"/>
          <w:szCs w:val="24"/>
          <w:rtl/>
          <w:lang w:bidi="ar-JO"/>
        </w:rPr>
        <w:t>واقع العملات الرقمية، سلسلة صندوق النقد العربي</w:t>
      </w:r>
      <w:r w:rsidRPr="002273BC">
        <w:rPr>
          <w:rFonts w:ascii="Arabic Transparent" w:hAnsi="Arabic Transparent" w:cs="Arabic Transparent" w:hint="cs"/>
          <w:sz w:val="24"/>
          <w:szCs w:val="24"/>
          <w:rtl/>
          <w:lang w:bidi="ar-JO"/>
        </w:rPr>
        <w:t>، العدد 10، ص12، أبوظبي: صندوق النقد العربي، الإمارات العربية المتحدة.</w:t>
      </w:r>
    </w:p>
  </w:footnote>
  <w:footnote w:id="957">
    <w:p w14:paraId="47EC07BA"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المصدر السابق ذاته، ص13.</w:t>
      </w:r>
    </w:p>
  </w:footnote>
  <w:footnote w:id="958">
    <w:p w14:paraId="44F1417D"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تختلف كلياً عن العملات الالكترونية، فالأخيرة تحظى بطابع قانوني وتصدر عن البنك الإلكتروني الذي له كيان حقيقي والذي يجري التسويات والمعاملات وسداد الديون من النقود الورقية الحقيقية، بيد أن الرقمية هي عملة متداولة في العالم الافتراضي والتي لا تخضع لقواعد وأحكام العملة الإلكترونية أو الورقية، انظر: النجار، أحمد هشام قاسم. (2019). </w:t>
      </w:r>
      <w:r w:rsidRPr="002273BC">
        <w:rPr>
          <w:rFonts w:ascii="Arabic Transparent" w:hAnsi="Arabic Transparent" w:cs="Arabic Transparent" w:hint="cs"/>
          <w:b/>
          <w:bCs/>
          <w:sz w:val="24"/>
          <w:szCs w:val="24"/>
          <w:rtl/>
          <w:lang w:bidi="ar-JO"/>
        </w:rPr>
        <w:t>العملات الافتراضية المشفرة: دراسة اقتصادية شرعية محاسبية</w:t>
      </w:r>
      <w:r w:rsidRPr="002273BC">
        <w:rPr>
          <w:rFonts w:ascii="Arabic Transparent" w:hAnsi="Arabic Transparent" w:cs="Arabic Transparent" w:hint="cs"/>
          <w:sz w:val="24"/>
          <w:szCs w:val="24"/>
          <w:rtl/>
          <w:lang w:bidi="ar-JO"/>
        </w:rPr>
        <w:t>. ط1، ص22، عمان: دار النفائس للنشر والتوزيع، الأردن.</w:t>
      </w:r>
    </w:p>
  </w:footnote>
  <w:footnote w:id="959">
    <w:p w14:paraId="766A26DB"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انظر: </w:t>
      </w:r>
      <w:r w:rsidRPr="002273BC">
        <w:rPr>
          <w:rFonts w:ascii="Arabic Transparent" w:hAnsi="Arabic Transparent" w:cs="Arabic Transparent" w:hint="cs"/>
          <w:sz w:val="24"/>
          <w:szCs w:val="24"/>
          <w:rtl/>
          <w:lang w:bidi="ar-JO"/>
        </w:rPr>
        <w:t>المصدر السابق نفسه، ص22.</w:t>
      </w:r>
    </w:p>
  </w:footnote>
  <w:footnote w:id="960">
    <w:p w14:paraId="6161A694" w14:textId="77777777" w:rsidR="00201DD5" w:rsidRPr="002273BC" w:rsidRDefault="00201DD5" w:rsidP="00EA3738">
      <w:pPr>
        <w:pStyle w:val="FootnoteText"/>
        <w:spacing w:line="360" w:lineRule="auto"/>
        <w:jc w:val="both"/>
        <w:rPr>
          <w:rFonts w:ascii="Arabic Transparent" w:hAnsi="Arabic Transparent" w:cs="Arabic Transparent"/>
          <w:b/>
          <w:bCs/>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انظر: هارفارد بزنس ريفيو العربية. (2023). </w:t>
      </w:r>
      <w:r w:rsidRPr="002273BC">
        <w:rPr>
          <w:rFonts w:ascii="Arabic Transparent" w:hAnsi="Arabic Transparent" w:cs="Arabic Transparent" w:hint="cs"/>
          <w:b/>
          <w:bCs/>
          <w:sz w:val="24"/>
          <w:szCs w:val="24"/>
          <w:rtl/>
          <w:lang w:bidi="ar-JO"/>
        </w:rPr>
        <w:t>"تعدين العملات المشفرة (</w:t>
      </w:r>
      <w:r w:rsidRPr="002273BC">
        <w:rPr>
          <w:rFonts w:ascii="Arabic Transparent" w:hAnsi="Arabic Transparent" w:cs="Arabic Transparent" w:hint="cs"/>
          <w:b/>
          <w:bCs/>
          <w:sz w:val="24"/>
          <w:szCs w:val="24"/>
          <w:lang w:bidi="ar-JO"/>
        </w:rPr>
        <w:t>Mining Cryptocurrency</w:t>
      </w:r>
      <w:r w:rsidRPr="002273BC">
        <w:rPr>
          <w:rFonts w:ascii="Arabic Transparent" w:hAnsi="Arabic Transparent" w:cs="Arabic Transparent" w:hint="cs"/>
          <w:b/>
          <w:bCs/>
          <w:sz w:val="24"/>
          <w:szCs w:val="24"/>
          <w:rtl/>
          <w:lang w:bidi="ar-JO"/>
        </w:rPr>
        <w:t>)".</w:t>
      </w:r>
      <w:r w:rsidRPr="002273BC">
        <w:rPr>
          <w:rFonts w:ascii="Arabic Transparent" w:hAnsi="Arabic Transparent" w:cs="Arabic Transparent" w:hint="cs"/>
          <w:sz w:val="24"/>
          <w:szCs w:val="24"/>
          <w:rtl/>
          <w:lang w:bidi="ar-JO"/>
        </w:rPr>
        <w:t xml:space="preserve"> هارفارد بزنس ريفيو العربية. 31 مايو 2023م. متاح على: </w:t>
      </w:r>
      <w:r w:rsidRPr="002273BC">
        <w:rPr>
          <w:rFonts w:ascii="Arabic Transparent" w:hAnsi="Arabic Transparent" w:cs="Arabic Transparent" w:hint="cs"/>
          <w:sz w:val="24"/>
          <w:szCs w:val="24"/>
          <w:lang w:bidi="ar-JO"/>
        </w:rPr>
        <w:t>https://hbrarabic.com</w:t>
      </w:r>
      <w:r w:rsidRPr="002273BC">
        <w:rPr>
          <w:rFonts w:ascii="Arabic Transparent" w:hAnsi="Arabic Transparent" w:cs="Arabic Transparent" w:hint="cs"/>
          <w:sz w:val="24"/>
          <w:szCs w:val="24"/>
          <w:rtl/>
          <w:lang w:bidi="ar-JO"/>
        </w:rPr>
        <w:t>/المفاهيم-الإدارية/تعدين-العملات-المشفرة.</w:t>
      </w:r>
    </w:p>
  </w:footnote>
  <w:footnote w:id="961">
    <w:p w14:paraId="7A4061E4"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الهيئة العامة للشؤون الإسلامية والأوقاف - الإمارات العربية المتحدة. (2021). </w:t>
      </w:r>
      <w:r w:rsidRPr="002273BC">
        <w:rPr>
          <w:rFonts w:ascii="Arabic Transparent" w:hAnsi="Arabic Transparent" w:cs="Arabic Transparent" w:hint="cs"/>
          <w:b/>
          <w:bCs/>
          <w:sz w:val="24"/>
          <w:szCs w:val="24"/>
          <w:rtl/>
          <w:lang w:bidi="ar-JO"/>
        </w:rPr>
        <w:t>فتوى بجواز المتاجرة بالعملات الرقمية الافتراضية</w:t>
      </w:r>
      <w:r w:rsidRPr="002273BC">
        <w:rPr>
          <w:rFonts w:ascii="Arabic Transparent" w:hAnsi="Arabic Transparent" w:cs="Arabic Transparent" w:hint="cs"/>
          <w:sz w:val="24"/>
          <w:szCs w:val="24"/>
          <w:rtl/>
          <w:lang w:bidi="ar-JO"/>
        </w:rPr>
        <w:t xml:space="preserve"> متاح على: </w:t>
      </w:r>
      <w:r w:rsidRPr="002273BC">
        <w:rPr>
          <w:rFonts w:ascii="Arabic Transparent" w:hAnsi="Arabic Transparent" w:cs="Arabic Transparent" w:hint="cs"/>
          <w:sz w:val="24"/>
          <w:szCs w:val="24"/>
          <w:lang w:bidi="ar-JO"/>
        </w:rPr>
        <w:t>https://www.bbc.com/arabic/business-63234456</w:t>
      </w:r>
    </w:p>
  </w:footnote>
  <w:footnote w:id="962">
    <w:p w14:paraId="12F857C6" w14:textId="5A65FF72"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الاتحاد العالمي لعلماء المسلمين - لجنة الاجتهاد والفتوى. (2022). </w:t>
      </w:r>
      <w:r w:rsidRPr="002273BC">
        <w:rPr>
          <w:rFonts w:ascii="Arabic Transparent" w:hAnsi="Arabic Transparent" w:cs="Arabic Transparent" w:hint="cs"/>
          <w:b/>
          <w:bCs/>
          <w:sz w:val="24"/>
          <w:szCs w:val="24"/>
          <w:rtl/>
          <w:lang w:bidi="ar-JO"/>
        </w:rPr>
        <w:t>القرار رقم (1) بشأن التعامل بعملة البيتكوين والعملات الرقمية،</w:t>
      </w:r>
      <w:r w:rsidRPr="002273BC">
        <w:rPr>
          <w:rFonts w:ascii="Arabic Transparent" w:hAnsi="Arabic Transparent" w:cs="Arabic Transparent" w:hint="cs"/>
          <w:sz w:val="24"/>
          <w:szCs w:val="24"/>
          <w:rtl/>
          <w:lang w:bidi="ar-JO"/>
        </w:rPr>
        <w:t xml:space="preserve"> الدوحة: الاتحاد العالمي لعلماء المسلمين. متاح على: </w:t>
      </w:r>
      <w:r w:rsidRPr="002273BC">
        <w:rPr>
          <w:rFonts w:ascii="Arabic Transparent" w:hAnsi="Arabic Transparent" w:cs="Arabic Transparent" w:hint="cs"/>
          <w:sz w:val="24"/>
          <w:szCs w:val="24"/>
          <w:lang w:bidi="ar-JO"/>
        </w:rPr>
        <w:t>https://iumsonline.org/ar/ContentDetails.aspx?ID=26607</w:t>
      </w:r>
    </w:p>
  </w:footnote>
  <w:footnote w:id="963">
    <w:p w14:paraId="5C4C08CA"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مشوقة، حمزة (2021) </w:t>
      </w:r>
      <w:r w:rsidRPr="002273BC">
        <w:rPr>
          <w:rFonts w:ascii="Arabic Transparent" w:hAnsi="Arabic Transparent" w:cs="Arabic Transparent" w:hint="cs"/>
          <w:b/>
          <w:bCs/>
          <w:sz w:val="24"/>
          <w:szCs w:val="24"/>
          <w:rtl/>
          <w:lang w:bidi="ar-JO"/>
        </w:rPr>
        <w:t>النقود الرقمية من منظور اقتصادي إسلامي، البتكوين أنموذجاً</w:t>
      </w:r>
      <w:r w:rsidRPr="002273BC">
        <w:rPr>
          <w:rFonts w:ascii="Arabic Transparent" w:hAnsi="Arabic Transparent" w:cs="Arabic Transparent" w:hint="cs"/>
          <w:sz w:val="24"/>
          <w:szCs w:val="24"/>
          <w:rtl/>
          <w:lang w:bidi="ar-JO"/>
        </w:rPr>
        <w:t xml:space="preserve">، ص22، بحث منشور في مجلة دائرة الإفتاء الأردنية، للاطلاع على الرابط: </w:t>
      </w:r>
      <w:r w:rsidRPr="002273BC">
        <w:rPr>
          <w:rFonts w:ascii="Arabic Transparent" w:hAnsi="Arabic Transparent" w:cs="Arabic Transparent"/>
          <w:sz w:val="24"/>
          <w:szCs w:val="24"/>
          <w:lang w:bidi="ar-JO"/>
        </w:rPr>
        <w:t>https://www.aliftaa.jo/Research/231</w:t>
      </w:r>
      <w:r w:rsidRPr="002273BC">
        <w:rPr>
          <w:rFonts w:ascii="Arabic Transparent" w:hAnsi="Arabic Transparent" w:cs="Arabic Transparent" w:hint="cs"/>
          <w:sz w:val="24"/>
          <w:szCs w:val="24"/>
          <w:rtl/>
          <w:lang w:bidi="ar-JO"/>
        </w:rPr>
        <w:t xml:space="preserve"> بتاريخ الزيارة: 3/3/2026.</w:t>
      </w:r>
    </w:p>
  </w:footnote>
  <w:footnote w:id="964">
    <w:p w14:paraId="6BFA209F"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بيومي، عبد الناصر حمدان. </w:t>
      </w:r>
      <w:r w:rsidRPr="002273BC">
        <w:rPr>
          <w:rFonts w:ascii="Arabic Transparent" w:hAnsi="Arabic Transparent" w:cs="Arabic Transparent" w:hint="cs"/>
          <w:b/>
          <w:bCs/>
          <w:sz w:val="24"/>
          <w:szCs w:val="24"/>
          <w:rtl/>
          <w:lang w:bidi="ar-JO"/>
        </w:rPr>
        <w:t>"العملات الرقمية المشفرة في ضوء عقود المعاملات الشرعية: الحكم الشرعي وتحرير محل النزاع (6/7)"،</w:t>
      </w:r>
      <w:r w:rsidRPr="002273BC">
        <w:rPr>
          <w:rFonts w:ascii="Arabic Transparent" w:hAnsi="Arabic Transparent" w:cs="Arabic Transparent" w:hint="cs"/>
          <w:sz w:val="24"/>
          <w:szCs w:val="24"/>
          <w:rtl/>
          <w:lang w:bidi="ar-JO"/>
        </w:rPr>
        <w:t xml:space="preserve"> منتدى البركة للاقتصاد الإسلامي، على رابط: </w:t>
      </w:r>
      <w:r w:rsidRPr="002273BC">
        <w:rPr>
          <w:rFonts w:ascii="Arabic Transparent" w:hAnsi="Arabic Transparent" w:cs="Arabic Transparent" w:hint="cs"/>
          <w:sz w:val="24"/>
          <w:szCs w:val="24"/>
          <w:lang w:bidi="ar-JO"/>
        </w:rPr>
        <w:t>https://forum.albaraka.site</w:t>
      </w:r>
    </w:p>
  </w:footnote>
  <w:footnote w:id="965">
    <w:p w14:paraId="75C25B89"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مشوقة، </w:t>
      </w:r>
      <w:r w:rsidRPr="002273BC">
        <w:rPr>
          <w:rFonts w:ascii="Arabic Transparent" w:hAnsi="Arabic Transparent" w:cs="Arabic Transparent" w:hint="cs"/>
          <w:b/>
          <w:bCs/>
          <w:sz w:val="24"/>
          <w:szCs w:val="24"/>
          <w:rtl/>
          <w:lang w:bidi="ar-JO"/>
        </w:rPr>
        <w:t>النقود الرقمية من منظور اقتصادي إسلامي</w:t>
      </w:r>
      <w:r w:rsidRPr="002273BC">
        <w:rPr>
          <w:rFonts w:ascii="Arabic Transparent" w:hAnsi="Arabic Transparent" w:cs="Arabic Transparent" w:hint="cs"/>
          <w:sz w:val="24"/>
          <w:szCs w:val="24"/>
          <w:rtl/>
          <w:lang w:bidi="ar-JO"/>
        </w:rPr>
        <w:t>، البتكوين أنموذجاً، ص22، مصدر سابق.</w:t>
      </w:r>
    </w:p>
  </w:footnote>
  <w:footnote w:id="966">
    <w:p w14:paraId="3C3E86A3"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مجمع الفقه الإسلامي الدولي المنبثق عن منظمة التعاون الإسلامي. (2019</w:t>
      </w:r>
      <w:r w:rsidRPr="002273BC">
        <w:rPr>
          <w:rFonts w:ascii="Arabic Transparent" w:hAnsi="Arabic Transparent" w:cs="Arabic Transparent" w:hint="cs"/>
          <w:b/>
          <w:bCs/>
          <w:sz w:val="24"/>
          <w:szCs w:val="24"/>
          <w:rtl/>
          <w:lang w:bidi="ar-JO"/>
        </w:rPr>
        <w:t>). قرار رقم: 237 (24/8) بشأن العملات الإلكترونية.</w:t>
      </w:r>
      <w:r w:rsidRPr="002273BC">
        <w:rPr>
          <w:rFonts w:ascii="Arabic Transparent" w:hAnsi="Arabic Transparent" w:cs="Arabic Transparent" w:hint="cs"/>
          <w:sz w:val="24"/>
          <w:szCs w:val="24"/>
          <w:rtl/>
          <w:lang w:bidi="ar-JO"/>
        </w:rPr>
        <w:t xml:space="preserve"> الدورة الرابعة والعشرون. دبي، الإمارات العربية المتحدة.</w:t>
      </w:r>
    </w:p>
  </w:footnote>
  <w:footnote w:id="967">
    <w:p w14:paraId="45BFFC66" w14:textId="7C24DAB4" w:rsidR="00201DD5" w:rsidRPr="005E7FE8"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مشوقة، حمزة. (2024). </w:t>
      </w:r>
      <w:r w:rsidRPr="002273BC">
        <w:rPr>
          <w:rFonts w:ascii="Arabic Transparent" w:hAnsi="Arabic Transparent" w:cs="Arabic Transparent" w:hint="cs"/>
          <w:b/>
          <w:bCs/>
          <w:sz w:val="24"/>
          <w:szCs w:val="24"/>
          <w:rtl/>
          <w:lang w:bidi="ar-JO"/>
        </w:rPr>
        <w:t>"المسائل الفقهية المشهورة في التداول عبر منصات الفوركس".</w:t>
      </w:r>
      <w:r w:rsidRPr="002273BC">
        <w:rPr>
          <w:rFonts w:ascii="Arabic Transparent" w:hAnsi="Arabic Transparent" w:cs="Arabic Transparent" w:hint="cs"/>
          <w:sz w:val="24"/>
          <w:szCs w:val="24"/>
          <w:rtl/>
          <w:lang w:bidi="ar-JO"/>
        </w:rPr>
        <w:t xml:space="preserve"> </w:t>
      </w:r>
      <w:r w:rsidR="005E7FE8">
        <w:rPr>
          <w:rFonts w:ascii="Arabic Transparent" w:hAnsi="Arabic Transparent" w:cs="Arabic Transparent" w:hint="cs"/>
          <w:sz w:val="24"/>
          <w:szCs w:val="24"/>
          <w:rtl/>
          <w:lang w:bidi="ar-JO"/>
        </w:rPr>
        <w:t xml:space="preserve">مقال منشور على الرابط: </w:t>
      </w:r>
      <w:hyperlink r:id="rId19" w:history="1">
        <w:r w:rsidR="005E7FE8" w:rsidRPr="00775066">
          <w:rPr>
            <w:rStyle w:val="Hyperlink"/>
            <w:rFonts w:ascii="Arabic Transparent" w:hAnsi="Arabic Transparent" w:cs="Arabic Transparent"/>
            <w:sz w:val="24"/>
            <w:szCs w:val="24"/>
            <w:lang w:bidi="ar-JO"/>
          </w:rPr>
          <w:t>https://www.aliftaa.jo/article/586</w:t>
        </w:r>
      </w:hyperlink>
      <w:r w:rsidR="005E7FE8">
        <w:rPr>
          <w:rFonts w:ascii="Arabic Transparent" w:hAnsi="Arabic Transparent" w:cs="Arabic Transparent" w:hint="cs"/>
          <w:sz w:val="24"/>
          <w:szCs w:val="24"/>
          <w:rtl/>
          <w:lang w:bidi="ar-JO"/>
        </w:rPr>
        <w:t>، تاريخ الاطلاع 6/4/2026م.</w:t>
      </w:r>
    </w:p>
  </w:footnote>
  <w:footnote w:id="968">
    <w:p w14:paraId="71429F15"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دار الإفتاء المصرية (2017</w:t>
      </w:r>
      <w:r w:rsidRPr="005E7FE8">
        <w:rPr>
          <w:rFonts w:ascii="Arabic Transparent" w:hAnsi="Arabic Transparent" w:cs="Arabic Transparent" w:hint="cs"/>
          <w:b/>
          <w:bCs/>
          <w:sz w:val="24"/>
          <w:szCs w:val="24"/>
          <w:rtl/>
          <w:lang w:bidi="ar-JO"/>
        </w:rPr>
        <w:t>)، حكم تداول عملة البيتكوين والتعامل بها</w:t>
      </w:r>
      <w:r w:rsidRPr="002273BC">
        <w:rPr>
          <w:rFonts w:ascii="Arabic Transparent" w:hAnsi="Arabic Transparent" w:cs="Arabic Transparent" w:hint="cs"/>
          <w:sz w:val="24"/>
          <w:szCs w:val="24"/>
          <w:rtl/>
          <w:lang w:bidi="ar-JO"/>
        </w:rPr>
        <w:t xml:space="preserve">، فتوى رقم: 4205، فتاوى المعاملات الحديثة، </w:t>
      </w:r>
      <w:r w:rsidRPr="002273BC">
        <w:rPr>
          <w:rFonts w:ascii="Arabic Transparent" w:hAnsi="Arabic Transparent" w:cs="Arabic Transparent" w:hint="cs"/>
          <w:sz w:val="24"/>
          <w:szCs w:val="24"/>
          <w:lang w:bidi="ar-JO"/>
        </w:rPr>
        <w:t>https://www.dar-alifta.org/ar/fatwa/details/14139</w:t>
      </w:r>
      <w:r w:rsidRPr="002273BC">
        <w:rPr>
          <w:rFonts w:ascii="Arabic Transparent" w:hAnsi="Arabic Transparent" w:cs="Arabic Transparent" w:hint="cs"/>
          <w:sz w:val="24"/>
          <w:szCs w:val="24"/>
          <w:rtl/>
          <w:lang w:bidi="ar-JO"/>
        </w:rPr>
        <w:t>، (تاريخ الزيارة: 22/4/2026).</w:t>
      </w:r>
    </w:p>
  </w:footnote>
  <w:footnote w:id="969">
    <w:p w14:paraId="23DDD427" w14:textId="7DA12E66" w:rsidR="00201DD5" w:rsidRPr="002273BC" w:rsidRDefault="00201DD5" w:rsidP="00EA3738">
      <w:pPr>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مجلس الشؤون الدينية العليا التركي. (2017). "</w:t>
      </w:r>
      <w:r w:rsidRPr="002273BC">
        <w:rPr>
          <w:rFonts w:ascii="Arabic Transparent" w:hAnsi="Arabic Transparent" w:cs="Arabic Transparent" w:hint="cs"/>
          <w:b/>
          <w:bCs/>
          <w:sz w:val="24"/>
          <w:szCs w:val="24"/>
          <w:rtl/>
          <w:lang w:bidi="ar-JO"/>
        </w:rPr>
        <w:t>ما الحكم الشرعي لاستخدام العملات المشفرة؟".</w:t>
      </w:r>
      <w:r w:rsidRPr="002273BC">
        <w:rPr>
          <w:rFonts w:ascii="Arabic Transparent" w:hAnsi="Arabic Transparent" w:cs="Arabic Transparent" w:hint="cs"/>
          <w:sz w:val="24"/>
          <w:szCs w:val="24"/>
          <w:rtl/>
          <w:lang w:bidi="ar-JO"/>
        </w:rPr>
        <w:t xml:space="preserve"> رئاسة الشؤون الدينية التركية (ديانت). 3 ديسمبر 2017م.</w:t>
      </w:r>
      <w:r w:rsidR="005E7FE8">
        <w:rPr>
          <w:rFonts w:ascii="Arabic Transparent" w:hAnsi="Arabic Transparent" w:cs="Arabic Transparent" w:hint="cs"/>
          <w:sz w:val="24"/>
          <w:szCs w:val="24"/>
          <w:rtl/>
          <w:lang w:bidi="ar-JO"/>
        </w:rPr>
        <w:t xml:space="preserve">، </w:t>
      </w:r>
      <w:r w:rsidR="005E7FE8" w:rsidRPr="005E7FE8">
        <w:rPr>
          <w:rFonts w:ascii="Arabic Transparent" w:hAnsi="Arabic Transparent" w:cs="Arabic Transparent"/>
          <w:sz w:val="24"/>
          <w:szCs w:val="24"/>
          <w:lang w:bidi="ar-JO"/>
        </w:rPr>
        <w:t>https://diyanet.gov.tr/tr-TR</w:t>
      </w:r>
      <w:r w:rsidR="005E7FE8" w:rsidRPr="005E7FE8">
        <w:rPr>
          <w:rFonts w:ascii="Arabic Transparent" w:hAnsi="Arabic Transparent" w:cs="Arabic Transparent"/>
          <w:sz w:val="24"/>
          <w:szCs w:val="24"/>
          <w:rtl/>
          <w:lang w:bidi="ar-JO"/>
        </w:rPr>
        <w:t xml:space="preserve"> تاريخ الاطلاع 4/8/</w:t>
      </w:r>
      <w:r w:rsidR="005E7FE8">
        <w:rPr>
          <w:rFonts w:ascii="Arabic Transparent" w:hAnsi="Arabic Transparent" w:cs="Arabic Transparent" w:hint="cs"/>
          <w:sz w:val="24"/>
          <w:szCs w:val="24"/>
          <w:rtl/>
          <w:lang w:bidi="ar-JO"/>
        </w:rPr>
        <w:t xml:space="preserve"> 2025م.</w:t>
      </w:r>
    </w:p>
  </w:footnote>
  <w:footnote w:id="970">
    <w:p w14:paraId="1020A8D3"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حسين، محمد - مفتي القدس والديار الفلسطينية. (2021). </w:t>
      </w:r>
      <w:r w:rsidRPr="002273BC">
        <w:rPr>
          <w:rFonts w:ascii="Arabic Transparent" w:hAnsi="Arabic Transparent" w:cs="Arabic Transparent" w:hint="cs"/>
          <w:b/>
          <w:bCs/>
          <w:sz w:val="24"/>
          <w:szCs w:val="24"/>
          <w:rtl/>
          <w:lang w:bidi="ar-JO"/>
        </w:rPr>
        <w:t>"مفتي القدس: التعامل مع البيتكوين حرام شرعاً".</w:t>
      </w:r>
      <w:r w:rsidRPr="002273BC">
        <w:rPr>
          <w:rFonts w:ascii="Arabic Transparent" w:hAnsi="Arabic Transparent" w:cs="Arabic Transparent" w:hint="cs"/>
          <w:sz w:val="24"/>
          <w:szCs w:val="24"/>
          <w:rtl/>
          <w:lang w:bidi="ar-JO"/>
        </w:rPr>
        <w:t xml:space="preserve"> تصريح صحفي. أخبار المال والأعمال. 11 يناير 2021م. متاح على: </w:t>
      </w:r>
      <w:r w:rsidRPr="002273BC">
        <w:rPr>
          <w:rFonts w:ascii="Arabic Transparent" w:hAnsi="Arabic Transparent" w:cs="Arabic Transparent" w:hint="cs"/>
          <w:sz w:val="24"/>
          <w:szCs w:val="24"/>
          <w:lang w:bidi="ar-JO"/>
        </w:rPr>
        <w:t>https://bnews.ps/ar/node/17799</w:t>
      </w:r>
    </w:p>
  </w:footnote>
  <w:footnote w:id="971">
    <w:p w14:paraId="4FF95329" w14:textId="7F2E716D"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المنيع، عبد الله بن سليمان - عضو هيئة كبار العلماء بالسعودية. (2021). مقابلة تلفزيونية نقلتها </w:t>
      </w:r>
      <w:r w:rsidRPr="002273BC">
        <w:rPr>
          <w:rFonts w:ascii="Arabic Transparent" w:hAnsi="Arabic Transparent" w:cs="Arabic Transparent" w:hint="cs"/>
          <w:sz w:val="24"/>
          <w:szCs w:val="24"/>
          <w:lang w:bidi="ar-JO"/>
        </w:rPr>
        <w:t>CNN</w:t>
      </w:r>
      <w:r w:rsidRPr="002273BC">
        <w:rPr>
          <w:rFonts w:ascii="Arabic Transparent" w:hAnsi="Arabic Transparent" w:cs="Arabic Transparent" w:hint="cs"/>
          <w:sz w:val="24"/>
          <w:szCs w:val="24"/>
          <w:rtl/>
          <w:lang w:bidi="ar-JO"/>
        </w:rPr>
        <w:t xml:space="preserve"> بالعربية بعنوان: </w:t>
      </w:r>
      <w:r w:rsidRPr="002273BC">
        <w:rPr>
          <w:rFonts w:ascii="Arabic Transparent" w:hAnsi="Arabic Transparent" w:cs="Arabic Transparent" w:hint="cs"/>
          <w:b/>
          <w:bCs/>
          <w:sz w:val="24"/>
          <w:szCs w:val="24"/>
          <w:rtl/>
          <w:lang w:bidi="ar-JO"/>
        </w:rPr>
        <w:t>"العملات الرقمية محرمة</w:t>
      </w:r>
      <w:r w:rsidR="002C631C" w:rsidRPr="002273BC">
        <w:rPr>
          <w:rFonts w:ascii="Arabic Transparent" w:hAnsi="Arabic Transparent" w:cs="Arabic Transparent" w:hint="cs"/>
          <w:b/>
          <w:bCs/>
          <w:sz w:val="24"/>
          <w:szCs w:val="24"/>
          <w:rtl/>
          <w:lang w:bidi="ar-JO"/>
        </w:rPr>
        <w:t>،</w:t>
      </w:r>
      <w:r w:rsidRPr="002273BC">
        <w:rPr>
          <w:rFonts w:ascii="Arabic Transparent" w:hAnsi="Arabic Transparent" w:cs="Arabic Transparent" w:hint="cs"/>
          <w:b/>
          <w:bCs/>
          <w:sz w:val="24"/>
          <w:szCs w:val="24"/>
          <w:rtl/>
          <w:lang w:bidi="ar-JO"/>
        </w:rPr>
        <w:t xml:space="preserve"> عضو كبار العلماء بالسعودية يوضح السبب".</w:t>
      </w:r>
      <w:r w:rsidRPr="002273BC">
        <w:rPr>
          <w:rFonts w:ascii="Arabic Transparent" w:hAnsi="Arabic Transparent" w:cs="Arabic Transparent" w:hint="cs"/>
          <w:sz w:val="24"/>
          <w:szCs w:val="24"/>
          <w:rtl/>
          <w:lang w:bidi="ar-JO"/>
        </w:rPr>
        <w:t xml:space="preserve"> 13 أبريل 2021م. متاح على: </w:t>
      </w:r>
      <w:r w:rsidRPr="002273BC">
        <w:rPr>
          <w:rFonts w:ascii="Arabic Transparent" w:hAnsi="Arabic Transparent" w:cs="Arabic Transparent" w:hint="cs"/>
          <w:sz w:val="24"/>
          <w:szCs w:val="24"/>
          <w:lang w:bidi="ar-JO"/>
        </w:rPr>
        <w:t>https://arabic.cnn.com/business/article/2021/04/15/bitcoin-islam-abdullah-almuniee</w:t>
      </w:r>
    </w:p>
  </w:footnote>
  <w:footnote w:id="972">
    <w:p w14:paraId="2AF821B0" w14:textId="2CE272F3"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00FD40F9">
        <w:rPr>
          <w:rFonts w:ascii="Arabic Transparent" w:hAnsi="Arabic Transparent" w:cs="Arabic Transparent" w:hint="cs"/>
          <w:sz w:val="24"/>
          <w:szCs w:val="24"/>
          <w:rtl/>
          <w:lang w:bidi="ar-JO"/>
        </w:rPr>
        <w:t xml:space="preserve">انظر: </w:t>
      </w:r>
      <w:r w:rsidRPr="002273BC">
        <w:rPr>
          <w:rFonts w:ascii="Arabic Transparent" w:hAnsi="Arabic Transparent" w:cs="Arabic Transparent" w:hint="cs"/>
          <w:sz w:val="24"/>
          <w:szCs w:val="24"/>
          <w:rtl/>
          <w:lang w:bidi="ar-JO"/>
        </w:rPr>
        <w:t xml:space="preserve">أبو العلا، عمرو(2022)، </w:t>
      </w:r>
      <w:r w:rsidRPr="002273BC">
        <w:rPr>
          <w:rFonts w:ascii="Arabic Transparent" w:hAnsi="Arabic Transparent" w:cs="Arabic Transparent" w:hint="cs"/>
          <w:b/>
          <w:bCs/>
          <w:sz w:val="24"/>
          <w:szCs w:val="24"/>
          <w:rtl/>
          <w:lang w:bidi="ar-JO"/>
        </w:rPr>
        <w:t>العملات الرقمية وقدرتها على القيام بوظائف النقود في الفقه الإسلامي</w:t>
      </w:r>
      <w:r w:rsidRPr="002273BC">
        <w:rPr>
          <w:rFonts w:ascii="Arabic Transparent" w:hAnsi="Arabic Transparent" w:cs="Arabic Transparent" w:hint="cs"/>
          <w:sz w:val="24"/>
          <w:szCs w:val="24"/>
          <w:rtl/>
          <w:lang w:bidi="ar-JO"/>
        </w:rPr>
        <w:t>، ع14، ص1706، مجلة الشريعة والقانون -جامعة الأزهر.</w:t>
      </w:r>
    </w:p>
  </w:footnote>
  <w:footnote w:id="973">
    <w:p w14:paraId="0C3135F5"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انظر: </w:t>
      </w:r>
      <w:r w:rsidRPr="002273BC">
        <w:rPr>
          <w:rFonts w:ascii="Arabic Transparent" w:hAnsi="Arabic Transparent" w:cs="Arabic Transparent"/>
          <w:sz w:val="24"/>
          <w:szCs w:val="24"/>
          <w:rtl/>
          <w:lang w:bidi="ar-JO"/>
        </w:rPr>
        <w:t xml:space="preserve">دار الإفتاء المصرية (2017)، </w:t>
      </w:r>
      <w:r w:rsidRPr="002273BC">
        <w:rPr>
          <w:rFonts w:ascii="Arabic Transparent" w:hAnsi="Arabic Transparent" w:cs="Arabic Transparent"/>
          <w:b/>
          <w:bCs/>
          <w:sz w:val="24"/>
          <w:szCs w:val="24"/>
          <w:rtl/>
          <w:lang w:bidi="ar-JO"/>
        </w:rPr>
        <w:t>حكم تداول عملة البيتكوين والتعامل بها، فتوى رقم: 4205،</w:t>
      </w:r>
      <w:r w:rsidRPr="002273BC">
        <w:rPr>
          <w:rFonts w:ascii="Arabic Transparent" w:hAnsi="Arabic Transparent" w:cs="Arabic Transparent"/>
          <w:sz w:val="24"/>
          <w:szCs w:val="24"/>
          <w:rtl/>
          <w:lang w:bidi="ar-JO"/>
        </w:rPr>
        <w:t xml:space="preserve"> فتاوى المعاملات الحديثة، </w:t>
      </w:r>
      <w:r w:rsidRPr="002273BC">
        <w:rPr>
          <w:rFonts w:ascii="Arabic Transparent" w:hAnsi="Arabic Transparent" w:cs="Arabic Transparent"/>
          <w:sz w:val="24"/>
          <w:szCs w:val="24"/>
          <w:lang w:bidi="ar-JO"/>
        </w:rPr>
        <w:t>https://www.dar-alifta.org/ar/fatwa/details/14139</w:t>
      </w:r>
      <w:r w:rsidRPr="002273BC">
        <w:rPr>
          <w:rFonts w:ascii="Arabic Transparent" w:hAnsi="Arabic Transparent" w:cs="Arabic Transparent"/>
          <w:sz w:val="24"/>
          <w:szCs w:val="24"/>
          <w:rtl/>
          <w:lang w:bidi="ar-JO"/>
        </w:rPr>
        <w:t>، (تاريخ الزيارة: 22/4/2026).</w:t>
      </w:r>
    </w:p>
  </w:footnote>
  <w:footnote w:id="974">
    <w:p w14:paraId="56EFA363" w14:textId="1FEA51A8" w:rsidR="00201DD5" w:rsidRPr="002273BC" w:rsidRDefault="00FD40F9" w:rsidP="00EA3738">
      <w:pPr>
        <w:pStyle w:val="FootnoteText"/>
        <w:spacing w:line="360" w:lineRule="auto"/>
        <w:jc w:val="both"/>
        <w:rPr>
          <w:rFonts w:ascii="Arabic Transparent" w:hAnsi="Arabic Transparent" w:cs="Arabic Transparent"/>
          <w:sz w:val="24"/>
          <w:szCs w:val="24"/>
          <w:rtl/>
          <w:lang w:bidi="ar-JO"/>
        </w:rPr>
      </w:pPr>
      <w:r>
        <w:rPr>
          <w:rFonts w:ascii="Arabic Transparent" w:hAnsi="Arabic Transparent" w:cs="Arabic Transparent"/>
          <w:sz w:val="24"/>
          <w:szCs w:val="24"/>
        </w:rPr>
        <w:t xml:space="preserve"> </w:t>
      </w:r>
      <w:r w:rsidR="00201DD5" w:rsidRPr="002273BC">
        <w:rPr>
          <w:rFonts w:ascii="Arabic Transparent" w:hAnsi="Arabic Transparent" w:cs="Arabic Transparent" w:hint="cs"/>
          <w:sz w:val="24"/>
          <w:szCs w:val="24"/>
        </w:rPr>
        <w:t>(</w:t>
      </w:r>
      <w:r w:rsidR="00201DD5" w:rsidRPr="002273BC">
        <w:rPr>
          <w:rStyle w:val="FootnoteReference"/>
          <w:rFonts w:ascii="Arabic Transparent" w:hAnsi="Arabic Transparent" w:cs="Arabic Transparent" w:hint="cs"/>
          <w:sz w:val="24"/>
          <w:szCs w:val="24"/>
          <w:vertAlign w:val="baseline"/>
        </w:rPr>
        <w:footnoteRef/>
      </w:r>
      <w:r w:rsidR="00201DD5" w:rsidRPr="002273BC">
        <w:rPr>
          <w:rFonts w:ascii="Arabic Transparent" w:hAnsi="Arabic Transparent" w:cs="Arabic Transparent" w:hint="cs"/>
          <w:sz w:val="24"/>
          <w:szCs w:val="24"/>
        </w:rPr>
        <w:t>)</w:t>
      </w:r>
      <w:r>
        <w:rPr>
          <w:rFonts w:ascii="Arabic Transparent" w:hAnsi="Arabic Transparent" w:cs="Arabic Transparent" w:hint="cs"/>
          <w:sz w:val="24"/>
          <w:szCs w:val="24"/>
          <w:rtl/>
        </w:rPr>
        <w:t>انظر:</w:t>
      </w:r>
      <w:r w:rsidR="00201DD5" w:rsidRPr="002273BC">
        <w:rPr>
          <w:rFonts w:ascii="Arabic Transparent" w:hAnsi="Arabic Transparent" w:cs="Arabic Transparent" w:hint="cs"/>
          <w:sz w:val="24"/>
          <w:szCs w:val="24"/>
          <w:rtl/>
        </w:rPr>
        <w:t xml:space="preserve"> </w:t>
      </w:r>
      <w:r w:rsidR="00201DD5" w:rsidRPr="002273BC">
        <w:rPr>
          <w:rFonts w:ascii="Arabic Transparent" w:hAnsi="Arabic Transparent" w:cs="Arabic Transparent" w:hint="cs"/>
          <w:sz w:val="24"/>
          <w:szCs w:val="24"/>
          <w:rtl/>
          <w:lang w:bidi="ar-JO"/>
        </w:rPr>
        <w:t xml:space="preserve">دار الإفتاء المصرية (2017)، </w:t>
      </w:r>
      <w:r w:rsidR="00201DD5" w:rsidRPr="002273BC">
        <w:rPr>
          <w:rFonts w:ascii="Arabic Transparent" w:hAnsi="Arabic Transparent" w:cs="Arabic Transparent" w:hint="cs"/>
          <w:b/>
          <w:bCs/>
          <w:sz w:val="24"/>
          <w:szCs w:val="24"/>
          <w:rtl/>
          <w:lang w:bidi="ar-JO"/>
        </w:rPr>
        <w:t>حكم تداول عملة البيتكوين والتعامل بها</w:t>
      </w:r>
      <w:r w:rsidR="00201DD5" w:rsidRPr="002273BC">
        <w:rPr>
          <w:rFonts w:ascii="Arabic Transparent" w:hAnsi="Arabic Transparent" w:cs="Arabic Transparent" w:hint="cs"/>
          <w:sz w:val="24"/>
          <w:szCs w:val="24"/>
          <w:rtl/>
          <w:lang w:bidi="ar-JO"/>
        </w:rPr>
        <w:t xml:space="preserve">، فتوى رقم: 4205، فتاوى المعاملات الحديثة، </w:t>
      </w:r>
      <w:r w:rsidR="00201DD5" w:rsidRPr="002273BC">
        <w:rPr>
          <w:rFonts w:ascii="Arabic Transparent" w:hAnsi="Arabic Transparent" w:cs="Arabic Transparent" w:hint="cs"/>
          <w:sz w:val="24"/>
          <w:szCs w:val="24"/>
          <w:lang w:bidi="ar-JO"/>
        </w:rPr>
        <w:t>https://www.dar-alifta.org/ar/fatwa/details/14139</w:t>
      </w:r>
      <w:r w:rsidR="00201DD5" w:rsidRPr="002273BC">
        <w:rPr>
          <w:rFonts w:ascii="Arabic Transparent" w:hAnsi="Arabic Transparent" w:cs="Arabic Transparent" w:hint="cs"/>
          <w:sz w:val="24"/>
          <w:szCs w:val="24"/>
          <w:rtl/>
          <w:lang w:bidi="ar-JO"/>
        </w:rPr>
        <w:t>، (تاريخ الزيارة: 22/4/2026).</w:t>
      </w:r>
    </w:p>
  </w:footnote>
  <w:footnote w:id="975">
    <w:p w14:paraId="425BED53"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انظر: </w:t>
      </w:r>
      <w:r w:rsidRPr="002273BC">
        <w:rPr>
          <w:rFonts w:ascii="Arabic Transparent" w:hAnsi="Arabic Transparent" w:cs="Arabic Transparent" w:hint="cs"/>
          <w:sz w:val="24"/>
          <w:szCs w:val="24"/>
          <w:rtl/>
          <w:lang w:bidi="ar-JO"/>
        </w:rPr>
        <w:t xml:space="preserve">مشوقة، حمزة (2021) </w:t>
      </w:r>
      <w:r w:rsidRPr="002273BC">
        <w:rPr>
          <w:rFonts w:ascii="Arabic Transparent" w:hAnsi="Arabic Transparent" w:cs="Arabic Transparent" w:hint="cs"/>
          <w:b/>
          <w:bCs/>
          <w:sz w:val="24"/>
          <w:szCs w:val="24"/>
          <w:rtl/>
          <w:lang w:bidi="ar-JO"/>
        </w:rPr>
        <w:t>النقود الرقمية من منظور اقتصادي إسلامي،</w:t>
      </w:r>
      <w:r w:rsidRPr="002273BC">
        <w:rPr>
          <w:rFonts w:ascii="Arabic Transparent" w:hAnsi="Arabic Transparent" w:cs="Arabic Transparent" w:hint="cs"/>
          <w:sz w:val="24"/>
          <w:szCs w:val="24"/>
          <w:rtl/>
          <w:lang w:bidi="ar-JO"/>
        </w:rPr>
        <w:t xml:space="preserve"> البتكوين أنموذجاً، ص22، بحث منشور في مجلة دائرة الإفتاء الأردنية.</w:t>
      </w:r>
    </w:p>
  </w:footnote>
  <w:footnote w:id="976">
    <w:p w14:paraId="5BAC5341"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انظر: الطوفي، </w:t>
      </w:r>
      <w:r w:rsidRPr="002273BC">
        <w:rPr>
          <w:rFonts w:ascii="Arabic Transparent" w:hAnsi="Arabic Transparent" w:cs="Arabic Transparent" w:hint="cs"/>
          <w:b/>
          <w:bCs/>
          <w:sz w:val="24"/>
          <w:szCs w:val="24"/>
          <w:rtl/>
          <w:lang w:bidi="ar-JO"/>
        </w:rPr>
        <w:t>شرح مختصر الروضة</w:t>
      </w:r>
      <w:r w:rsidRPr="002273BC">
        <w:rPr>
          <w:rFonts w:ascii="Arabic Transparent" w:hAnsi="Arabic Transparent" w:cs="Arabic Transparent" w:hint="cs"/>
          <w:sz w:val="24"/>
          <w:szCs w:val="24"/>
          <w:rtl/>
          <w:lang w:bidi="ar-JO"/>
        </w:rPr>
        <w:t>، مصدر سابق، ج3، ص407.</w:t>
      </w:r>
    </w:p>
  </w:footnote>
  <w:footnote w:id="977">
    <w:p w14:paraId="7D02D71A" w14:textId="6CBD277E"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00FD40F9">
        <w:rPr>
          <w:rFonts w:ascii="Arabic Transparent" w:hAnsi="Arabic Transparent" w:cs="Arabic Transparent" w:hint="cs"/>
          <w:sz w:val="24"/>
          <w:szCs w:val="24"/>
          <w:rtl/>
          <w:lang w:bidi="ar-JO"/>
        </w:rPr>
        <w:t xml:space="preserve">انظر: </w:t>
      </w:r>
      <w:r w:rsidRPr="002273BC">
        <w:rPr>
          <w:rFonts w:ascii="Arabic Transparent" w:hAnsi="Arabic Transparent" w:cs="Arabic Transparent" w:hint="cs"/>
          <w:sz w:val="24"/>
          <w:szCs w:val="24"/>
          <w:rtl/>
          <w:lang w:bidi="ar-JO"/>
        </w:rPr>
        <w:t xml:space="preserve">ابن تيمية، </w:t>
      </w:r>
      <w:r w:rsidRPr="002273BC">
        <w:rPr>
          <w:rFonts w:ascii="Arabic Transparent" w:hAnsi="Arabic Transparent" w:cs="Arabic Transparent" w:hint="cs"/>
          <w:b/>
          <w:bCs/>
          <w:sz w:val="24"/>
          <w:szCs w:val="24"/>
          <w:rtl/>
          <w:lang w:bidi="ar-JO"/>
        </w:rPr>
        <w:t>مجموع الفتاوى</w:t>
      </w:r>
      <w:r w:rsidRPr="002273BC">
        <w:rPr>
          <w:rFonts w:ascii="Arabic Transparent" w:hAnsi="Arabic Transparent" w:cs="Arabic Transparent" w:hint="cs"/>
          <w:sz w:val="24"/>
          <w:szCs w:val="24"/>
          <w:rtl/>
          <w:lang w:bidi="ar-JO"/>
        </w:rPr>
        <w:t>، مصدر سابق، ج19، ص251.</w:t>
      </w:r>
    </w:p>
  </w:footnote>
  <w:footnote w:id="978">
    <w:p w14:paraId="7102EF43"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الاتحاد العالمي لعلماء المسلمين - لجنة الاجتهاد والفتوى. (2022). القرار رقم (1) لعام 1444هـ بشأن </w:t>
      </w:r>
      <w:r w:rsidRPr="002273BC">
        <w:rPr>
          <w:rFonts w:ascii="Arabic Transparent" w:hAnsi="Arabic Transparent" w:cs="Arabic Transparent" w:hint="cs"/>
          <w:b/>
          <w:bCs/>
          <w:sz w:val="24"/>
          <w:szCs w:val="24"/>
          <w:rtl/>
          <w:lang w:bidi="ar-JO"/>
        </w:rPr>
        <w:t>التعامل بعملة البيتكوين والعملات الرقمية</w:t>
      </w:r>
      <w:r w:rsidRPr="002273BC">
        <w:rPr>
          <w:rFonts w:ascii="Arabic Transparent" w:hAnsi="Arabic Transparent" w:cs="Arabic Transparent" w:hint="cs"/>
          <w:sz w:val="24"/>
          <w:szCs w:val="24"/>
          <w:rtl/>
          <w:lang w:bidi="ar-JO"/>
        </w:rPr>
        <w:t xml:space="preserve">، الدوحة: الاتحاد العالمي لعلماء المسلمين. متاح على: </w:t>
      </w:r>
      <w:r w:rsidRPr="002273BC">
        <w:rPr>
          <w:rFonts w:ascii="Arabic Transparent" w:hAnsi="Arabic Transparent" w:cs="Arabic Transparent" w:hint="cs"/>
          <w:sz w:val="24"/>
          <w:szCs w:val="24"/>
          <w:lang w:bidi="ar-JO"/>
        </w:rPr>
        <w:t>https://iumsonline.org/ar/ContentDetails.aspx?ID=26607</w:t>
      </w:r>
    </w:p>
  </w:footnote>
  <w:footnote w:id="979">
    <w:p w14:paraId="18A1D00F" w14:textId="30FABF66"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00FD40F9">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sz w:val="24"/>
          <w:szCs w:val="24"/>
          <w:rtl/>
          <w:lang w:bidi="ar-JO"/>
        </w:rPr>
        <w:t xml:space="preserve">بيومي، عبد الناصر حمدان. </w:t>
      </w:r>
      <w:r w:rsidRPr="002273BC">
        <w:rPr>
          <w:rFonts w:ascii="Arabic Transparent" w:hAnsi="Arabic Transparent" w:cs="Arabic Transparent" w:hint="cs"/>
          <w:b/>
          <w:bCs/>
          <w:sz w:val="24"/>
          <w:szCs w:val="24"/>
          <w:rtl/>
          <w:lang w:bidi="ar-JO"/>
        </w:rPr>
        <w:t>"العملات الرقمية المشفرة في ضوء عقود المعاملات الشرعية: الحكم الشرعي وتحرير محل النزاع (</w:t>
      </w:r>
      <w:r w:rsidRPr="002273BC">
        <w:rPr>
          <w:rFonts w:ascii="Arabic Transparent" w:hAnsi="Arabic Transparent" w:cs="Arabic Transparent" w:hint="cs"/>
          <w:b/>
          <w:bCs/>
          <w:sz w:val="24"/>
          <w:szCs w:val="24"/>
          <w:lang w:bidi="ar-JO"/>
        </w:rPr>
        <w:t>7</w:t>
      </w:r>
      <w:r w:rsidRPr="002273BC">
        <w:rPr>
          <w:rFonts w:ascii="Arabic Transparent" w:hAnsi="Arabic Transparent" w:cs="Arabic Transparent" w:hint="cs"/>
          <w:b/>
          <w:bCs/>
          <w:sz w:val="24"/>
          <w:szCs w:val="24"/>
          <w:rtl/>
          <w:lang w:bidi="ar-JO"/>
        </w:rPr>
        <w:t>/7)"،</w:t>
      </w:r>
      <w:r w:rsidRPr="002273BC">
        <w:rPr>
          <w:rFonts w:ascii="Arabic Transparent" w:hAnsi="Arabic Transparent" w:cs="Arabic Transparent" w:hint="cs"/>
          <w:sz w:val="24"/>
          <w:szCs w:val="24"/>
          <w:rtl/>
          <w:lang w:bidi="ar-JO"/>
        </w:rPr>
        <w:t xml:space="preserve"> منتدى البركة للاقتصاد الإسلامي. على رابط: </w:t>
      </w:r>
      <w:r w:rsidRPr="002273BC">
        <w:rPr>
          <w:rFonts w:ascii="Arabic Transparent" w:hAnsi="Arabic Transparent" w:cs="Arabic Transparent" w:hint="cs"/>
          <w:sz w:val="24"/>
          <w:szCs w:val="24"/>
          <w:lang w:bidi="ar-JO"/>
        </w:rPr>
        <w:t>https://forum.albaraka.site</w:t>
      </w:r>
    </w:p>
  </w:footnote>
  <w:footnote w:id="980">
    <w:p w14:paraId="12B78686" w14:textId="2DD6D66B"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00FD40F9">
        <w:rPr>
          <w:rFonts w:ascii="Arabic Transparent" w:hAnsi="Arabic Transparent" w:cs="Arabic Transparent" w:hint="cs"/>
          <w:sz w:val="24"/>
          <w:szCs w:val="24"/>
          <w:rtl/>
        </w:rPr>
        <w:t xml:space="preserve"> انظر:</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داغي، القره (2021)، </w:t>
      </w:r>
      <w:r w:rsidRPr="002273BC">
        <w:rPr>
          <w:rFonts w:ascii="Arabic Transparent" w:hAnsi="Arabic Transparent" w:cs="Arabic Transparent" w:hint="cs"/>
          <w:b/>
          <w:bCs/>
          <w:sz w:val="24"/>
          <w:szCs w:val="24"/>
          <w:rtl/>
          <w:lang w:bidi="ar-JO"/>
        </w:rPr>
        <w:t>ردا على سؤال هل العملات الرقمية حلال أم حرام؟،</w:t>
      </w:r>
      <w:r w:rsidRPr="002273BC">
        <w:rPr>
          <w:rFonts w:ascii="Arabic Transparent" w:hAnsi="Arabic Transparent" w:cs="Arabic Transparent" w:hint="cs"/>
          <w:sz w:val="24"/>
          <w:szCs w:val="24"/>
          <w:rtl/>
          <w:lang w:bidi="ar-JO"/>
        </w:rPr>
        <w:t xml:space="preserve"> الاتحاد العالمي لعلماء المسلمين، قطر، </w:t>
      </w:r>
      <w:r w:rsidRPr="002273BC">
        <w:rPr>
          <w:rFonts w:ascii="Arabic Transparent" w:hAnsi="Arabic Transparent" w:cs="Arabic Transparent" w:hint="cs"/>
          <w:sz w:val="24"/>
          <w:szCs w:val="24"/>
          <w:lang w:bidi="ar-JO"/>
        </w:rPr>
        <w:t>https://iums.me/16139</w:t>
      </w:r>
    </w:p>
  </w:footnote>
  <w:footnote w:id="981">
    <w:p w14:paraId="25B08990" w14:textId="1A7285E8"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00FD40F9">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sz w:val="24"/>
          <w:szCs w:val="24"/>
          <w:rtl/>
          <w:lang w:bidi="ar-JO"/>
        </w:rPr>
        <w:t>بيومي، "</w:t>
      </w:r>
      <w:r w:rsidRPr="002273BC">
        <w:rPr>
          <w:rFonts w:ascii="Arabic Transparent" w:hAnsi="Arabic Transparent" w:cs="Arabic Transparent" w:hint="cs"/>
          <w:b/>
          <w:bCs/>
          <w:sz w:val="24"/>
          <w:szCs w:val="24"/>
          <w:rtl/>
          <w:lang w:bidi="ar-JO"/>
        </w:rPr>
        <w:t>العملات الرقمية المشفرة في ضوء عقود المعاملات الشرعية،</w:t>
      </w:r>
      <w:r w:rsidRPr="002273BC">
        <w:rPr>
          <w:rFonts w:ascii="Arabic Transparent" w:hAnsi="Arabic Transparent" w:cs="Arabic Transparent" w:hint="cs"/>
          <w:sz w:val="24"/>
          <w:szCs w:val="24"/>
          <w:rtl/>
          <w:lang w:bidi="ar-JO"/>
        </w:rPr>
        <w:t xml:space="preserve"> مصدر سابق، </w:t>
      </w:r>
      <w:hyperlink r:id="rId20" w:history="1">
        <w:r w:rsidR="00FD40F9" w:rsidRPr="006A577A">
          <w:rPr>
            <w:rStyle w:val="Hyperlink"/>
            <w:rFonts w:ascii="Arabic Transparent" w:hAnsi="Arabic Transparent" w:cs="Arabic Transparent"/>
            <w:sz w:val="24"/>
            <w:szCs w:val="24"/>
            <w:lang w:bidi="ar-JO"/>
          </w:rPr>
          <w:t>https://forum.albaraka.site</w:t>
        </w:r>
      </w:hyperlink>
    </w:p>
  </w:footnote>
  <w:footnote w:id="982">
    <w:p w14:paraId="35B1FBF6"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ابن القيم، </w:t>
      </w:r>
      <w:r w:rsidRPr="002273BC">
        <w:rPr>
          <w:rFonts w:ascii="Arabic Transparent" w:hAnsi="Arabic Transparent" w:cs="Arabic Transparent" w:hint="cs"/>
          <w:b/>
          <w:bCs/>
          <w:sz w:val="24"/>
          <w:szCs w:val="24"/>
          <w:rtl/>
          <w:lang w:bidi="ar-JO"/>
        </w:rPr>
        <w:t>إعلام الموقعين عن رب العالمين</w:t>
      </w:r>
      <w:r w:rsidRPr="002273BC">
        <w:rPr>
          <w:rFonts w:ascii="Arabic Transparent" w:hAnsi="Arabic Transparent" w:cs="Arabic Transparent" w:hint="cs"/>
          <w:sz w:val="24"/>
          <w:szCs w:val="24"/>
          <w:rtl/>
          <w:lang w:bidi="ar-JO"/>
        </w:rPr>
        <w:t>، مصدر سابق، ج1، ص334.</w:t>
      </w:r>
    </w:p>
  </w:footnote>
  <w:footnote w:id="983">
    <w:p w14:paraId="081BEEE7"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المرغيناني</w:t>
      </w:r>
      <w:r w:rsidRPr="002273BC">
        <w:rPr>
          <w:rFonts w:ascii="Arabic Transparent" w:hAnsi="Arabic Transparent" w:cs="Arabic Transparent" w:hint="cs"/>
          <w:b/>
          <w:bCs/>
          <w:sz w:val="24"/>
          <w:szCs w:val="24"/>
          <w:rtl/>
          <w:lang w:bidi="ar-JO"/>
        </w:rPr>
        <w:t>، الهداية في شرح بداية المبتدي</w:t>
      </w:r>
      <w:r w:rsidRPr="002273BC">
        <w:rPr>
          <w:rFonts w:ascii="Arabic Transparent" w:hAnsi="Arabic Transparent" w:cs="Arabic Transparent" w:hint="cs"/>
          <w:sz w:val="24"/>
          <w:szCs w:val="24"/>
          <w:rtl/>
          <w:lang w:bidi="ar-JO"/>
        </w:rPr>
        <w:t>، مصدر سابق، ج4، ص294.</w:t>
      </w:r>
    </w:p>
  </w:footnote>
  <w:footnote w:id="984">
    <w:p w14:paraId="32A8CD64"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انظر: </w:t>
      </w:r>
      <w:r w:rsidRPr="002273BC">
        <w:rPr>
          <w:rFonts w:ascii="Arabic Transparent" w:hAnsi="Arabic Transparent" w:cs="Arabic Transparent" w:hint="cs"/>
          <w:sz w:val="24"/>
          <w:szCs w:val="24"/>
          <w:rtl/>
          <w:lang w:bidi="ar-JO"/>
        </w:rPr>
        <w:t>أبو جيب، معتز؛ وهاشم، أشرف. (2019)</w:t>
      </w:r>
      <w:r w:rsidRPr="002273BC">
        <w:rPr>
          <w:rFonts w:ascii="Arabic Transparent" w:hAnsi="Arabic Transparent" w:cs="Arabic Transparent" w:hint="cs"/>
          <w:b/>
          <w:bCs/>
          <w:sz w:val="24"/>
          <w:szCs w:val="24"/>
          <w:rtl/>
          <w:lang w:bidi="ar-JO"/>
        </w:rPr>
        <w:t>. "أنواع العملات الرقمية المشفرة"</w:t>
      </w:r>
      <w:r w:rsidRPr="002273BC">
        <w:rPr>
          <w:rFonts w:ascii="Arabic Transparent" w:hAnsi="Arabic Transparent" w:cs="Arabic Transparent" w:hint="cs"/>
          <w:sz w:val="24"/>
          <w:szCs w:val="24"/>
          <w:rtl/>
          <w:lang w:bidi="ar-JO"/>
        </w:rPr>
        <w:t xml:space="preserve">. ورقة عمل مقدمة إلى ندوة العملات الإلكترونية. ص3، </w:t>
      </w:r>
      <w:r w:rsidRPr="002273BC">
        <w:rPr>
          <w:rFonts w:ascii="Arabic Transparent" w:hAnsi="Arabic Transparent" w:cs="Arabic Transparent" w:hint="cs"/>
          <w:b/>
          <w:bCs/>
          <w:sz w:val="24"/>
          <w:szCs w:val="24"/>
          <w:rtl/>
          <w:lang w:bidi="ar-JO"/>
        </w:rPr>
        <w:t>مجمع الفقه الإسلامي الدولي.</w:t>
      </w:r>
      <w:r w:rsidRPr="002273BC">
        <w:rPr>
          <w:rFonts w:ascii="Arabic Transparent" w:hAnsi="Arabic Transparent" w:cs="Arabic Transparent" w:hint="cs"/>
          <w:sz w:val="24"/>
          <w:szCs w:val="24"/>
          <w:rtl/>
          <w:lang w:bidi="ar-JO"/>
        </w:rPr>
        <w:t xml:space="preserve"> جدة، المملكة العربية السعودية. </w:t>
      </w:r>
    </w:p>
  </w:footnote>
  <w:footnote w:id="985">
    <w:p w14:paraId="10DC3505"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السياري، خالد بن محمد بن عبد الله. (2022). </w:t>
      </w:r>
      <w:r w:rsidRPr="002273BC">
        <w:rPr>
          <w:rFonts w:ascii="Arabic Transparent" w:hAnsi="Arabic Transparent" w:cs="Arabic Transparent" w:hint="cs"/>
          <w:b/>
          <w:bCs/>
          <w:sz w:val="24"/>
          <w:szCs w:val="24"/>
          <w:rtl/>
          <w:lang w:bidi="ar-JO"/>
        </w:rPr>
        <w:t>"البيع المقترن بشحن البضاعة عبر المورد '</w:t>
      </w:r>
      <w:r w:rsidRPr="002273BC">
        <w:rPr>
          <w:rFonts w:ascii="Arabic Transparent" w:hAnsi="Arabic Transparent" w:cs="Arabic Transparent" w:hint="cs"/>
          <w:b/>
          <w:bCs/>
          <w:sz w:val="24"/>
          <w:szCs w:val="24"/>
          <w:lang w:bidi="ar-JO"/>
        </w:rPr>
        <w:t>Shipping Drop</w:t>
      </w:r>
      <w:r w:rsidRPr="002273BC">
        <w:rPr>
          <w:rFonts w:ascii="Arabic Transparent" w:hAnsi="Arabic Transparent" w:cs="Arabic Transparent" w:hint="cs"/>
          <w:b/>
          <w:bCs/>
          <w:sz w:val="24"/>
          <w:szCs w:val="24"/>
          <w:rtl/>
          <w:lang w:bidi="ar-JO"/>
        </w:rPr>
        <w:t>'"</w:t>
      </w:r>
      <w:r w:rsidRPr="002273BC">
        <w:rPr>
          <w:rFonts w:ascii="Arabic Transparent" w:hAnsi="Arabic Transparent" w:cs="Arabic Transparent" w:hint="cs"/>
          <w:sz w:val="24"/>
          <w:szCs w:val="24"/>
          <w:rtl/>
          <w:lang w:bidi="ar-JO"/>
        </w:rPr>
        <w:t>، العدد 90. ص114-128. مجلة جامعة أم القرى لعلوم الشريعة والدراسات الإسلامية. السعودية.</w:t>
      </w:r>
    </w:p>
  </w:footnote>
  <w:footnote w:id="986">
    <w:p w14:paraId="6AEAC36D" w14:textId="4EC0C06B"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هنداوي، محفوظ. (2020). </w:t>
      </w:r>
      <w:r w:rsidRPr="002273BC">
        <w:rPr>
          <w:rFonts w:ascii="Arabic Transparent" w:hAnsi="Arabic Transparent" w:cs="Arabic Transparent" w:hint="cs"/>
          <w:b/>
          <w:bCs/>
          <w:sz w:val="24"/>
          <w:szCs w:val="24"/>
          <w:rtl/>
          <w:lang w:bidi="ar-JO"/>
        </w:rPr>
        <w:t>المقاولاتية الرقمية كفرصة متاحة للطلبة الجامعيين لتحقيق مشاريعهم: نموذج مقترح،</w:t>
      </w:r>
      <w:r w:rsidRPr="002273BC">
        <w:rPr>
          <w:rFonts w:ascii="Arabic Transparent" w:hAnsi="Arabic Transparent" w:cs="Arabic Transparent" w:hint="cs"/>
          <w:sz w:val="24"/>
          <w:szCs w:val="24"/>
          <w:rtl/>
          <w:lang w:bidi="ar-JO"/>
        </w:rPr>
        <w:t xml:space="preserve"> المجلد 13، العدد 3. ص1-15، مجلة العلوم الاقتصادية والتسيير والعلوم التجارية. جامعة محمد بوضياف - المسيلة، الجزائر. </w:t>
      </w:r>
    </w:p>
  </w:footnote>
  <w:footnote w:id="987">
    <w:p w14:paraId="4B5818CB" w14:textId="6FD4B8C1"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انظر: العنزي، عادل خالد عبد الكريم. (2021). </w:t>
      </w:r>
      <w:r w:rsidRPr="002273BC">
        <w:rPr>
          <w:rFonts w:ascii="Arabic Transparent" w:hAnsi="Arabic Transparent" w:cs="Arabic Transparent" w:hint="cs"/>
          <w:b/>
          <w:bCs/>
          <w:sz w:val="24"/>
          <w:szCs w:val="24"/>
          <w:rtl/>
          <w:lang w:bidi="ar-JO"/>
        </w:rPr>
        <w:t>حكم بيع الدروب شيبنج في الفقه الإسلامي</w:t>
      </w:r>
      <w:r w:rsidR="006A788D" w:rsidRPr="002273BC">
        <w:rPr>
          <w:rFonts w:ascii="Arabic Transparent" w:hAnsi="Arabic Transparent" w:cs="Arabic Transparent" w:hint="cs"/>
          <w:b/>
          <w:bCs/>
          <w:sz w:val="24"/>
          <w:szCs w:val="24"/>
          <w:rtl/>
          <w:lang w:bidi="ar-JO"/>
        </w:rPr>
        <w:t xml:space="preserve"> </w:t>
      </w:r>
      <w:r w:rsidRPr="002273BC">
        <w:rPr>
          <w:rFonts w:ascii="Arabic Transparent" w:hAnsi="Arabic Transparent" w:cs="Arabic Transparent" w:hint="cs"/>
          <w:b/>
          <w:bCs/>
          <w:sz w:val="24"/>
          <w:szCs w:val="24"/>
          <w:rtl/>
          <w:lang w:bidi="ar-JO"/>
        </w:rPr>
        <w:t>.</w:t>
      </w:r>
      <w:r w:rsidRPr="002273BC">
        <w:rPr>
          <w:rFonts w:ascii="Arabic Transparent" w:hAnsi="Arabic Transparent" w:cs="Arabic Transparent" w:hint="cs"/>
          <w:sz w:val="24"/>
          <w:szCs w:val="24"/>
          <w:rtl/>
          <w:lang w:bidi="ar-JO"/>
        </w:rPr>
        <w:t xml:space="preserve"> المجلد 43، العدد 1. ص179، مجلة الدراسات العربية. كلية دار العلوم، جامعة المنيا، مصر.</w:t>
      </w:r>
    </w:p>
  </w:footnote>
  <w:footnote w:id="988">
    <w:p w14:paraId="0DBC08AE"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دائرة الإفتاء العام الأردنية - لجنة الإفتاء. (2023). </w:t>
      </w:r>
      <w:r w:rsidRPr="002273BC">
        <w:rPr>
          <w:rFonts w:ascii="Arabic Transparent" w:hAnsi="Arabic Transparent" w:cs="Arabic Transparent" w:hint="cs"/>
          <w:b/>
          <w:bCs/>
          <w:sz w:val="24"/>
          <w:szCs w:val="24"/>
          <w:rtl/>
          <w:lang w:bidi="ar-JO"/>
        </w:rPr>
        <w:t>حكم التجارة الإلكترونية بالدروب شيبينغ. فتوى بحثية. رقم الفتوى: 3754.</w:t>
      </w:r>
      <w:r w:rsidRPr="002273BC">
        <w:rPr>
          <w:rFonts w:ascii="Arabic Transparent" w:hAnsi="Arabic Transparent" w:cs="Arabic Transparent" w:hint="cs"/>
          <w:sz w:val="24"/>
          <w:szCs w:val="24"/>
          <w:rtl/>
          <w:lang w:bidi="ar-JO"/>
        </w:rPr>
        <w:t xml:space="preserve"> متاح على: </w:t>
      </w:r>
      <w:hyperlink r:id="rId21" w:history="1">
        <w:r w:rsidRPr="002273BC">
          <w:rPr>
            <w:rStyle w:val="Hyperlink"/>
            <w:rFonts w:ascii="Arabic Transparent" w:hAnsi="Arabic Transparent" w:cs="Arabic Transparent"/>
            <w:sz w:val="24"/>
            <w:szCs w:val="24"/>
            <w:lang w:bidi="ar-JO"/>
          </w:rPr>
          <w:t>https://www.aliftaa.jo/research-fatwas/3754</w:t>
        </w:r>
        <w:r w:rsidRPr="002273BC">
          <w:rPr>
            <w:rStyle w:val="Hyperlink"/>
            <w:rFonts w:ascii="Arabic Transparent" w:hAnsi="Arabic Transparent" w:cs="Arabic Transparent"/>
            <w:sz w:val="24"/>
            <w:szCs w:val="24"/>
            <w:rtl/>
            <w:lang w:bidi="ar-JO"/>
          </w:rPr>
          <w:t>/</w:t>
        </w:r>
      </w:hyperlink>
      <w:r w:rsidRPr="002273BC">
        <w:rPr>
          <w:rFonts w:ascii="Arabic Transparent" w:hAnsi="Arabic Transparent" w:cs="Arabic Transparent" w:hint="cs"/>
          <w:sz w:val="24"/>
          <w:szCs w:val="24"/>
          <w:rtl/>
          <w:lang w:bidi="ar-JO"/>
        </w:rPr>
        <w:t>، تاريخ الاطلاع: 22/ 2/ 2026.</w:t>
      </w:r>
    </w:p>
  </w:footnote>
  <w:footnote w:id="989">
    <w:p w14:paraId="01A5A207"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دار الإفتاء المصرية - الأستاذ الدكتور شوقي إبراهيم علام. (2022). </w:t>
      </w:r>
      <w:r w:rsidRPr="002273BC">
        <w:rPr>
          <w:rFonts w:ascii="Arabic Transparent" w:hAnsi="Arabic Transparent" w:cs="Arabic Transparent" w:hint="cs"/>
          <w:b/>
          <w:bCs/>
          <w:sz w:val="24"/>
          <w:szCs w:val="24"/>
          <w:rtl/>
          <w:lang w:bidi="ar-JO"/>
        </w:rPr>
        <w:t>حكم البيع في المتاجر الإلكترونية (دروب شيبنج)</w:t>
      </w:r>
      <w:r w:rsidRPr="002273BC">
        <w:rPr>
          <w:rFonts w:ascii="Arabic Transparent" w:hAnsi="Arabic Transparent" w:cs="Arabic Transparent" w:hint="cs"/>
          <w:sz w:val="24"/>
          <w:szCs w:val="24"/>
          <w:rtl/>
          <w:lang w:bidi="ar-JO"/>
        </w:rPr>
        <w:t xml:space="preserve">. فتوى رقم: 6464. 13 فبراير 2022م. متاح على: </w:t>
      </w:r>
      <w:hyperlink r:id="rId22" w:history="1">
        <w:r w:rsidRPr="002273BC">
          <w:rPr>
            <w:rStyle w:val="Hyperlink"/>
            <w:rFonts w:ascii="Arabic Transparent" w:hAnsi="Arabic Transparent" w:cs="Arabic Transparent"/>
            <w:sz w:val="24"/>
            <w:szCs w:val="24"/>
            <w:lang w:bidi="ar-JO"/>
          </w:rPr>
          <w:t>https://dar-alifta.org/ar/fatwa/details/17106</w:t>
        </w:r>
      </w:hyperlink>
      <w:r w:rsidRPr="002273BC">
        <w:rPr>
          <w:rFonts w:ascii="Arabic Transparent" w:hAnsi="Arabic Transparent" w:cs="Arabic Transparent" w:hint="cs"/>
          <w:sz w:val="24"/>
          <w:szCs w:val="24"/>
          <w:rtl/>
          <w:lang w:bidi="ar-JO"/>
        </w:rPr>
        <w:t>، تاريخ الاطلاع: 13/ 2/ 2026.</w:t>
      </w:r>
    </w:p>
  </w:footnote>
  <w:footnote w:id="990">
    <w:p w14:paraId="4A459D77"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انظر: العنزي، </w:t>
      </w:r>
      <w:r w:rsidRPr="002273BC">
        <w:rPr>
          <w:rFonts w:ascii="Arabic Transparent" w:hAnsi="Arabic Transparent" w:cs="Arabic Transparent" w:hint="cs"/>
          <w:b/>
          <w:bCs/>
          <w:sz w:val="24"/>
          <w:szCs w:val="24"/>
          <w:rtl/>
          <w:lang w:bidi="ar-JO"/>
        </w:rPr>
        <w:t>حكم بيع الدروب شيبنج في الفقه الإسلامي</w:t>
      </w:r>
      <w:r w:rsidRPr="002273BC">
        <w:rPr>
          <w:rFonts w:ascii="Arabic Transparent" w:hAnsi="Arabic Transparent" w:cs="Arabic Transparent" w:hint="cs"/>
          <w:sz w:val="24"/>
          <w:szCs w:val="24"/>
          <w:rtl/>
          <w:lang w:bidi="ar-JO"/>
        </w:rPr>
        <w:t>، مصدر سابق، ص179.</w:t>
      </w:r>
    </w:p>
  </w:footnote>
  <w:footnote w:id="991">
    <w:p w14:paraId="6BB6BD8A"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مركز الفتوى - جامعة النجاح الوطنية. (2023). </w:t>
      </w:r>
      <w:r w:rsidRPr="002273BC">
        <w:rPr>
          <w:rFonts w:ascii="Arabic Transparent" w:hAnsi="Arabic Transparent" w:cs="Arabic Transparent" w:hint="cs"/>
          <w:b/>
          <w:bCs/>
          <w:sz w:val="24"/>
          <w:szCs w:val="24"/>
          <w:rtl/>
          <w:lang w:bidi="ar-JO"/>
        </w:rPr>
        <w:t>حكم التجارة بطريقة الدروب شيبنج (</w:t>
      </w:r>
      <w:r w:rsidRPr="002273BC">
        <w:rPr>
          <w:rFonts w:ascii="Arabic Transparent" w:hAnsi="Arabic Transparent" w:cs="Arabic Transparent" w:hint="cs"/>
          <w:b/>
          <w:bCs/>
          <w:sz w:val="24"/>
          <w:szCs w:val="24"/>
          <w:lang w:bidi="ar-JO"/>
        </w:rPr>
        <w:t>dropshipping</w:t>
      </w:r>
      <w:r w:rsidRPr="002273BC">
        <w:rPr>
          <w:rFonts w:ascii="Arabic Transparent" w:hAnsi="Arabic Transparent" w:cs="Arabic Transparent" w:hint="cs"/>
          <w:b/>
          <w:bCs/>
          <w:sz w:val="24"/>
          <w:szCs w:val="24"/>
          <w:rtl/>
          <w:lang w:bidi="ar-JO"/>
        </w:rPr>
        <w:t>).</w:t>
      </w:r>
      <w:r w:rsidRPr="002273BC">
        <w:rPr>
          <w:rFonts w:ascii="Arabic Transparent" w:hAnsi="Arabic Transparent" w:cs="Arabic Transparent" w:hint="cs"/>
          <w:sz w:val="24"/>
          <w:szCs w:val="24"/>
          <w:rtl/>
          <w:lang w:bidi="ar-JO"/>
        </w:rPr>
        <w:t xml:space="preserve"> فتوى رقم: 621128. 16 نوفمبر 2023م. نابلس: جامعة النجاح الوطنية، فلسطين. متاح على: </w:t>
      </w:r>
      <w:r w:rsidRPr="002273BC">
        <w:rPr>
          <w:rFonts w:ascii="Arabic Transparent" w:hAnsi="Arabic Transparent" w:cs="Arabic Transparent" w:hint="cs"/>
          <w:sz w:val="24"/>
          <w:szCs w:val="24"/>
          <w:lang w:bidi="ar-JO"/>
        </w:rPr>
        <w:t>https://fatwa.najah.edu</w:t>
      </w:r>
      <w:r w:rsidRPr="002273BC">
        <w:rPr>
          <w:rFonts w:ascii="Arabic Transparent" w:hAnsi="Arabic Transparent" w:cs="Arabic Transparent" w:hint="cs"/>
          <w:sz w:val="24"/>
          <w:szCs w:val="24"/>
          <w:rtl/>
          <w:lang w:bidi="ar-JO"/>
        </w:rPr>
        <w:t>/</w:t>
      </w:r>
    </w:p>
  </w:footnote>
  <w:footnote w:id="992">
    <w:p w14:paraId="5C923E3C"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دار الإفتاء الليبية - لجنة الفتوى. (2022). </w:t>
      </w:r>
      <w:r w:rsidRPr="002273BC">
        <w:rPr>
          <w:rFonts w:ascii="Arabic Transparent" w:hAnsi="Arabic Transparent" w:cs="Arabic Transparent" w:hint="cs"/>
          <w:b/>
          <w:bCs/>
          <w:sz w:val="24"/>
          <w:szCs w:val="24"/>
          <w:rtl/>
          <w:lang w:bidi="ar-JO"/>
        </w:rPr>
        <w:t>ما حكم التجارة عن طريق الدروب شيبينج (</w:t>
      </w:r>
      <w:r w:rsidRPr="002273BC">
        <w:rPr>
          <w:rFonts w:ascii="Arabic Transparent" w:hAnsi="Arabic Transparent" w:cs="Arabic Transparent" w:hint="cs"/>
          <w:b/>
          <w:bCs/>
          <w:sz w:val="24"/>
          <w:szCs w:val="24"/>
          <w:lang w:bidi="ar-JO"/>
        </w:rPr>
        <w:t>Drop shipping</w:t>
      </w:r>
      <w:r w:rsidRPr="002273BC">
        <w:rPr>
          <w:rFonts w:ascii="Arabic Transparent" w:hAnsi="Arabic Transparent" w:cs="Arabic Transparent" w:hint="cs"/>
          <w:b/>
          <w:bCs/>
          <w:sz w:val="24"/>
          <w:szCs w:val="24"/>
          <w:rtl/>
          <w:lang w:bidi="ar-JO"/>
        </w:rPr>
        <w:t>).</w:t>
      </w:r>
      <w:r w:rsidRPr="002273BC">
        <w:rPr>
          <w:rFonts w:ascii="Arabic Transparent" w:hAnsi="Arabic Transparent" w:cs="Arabic Transparent" w:hint="cs"/>
          <w:sz w:val="24"/>
          <w:szCs w:val="24"/>
          <w:rtl/>
          <w:lang w:bidi="ar-JO"/>
        </w:rPr>
        <w:t xml:space="preserve"> فتوى رقم: 4822. بإفتاء: الشيخ الصادق بن عبد الرحمن الغرياني - مفتي عام ليبيا. متاح على: </w:t>
      </w:r>
      <w:r w:rsidRPr="002273BC">
        <w:rPr>
          <w:rFonts w:ascii="Arabic Transparent" w:hAnsi="Arabic Transparent" w:cs="Arabic Transparent" w:hint="cs"/>
          <w:sz w:val="24"/>
          <w:szCs w:val="24"/>
          <w:lang w:bidi="ar-JO"/>
        </w:rPr>
        <w:t>https://ifta.ly/24512</w:t>
      </w:r>
    </w:p>
  </w:footnote>
  <w:footnote w:id="993">
    <w:p w14:paraId="716A5B3C" w14:textId="179858B5"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منتدى الاقتصاد الإسلامي. (2025). بيان رقم (2025/6</w:t>
      </w:r>
      <w:r w:rsidRPr="002273BC">
        <w:rPr>
          <w:rFonts w:ascii="Arabic Transparent" w:hAnsi="Arabic Transparent" w:cs="Arabic Transparent" w:hint="cs"/>
          <w:b/>
          <w:bCs/>
          <w:sz w:val="24"/>
          <w:szCs w:val="24"/>
          <w:rtl/>
          <w:lang w:bidi="ar-JO"/>
        </w:rPr>
        <w:t>) بشأن وساطة المتجر الإلكتروني "دروب شيبنج"</w:t>
      </w:r>
      <w:r w:rsidRPr="002273BC">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sz w:val="24"/>
          <w:szCs w:val="24"/>
          <w:lang w:bidi="ar-JO"/>
        </w:rPr>
        <w:t>(Drop Shipping). 8</w:t>
      </w:r>
      <w:r w:rsidRPr="002273BC">
        <w:rPr>
          <w:rFonts w:ascii="Arabic Transparent" w:hAnsi="Arabic Transparent" w:cs="Arabic Transparent" w:hint="cs"/>
          <w:sz w:val="24"/>
          <w:szCs w:val="24"/>
          <w:rtl/>
          <w:lang w:bidi="ar-JO"/>
        </w:rPr>
        <w:t xml:space="preserve"> على الرابط: </w:t>
      </w:r>
      <w:hyperlink r:id="rId23" w:history="1">
        <w:r w:rsidRPr="002273BC">
          <w:rPr>
            <w:rStyle w:val="Hyperlink"/>
            <w:rFonts w:ascii="Arabic Transparent" w:hAnsi="Arabic Transparent" w:cs="Arabic Transparent"/>
            <w:sz w:val="24"/>
            <w:szCs w:val="24"/>
            <w:lang w:bidi="ar-JO"/>
          </w:rPr>
          <w:t>https://iefpedia.com/posts/cmj47ozan10s7r18qnhzada2p</w:t>
        </w:r>
      </w:hyperlink>
      <w:r w:rsidRPr="002273BC">
        <w:rPr>
          <w:rFonts w:ascii="Arabic Transparent" w:hAnsi="Arabic Transparent" w:cs="Arabic Transparent" w:hint="cs"/>
          <w:sz w:val="24"/>
          <w:szCs w:val="24"/>
          <w:rtl/>
          <w:lang w:bidi="ar-JO"/>
        </w:rPr>
        <w:t xml:space="preserve">، تاريخ </w:t>
      </w:r>
      <w:r w:rsidR="00B154EE" w:rsidRPr="002273BC">
        <w:rPr>
          <w:rFonts w:ascii="Arabic Transparent" w:hAnsi="Arabic Transparent" w:cs="Arabic Transparent" w:hint="cs"/>
          <w:sz w:val="24"/>
          <w:szCs w:val="24"/>
          <w:rtl/>
          <w:lang w:bidi="ar-JO"/>
        </w:rPr>
        <w:t>الاطلاع</w:t>
      </w:r>
      <w:r w:rsidRPr="002273BC">
        <w:rPr>
          <w:rFonts w:ascii="Arabic Transparent" w:hAnsi="Arabic Transparent" w:cs="Arabic Transparent" w:hint="cs"/>
          <w:sz w:val="24"/>
          <w:szCs w:val="24"/>
          <w:rtl/>
          <w:lang w:bidi="ar-JO"/>
        </w:rPr>
        <w:t xml:space="preserve"> 12/3/2026.</w:t>
      </w:r>
    </w:p>
  </w:footnote>
  <w:footnote w:id="994">
    <w:p w14:paraId="183B0C07"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انظر: السياري، </w:t>
      </w:r>
      <w:r w:rsidRPr="002273BC">
        <w:rPr>
          <w:rFonts w:ascii="Arabic Transparent" w:hAnsi="Arabic Transparent" w:cs="Arabic Transparent" w:hint="cs"/>
          <w:b/>
          <w:bCs/>
          <w:sz w:val="24"/>
          <w:szCs w:val="24"/>
          <w:rtl/>
          <w:lang w:bidi="ar-JO"/>
        </w:rPr>
        <w:t>البيع المقترن بشحن البضاعة عبر المورد '</w:t>
      </w:r>
      <w:r w:rsidRPr="002273BC">
        <w:rPr>
          <w:rFonts w:ascii="Arabic Transparent" w:hAnsi="Arabic Transparent" w:cs="Arabic Transparent" w:hint="cs"/>
          <w:b/>
          <w:bCs/>
          <w:sz w:val="24"/>
          <w:szCs w:val="24"/>
          <w:lang w:bidi="ar-JO"/>
        </w:rPr>
        <w:t>Shipping Drop</w:t>
      </w:r>
      <w:r w:rsidRPr="002273BC">
        <w:rPr>
          <w:rFonts w:ascii="Arabic Transparent" w:hAnsi="Arabic Transparent" w:cs="Arabic Transparent" w:hint="cs"/>
          <w:b/>
          <w:bCs/>
          <w:sz w:val="24"/>
          <w:szCs w:val="24"/>
          <w:rtl/>
          <w:lang w:bidi="ar-JO"/>
        </w:rPr>
        <w:t>'،</w:t>
      </w:r>
      <w:r w:rsidRPr="002273BC">
        <w:rPr>
          <w:rFonts w:ascii="Arabic Transparent" w:hAnsi="Arabic Transparent" w:cs="Arabic Transparent" w:hint="cs"/>
          <w:sz w:val="24"/>
          <w:szCs w:val="24"/>
          <w:rtl/>
          <w:lang w:bidi="ar-JO"/>
        </w:rPr>
        <w:t xml:space="preserve"> مصدر سابق، ص122.</w:t>
      </w:r>
    </w:p>
  </w:footnote>
  <w:footnote w:id="995">
    <w:p w14:paraId="2C492C81" w14:textId="3AD67149"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انظر: دار الإفتاء المصرية، حكم البيع في المتاجر الإلكترونية (دروب شيبنج)، مصدر سابق،</w:t>
      </w:r>
      <w:r w:rsidR="005D7B91" w:rsidRPr="002273BC">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sz w:val="24"/>
          <w:szCs w:val="24"/>
          <w:rtl/>
          <w:lang w:bidi="ar-JO"/>
        </w:rPr>
        <w:t>على الرابط:</w:t>
      </w:r>
      <w:r w:rsidR="005D7B91" w:rsidRPr="002273BC">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sz w:val="24"/>
          <w:szCs w:val="24"/>
          <w:lang w:bidi="ar-JO"/>
        </w:rPr>
        <w:t>https://dar-alifta.org/ar/fatwa/details/17106</w:t>
      </w:r>
    </w:p>
  </w:footnote>
  <w:footnote w:id="996">
    <w:p w14:paraId="0E3D210A"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انظر: </w:t>
      </w:r>
      <w:r w:rsidRPr="002273BC">
        <w:rPr>
          <w:rFonts w:ascii="Arabic Transparent" w:hAnsi="Arabic Transparent" w:cs="Arabic Transparent" w:hint="cs"/>
          <w:sz w:val="24"/>
          <w:szCs w:val="24"/>
          <w:rtl/>
          <w:lang w:bidi="ar-JO"/>
        </w:rPr>
        <w:t>دائرة الإفتاء العام الأردنية - لجنة الإفتاء. (2023</w:t>
      </w:r>
      <w:r w:rsidRPr="002273BC">
        <w:rPr>
          <w:rFonts w:ascii="Arabic Transparent" w:hAnsi="Arabic Transparent" w:cs="Arabic Transparent" w:hint="cs"/>
          <w:b/>
          <w:bCs/>
          <w:sz w:val="24"/>
          <w:szCs w:val="24"/>
          <w:rtl/>
          <w:lang w:bidi="ar-JO"/>
        </w:rPr>
        <w:t>). حكم التجارة الإلكترونية بالدروب شيبينغ.</w:t>
      </w:r>
      <w:r w:rsidRPr="002273BC">
        <w:rPr>
          <w:rFonts w:ascii="Arabic Transparent" w:hAnsi="Arabic Transparent" w:cs="Arabic Transparent" w:hint="cs"/>
          <w:sz w:val="24"/>
          <w:szCs w:val="24"/>
          <w:rtl/>
          <w:lang w:bidi="ar-JO"/>
        </w:rPr>
        <w:t xml:space="preserve"> فتوى بحثية، مصدر سابق. على الرابط: </w:t>
      </w:r>
      <w:hyperlink r:id="rId24" w:history="1">
        <w:r w:rsidRPr="002273BC">
          <w:rPr>
            <w:rStyle w:val="Hyperlink"/>
            <w:rFonts w:ascii="Arabic Transparent" w:hAnsi="Arabic Transparent" w:cs="Arabic Transparent"/>
            <w:sz w:val="24"/>
            <w:szCs w:val="24"/>
            <w:lang w:bidi="ar-JO"/>
          </w:rPr>
          <w:t>https://www.aliftaa.jo/research-fatwas/3754</w:t>
        </w:r>
        <w:r w:rsidRPr="002273BC">
          <w:rPr>
            <w:rStyle w:val="Hyperlink"/>
            <w:rFonts w:ascii="Arabic Transparent" w:hAnsi="Arabic Transparent" w:cs="Arabic Transparent"/>
            <w:sz w:val="24"/>
            <w:szCs w:val="24"/>
            <w:rtl/>
            <w:lang w:bidi="ar-JO"/>
          </w:rPr>
          <w:t>/</w:t>
        </w:r>
      </w:hyperlink>
      <w:r w:rsidRPr="002273BC">
        <w:rPr>
          <w:rFonts w:ascii="Arabic Transparent" w:hAnsi="Arabic Transparent" w:cs="Arabic Transparent" w:hint="cs"/>
          <w:sz w:val="24"/>
          <w:szCs w:val="24"/>
          <w:rtl/>
          <w:lang w:bidi="ar-JO"/>
        </w:rPr>
        <w:t xml:space="preserve"> </w:t>
      </w:r>
      <w:r w:rsidRPr="002273BC">
        <w:rPr>
          <w:rFonts w:ascii="Arabic Transparent" w:hAnsi="Arabic Transparent" w:cs="Arabic Transparent"/>
          <w:sz w:val="24"/>
          <w:szCs w:val="24"/>
          <w:rtl/>
          <w:lang w:bidi="ar-JO"/>
        </w:rPr>
        <w:t>تاريخ الاطلاع: 22/ 2/ 2026.</w:t>
      </w:r>
    </w:p>
  </w:footnote>
  <w:footnote w:id="997">
    <w:p w14:paraId="5A293DBF" w14:textId="0F9E8935"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00AA2333">
        <w:rPr>
          <w:rFonts w:ascii="Arabic Transparent" w:hAnsi="Arabic Transparent" w:cs="Arabic Transparent" w:hint="cs"/>
          <w:sz w:val="24"/>
          <w:szCs w:val="24"/>
          <w:rtl/>
          <w:lang w:bidi="ar-JO"/>
        </w:rPr>
        <w:t xml:space="preserve">انظر: </w:t>
      </w:r>
      <w:r w:rsidRPr="002273BC">
        <w:rPr>
          <w:rFonts w:ascii="Arabic Transparent" w:hAnsi="Arabic Transparent" w:cs="Arabic Transparent" w:hint="cs"/>
          <w:sz w:val="24"/>
          <w:szCs w:val="24"/>
          <w:rtl/>
          <w:lang w:bidi="ar-JO"/>
        </w:rPr>
        <w:t xml:space="preserve">مجموعة من المؤلفين، </w:t>
      </w:r>
      <w:r w:rsidRPr="002273BC">
        <w:rPr>
          <w:rFonts w:ascii="Arabic Transparent" w:hAnsi="Arabic Transparent" w:cs="Arabic Transparent" w:hint="cs"/>
          <w:b/>
          <w:bCs/>
          <w:sz w:val="24"/>
          <w:szCs w:val="24"/>
          <w:rtl/>
          <w:lang w:bidi="ar-JO"/>
        </w:rPr>
        <w:t>مجلة مجمع الفقه الإسلامي التابع لمنظمة المؤتمر الإسلامي بجدة</w:t>
      </w:r>
      <w:r w:rsidRPr="002273BC">
        <w:rPr>
          <w:rFonts w:ascii="Arabic Transparent" w:hAnsi="Arabic Transparent" w:cs="Arabic Transparent" w:hint="cs"/>
          <w:sz w:val="24"/>
          <w:szCs w:val="24"/>
          <w:rtl/>
          <w:lang w:bidi="ar-JO"/>
        </w:rPr>
        <w:t>، مصدر سابق، ج8، ص298.</w:t>
      </w:r>
    </w:p>
  </w:footnote>
  <w:footnote w:id="998">
    <w:p w14:paraId="7B329C4E"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رضا، </w:t>
      </w:r>
      <w:r w:rsidRPr="002273BC">
        <w:rPr>
          <w:rFonts w:ascii="Arabic Transparent" w:hAnsi="Arabic Transparent" w:cs="Arabic Transparent" w:hint="cs"/>
          <w:b/>
          <w:bCs/>
          <w:sz w:val="24"/>
          <w:szCs w:val="24"/>
          <w:rtl/>
          <w:lang w:bidi="ar-JO"/>
        </w:rPr>
        <w:t>مجلة المنار</w:t>
      </w:r>
      <w:r w:rsidRPr="002273BC">
        <w:rPr>
          <w:rFonts w:ascii="Arabic Transparent" w:hAnsi="Arabic Transparent" w:cs="Arabic Transparent" w:hint="cs"/>
          <w:sz w:val="24"/>
          <w:szCs w:val="24"/>
          <w:rtl/>
          <w:lang w:bidi="ar-JO"/>
        </w:rPr>
        <w:t xml:space="preserve">، مصدر سابق، ج8، ص330. </w:t>
      </w:r>
    </w:p>
  </w:footnote>
  <w:footnote w:id="999">
    <w:p w14:paraId="5FA346F5"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ابن دقيق، تقي الدين أبو الفتح محمد بن علي بن وهب بن مطيع القشيري(2009</w:t>
      </w:r>
      <w:r w:rsidRPr="002273BC">
        <w:rPr>
          <w:rFonts w:ascii="Arabic Transparent" w:hAnsi="Arabic Transparent" w:cs="Arabic Transparent" w:hint="cs"/>
          <w:b/>
          <w:bCs/>
          <w:sz w:val="24"/>
          <w:szCs w:val="24"/>
          <w:rtl/>
          <w:lang w:bidi="ar-JO"/>
        </w:rPr>
        <w:t xml:space="preserve">). شرح الإلمام بأحاديث الأحكام، </w:t>
      </w:r>
      <w:r w:rsidRPr="002273BC">
        <w:rPr>
          <w:rFonts w:ascii="Arabic Transparent" w:hAnsi="Arabic Transparent" w:cs="Arabic Transparent" w:hint="cs"/>
          <w:sz w:val="24"/>
          <w:szCs w:val="24"/>
          <w:rtl/>
          <w:lang w:bidi="ar-JO"/>
        </w:rPr>
        <w:t>تحقيق وتعليق وتخريج: محمد خلوف العبد الله، ط2، ج1، ص86، دمشق: دار النوادر، سوريا.</w:t>
      </w:r>
    </w:p>
  </w:footnote>
  <w:footnote w:id="1000">
    <w:p w14:paraId="15E61121" w14:textId="0DAD377B"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انظر: </w:t>
      </w:r>
      <w:r w:rsidRPr="002273BC">
        <w:rPr>
          <w:rFonts w:ascii="Arabic Transparent" w:hAnsi="Arabic Transparent" w:cs="Arabic Transparent" w:hint="cs"/>
          <w:sz w:val="24"/>
          <w:szCs w:val="24"/>
          <w:rtl/>
          <w:lang w:bidi="ar-JO"/>
        </w:rPr>
        <w:t xml:space="preserve">منتدى الاقتصاد الإسلامي، </w:t>
      </w:r>
      <w:r w:rsidRPr="002273BC">
        <w:rPr>
          <w:rFonts w:ascii="Arabic Transparent" w:hAnsi="Arabic Transparent" w:cs="Arabic Transparent" w:hint="cs"/>
          <w:b/>
          <w:bCs/>
          <w:sz w:val="24"/>
          <w:szCs w:val="24"/>
          <w:rtl/>
          <w:lang w:bidi="ar-JO"/>
        </w:rPr>
        <w:t>بيان رقم (2025/6</w:t>
      </w:r>
      <w:r w:rsidRPr="002273BC">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b/>
          <w:bCs/>
          <w:sz w:val="24"/>
          <w:szCs w:val="24"/>
          <w:rtl/>
          <w:lang w:bidi="ar-JO"/>
        </w:rPr>
        <w:t>بشأن وساطة المتجر الإلكتروني</w:t>
      </w:r>
      <w:r w:rsidRPr="002273BC">
        <w:rPr>
          <w:rFonts w:ascii="Arabic Transparent" w:hAnsi="Arabic Transparent" w:cs="Arabic Transparent" w:hint="cs"/>
          <w:sz w:val="24"/>
          <w:szCs w:val="24"/>
          <w:rtl/>
          <w:lang w:bidi="ar-JO"/>
        </w:rPr>
        <w:t xml:space="preserve">، مصدر سابق، </w:t>
      </w:r>
      <w:r w:rsidRPr="002273BC">
        <w:rPr>
          <w:rFonts w:ascii="Arabic Transparent" w:hAnsi="Arabic Transparent" w:cs="Arabic Transparent"/>
          <w:sz w:val="24"/>
          <w:szCs w:val="24"/>
          <w:rtl/>
          <w:lang w:bidi="ar-JO"/>
        </w:rPr>
        <w:t>على الرابط:</w:t>
      </w:r>
      <w:r w:rsidRPr="002273BC">
        <w:rPr>
          <w:rFonts w:ascii="Arabic Transparent" w:hAnsi="Arabic Transparent" w:cs="Arabic Transparent"/>
          <w:sz w:val="24"/>
          <w:szCs w:val="24"/>
          <w:lang w:bidi="ar-JO"/>
        </w:rPr>
        <w:t>https://iefpedia.com/posts/cmj47ozan10s7r18qnhzada2p</w:t>
      </w:r>
      <w:r w:rsidRPr="002273BC">
        <w:rPr>
          <w:rFonts w:ascii="Arabic Transparent" w:hAnsi="Arabic Transparent" w:cs="Arabic Transparent"/>
          <w:sz w:val="24"/>
          <w:szCs w:val="24"/>
          <w:rtl/>
          <w:lang w:bidi="ar-JO"/>
        </w:rPr>
        <w:t xml:space="preserve">، تاريخ </w:t>
      </w:r>
      <w:r w:rsidR="00B154EE" w:rsidRPr="002273BC">
        <w:rPr>
          <w:rFonts w:ascii="Arabic Transparent" w:hAnsi="Arabic Transparent" w:cs="Arabic Transparent" w:hint="cs"/>
          <w:sz w:val="24"/>
          <w:szCs w:val="24"/>
          <w:rtl/>
          <w:lang w:bidi="ar-JO"/>
        </w:rPr>
        <w:t>الاطلاع</w:t>
      </w:r>
      <w:r w:rsidRPr="002273BC">
        <w:rPr>
          <w:rFonts w:ascii="Arabic Transparent" w:hAnsi="Arabic Transparent" w:cs="Arabic Transparent"/>
          <w:sz w:val="24"/>
          <w:szCs w:val="24"/>
          <w:rtl/>
          <w:lang w:bidi="ar-JO"/>
        </w:rPr>
        <w:t xml:space="preserve"> 12/3/2026.</w:t>
      </w:r>
    </w:p>
  </w:footnote>
  <w:footnote w:id="1001">
    <w:p w14:paraId="362BD696" w14:textId="240F9363"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انظر: دار الإفتاء المصرية - </w:t>
      </w:r>
      <w:r w:rsidRPr="002273BC">
        <w:rPr>
          <w:rFonts w:ascii="Arabic Transparent" w:hAnsi="Arabic Transparent" w:cs="Arabic Transparent" w:hint="cs"/>
          <w:b/>
          <w:bCs/>
          <w:sz w:val="24"/>
          <w:szCs w:val="24"/>
          <w:rtl/>
          <w:lang w:bidi="ar-JO"/>
        </w:rPr>
        <w:t>حكم البيع في المتاجر الإلكترونية (دروب شيبنج)</w:t>
      </w:r>
      <w:r w:rsidRPr="002273BC">
        <w:rPr>
          <w:rFonts w:ascii="Arabic Transparent" w:hAnsi="Arabic Transparent" w:cs="Arabic Transparent" w:hint="cs"/>
          <w:sz w:val="24"/>
          <w:szCs w:val="24"/>
          <w:rtl/>
          <w:lang w:bidi="ar-JO"/>
        </w:rPr>
        <w:t xml:space="preserve"> مصدر سابق،</w:t>
      </w:r>
      <w:r w:rsidR="005D7B91" w:rsidRPr="002273BC">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sz w:val="24"/>
          <w:szCs w:val="24"/>
          <w:rtl/>
          <w:lang w:bidi="ar-JO"/>
        </w:rPr>
        <w:t>على الرابط:</w:t>
      </w:r>
      <w:r w:rsidRPr="002273BC">
        <w:rPr>
          <w:rFonts w:ascii="Arabic Transparent" w:hAnsi="Arabic Transparent" w:cs="Arabic Transparent" w:hint="cs"/>
          <w:sz w:val="24"/>
          <w:szCs w:val="24"/>
          <w:lang w:bidi="ar-JO"/>
        </w:rPr>
        <w:t>https://dar-alifta.org/ar/fatwa/details/17106</w:t>
      </w:r>
      <w:r w:rsidRPr="002273BC">
        <w:rPr>
          <w:rFonts w:ascii="Arabic Transparent" w:hAnsi="Arabic Transparent" w:cs="Arabic Transparent" w:hint="cs"/>
          <w:sz w:val="24"/>
          <w:szCs w:val="24"/>
          <w:rtl/>
          <w:lang w:bidi="ar-JO"/>
        </w:rPr>
        <w:t xml:space="preserve">، </w:t>
      </w:r>
      <w:r w:rsidRPr="002273BC">
        <w:rPr>
          <w:rFonts w:ascii="Arabic Transparent" w:hAnsi="Arabic Transparent" w:cs="Arabic Transparent"/>
          <w:sz w:val="24"/>
          <w:szCs w:val="24"/>
          <w:rtl/>
          <w:lang w:bidi="ar-JO"/>
        </w:rPr>
        <w:t>تاريخ الاطلاع: 13/ 2/ 2026.</w:t>
      </w:r>
    </w:p>
  </w:footnote>
  <w:footnote w:id="1002">
    <w:p w14:paraId="4AD409CA"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مراد، فضل بن عبد الله (2016). </w:t>
      </w:r>
      <w:r w:rsidRPr="002273BC">
        <w:rPr>
          <w:rFonts w:ascii="Arabic Transparent" w:hAnsi="Arabic Transparent" w:cs="Arabic Transparent" w:hint="cs"/>
          <w:b/>
          <w:bCs/>
          <w:sz w:val="24"/>
          <w:szCs w:val="24"/>
          <w:rtl/>
          <w:lang w:bidi="ar-JO"/>
        </w:rPr>
        <w:t>المقدمة في فقه العصر</w:t>
      </w:r>
      <w:r w:rsidRPr="002273BC">
        <w:rPr>
          <w:rFonts w:ascii="Arabic Transparent" w:hAnsi="Arabic Transparent" w:cs="Arabic Transparent" w:hint="cs"/>
          <w:sz w:val="24"/>
          <w:szCs w:val="24"/>
          <w:rtl/>
          <w:lang w:bidi="ar-JO"/>
        </w:rPr>
        <w:t>، الطبعة ط2، ص34 صنعاء: الجيل الجديد ناشرون، اليمن.</w:t>
      </w:r>
    </w:p>
  </w:footnote>
  <w:footnote w:id="1003">
    <w:p w14:paraId="4388674B"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w:t>
      </w:r>
      <w:r w:rsidRPr="002273BC">
        <w:rPr>
          <w:rFonts w:ascii="Arabic Transparent" w:hAnsi="Arabic Transparent" w:cs="Arabic Transparent" w:hint="cs"/>
          <w:sz w:val="24"/>
          <w:szCs w:val="24"/>
          <w:rtl/>
          <w:lang w:bidi="ar-JO"/>
        </w:rPr>
        <w:t xml:space="preserve">عربيات، وائل محمد؛ والعون، أحمد عبد الله عبيد.(2022) </w:t>
      </w:r>
      <w:r w:rsidRPr="002273BC">
        <w:rPr>
          <w:rFonts w:ascii="Arabic Transparent" w:hAnsi="Arabic Transparent" w:cs="Arabic Transparent" w:hint="cs"/>
          <w:b/>
          <w:bCs/>
          <w:sz w:val="24"/>
          <w:szCs w:val="24"/>
          <w:rtl/>
          <w:lang w:bidi="ar-JO"/>
        </w:rPr>
        <w:t>الضوابط الشرعية للتجارة الإلكترونية في العملات الدولية</w:t>
      </w:r>
      <w:r w:rsidRPr="002273BC">
        <w:rPr>
          <w:rFonts w:ascii="Arabic Transparent" w:hAnsi="Arabic Transparent" w:cs="Arabic Transparent" w:hint="cs"/>
          <w:sz w:val="24"/>
          <w:szCs w:val="24"/>
          <w:rtl/>
          <w:lang w:bidi="ar-JO"/>
        </w:rPr>
        <w:t xml:space="preserve">، بحث منشور في مجلة دائرة الإفتاء الأردنية على الرابط: </w:t>
      </w:r>
      <w:hyperlink r:id="rId25" w:history="1">
        <w:r w:rsidRPr="002273BC">
          <w:rPr>
            <w:rStyle w:val="Hyperlink"/>
            <w:rFonts w:ascii="Arabic Transparent" w:hAnsi="Arabic Transparent" w:cs="Arabic Transparent" w:hint="cs"/>
            <w:sz w:val="24"/>
            <w:szCs w:val="24"/>
            <w:lang w:bidi="ar-JO"/>
          </w:rPr>
          <w:t>https://aliftaa.jo/Research/240</w:t>
        </w:r>
      </w:hyperlink>
      <w:r w:rsidRPr="002273BC">
        <w:rPr>
          <w:rFonts w:ascii="Arabic Transparent" w:hAnsi="Arabic Transparent" w:cs="Arabic Transparent" w:hint="cs"/>
          <w:sz w:val="24"/>
          <w:szCs w:val="24"/>
          <w:rtl/>
          <w:lang w:bidi="ar-JO"/>
        </w:rPr>
        <w:t xml:space="preserve"> تاريخ الاطلاع 4/4/2026م.</w:t>
      </w:r>
    </w:p>
  </w:footnote>
  <w:footnote w:id="1004">
    <w:p w14:paraId="62EF8B13" w14:textId="77777777"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Pr="002273BC">
        <w:rPr>
          <w:rFonts w:ascii="Arabic Transparent" w:hAnsi="Arabic Transparent" w:cs="Arabic Transparent" w:hint="cs"/>
          <w:sz w:val="24"/>
          <w:szCs w:val="24"/>
          <w:rtl/>
        </w:rPr>
        <w:t xml:space="preserve"> انظر: </w:t>
      </w:r>
      <w:r w:rsidRPr="002273BC">
        <w:rPr>
          <w:rFonts w:ascii="Arabic Transparent" w:hAnsi="Arabic Transparent" w:cs="Arabic Transparent" w:hint="cs"/>
          <w:sz w:val="24"/>
          <w:szCs w:val="24"/>
          <w:rtl/>
          <w:lang w:bidi="ar-JO"/>
        </w:rPr>
        <w:t xml:space="preserve">المنيع، </w:t>
      </w:r>
      <w:r w:rsidRPr="002273BC">
        <w:rPr>
          <w:rFonts w:ascii="Arabic Transparent" w:hAnsi="Arabic Transparent" w:cs="Arabic Transparent" w:hint="cs"/>
          <w:b/>
          <w:bCs/>
          <w:sz w:val="24"/>
          <w:szCs w:val="24"/>
          <w:rtl/>
          <w:lang w:bidi="ar-JO"/>
        </w:rPr>
        <w:t>ربط الحقوق والالتزامات المؤجلة بمستوى الأسعار</w:t>
      </w:r>
      <w:r w:rsidRPr="002273BC">
        <w:rPr>
          <w:rFonts w:ascii="Arabic Transparent" w:hAnsi="Arabic Transparent" w:cs="Arabic Transparent" w:hint="cs"/>
          <w:sz w:val="24"/>
          <w:szCs w:val="24"/>
          <w:rtl/>
          <w:lang w:bidi="ar-JO"/>
        </w:rPr>
        <w:t>، مصدر سابق،ج5، ص1397.</w:t>
      </w:r>
    </w:p>
  </w:footnote>
  <w:footnote w:id="1005">
    <w:p w14:paraId="1AB74826" w14:textId="5386E48A" w:rsidR="00201DD5" w:rsidRPr="002273BC" w:rsidRDefault="00201DD5" w:rsidP="00EA3738">
      <w:pPr>
        <w:pStyle w:val="FootnoteText"/>
        <w:spacing w:line="360" w:lineRule="auto"/>
        <w:jc w:val="both"/>
        <w:rPr>
          <w:rFonts w:ascii="Arabic Transparent" w:hAnsi="Arabic Transparent" w:cs="Arabic Transparent"/>
          <w:sz w:val="24"/>
          <w:szCs w:val="24"/>
          <w:rtl/>
          <w:lang w:bidi="ar-JO"/>
        </w:rPr>
      </w:pPr>
      <w:r w:rsidRPr="002273BC">
        <w:rPr>
          <w:rFonts w:ascii="Arabic Transparent" w:hAnsi="Arabic Transparent" w:cs="Arabic Transparent" w:hint="cs"/>
          <w:sz w:val="24"/>
          <w:szCs w:val="24"/>
        </w:rPr>
        <w:t>(</w:t>
      </w:r>
      <w:r w:rsidRPr="002273BC">
        <w:rPr>
          <w:rStyle w:val="FootnoteReference"/>
          <w:rFonts w:ascii="Arabic Transparent" w:hAnsi="Arabic Transparent" w:cs="Arabic Transparent" w:hint="cs"/>
          <w:sz w:val="24"/>
          <w:szCs w:val="24"/>
          <w:vertAlign w:val="baseline"/>
        </w:rPr>
        <w:footnoteRef/>
      </w:r>
      <w:r w:rsidRPr="002273BC">
        <w:rPr>
          <w:rFonts w:ascii="Arabic Transparent" w:hAnsi="Arabic Transparent" w:cs="Arabic Transparent" w:hint="cs"/>
          <w:sz w:val="24"/>
          <w:szCs w:val="24"/>
        </w:rPr>
        <w:t>)</w:t>
      </w:r>
      <w:r w:rsidR="009B536D">
        <w:rPr>
          <w:rFonts w:ascii="Arabic Transparent" w:hAnsi="Arabic Transparent" w:cs="Arabic Transparent" w:hint="cs"/>
          <w:sz w:val="24"/>
          <w:szCs w:val="24"/>
          <w:rtl/>
          <w:lang w:bidi="ar-JO"/>
        </w:rPr>
        <w:t xml:space="preserve"> </w:t>
      </w:r>
      <w:r w:rsidRPr="002273BC">
        <w:rPr>
          <w:rFonts w:ascii="Arabic Transparent" w:hAnsi="Arabic Transparent" w:cs="Arabic Transparent" w:hint="cs"/>
          <w:sz w:val="24"/>
          <w:szCs w:val="24"/>
          <w:rtl/>
          <w:lang w:bidi="ar-JO"/>
        </w:rPr>
        <w:t xml:space="preserve">الكاساني، </w:t>
      </w:r>
      <w:r w:rsidRPr="002273BC">
        <w:rPr>
          <w:rFonts w:ascii="Arabic Transparent" w:hAnsi="Arabic Transparent" w:cs="Arabic Transparent" w:hint="cs"/>
          <w:b/>
          <w:bCs/>
          <w:sz w:val="24"/>
          <w:szCs w:val="24"/>
          <w:rtl/>
          <w:lang w:bidi="ar-JO"/>
        </w:rPr>
        <w:t>بدائع الصنائع</w:t>
      </w:r>
      <w:r w:rsidRPr="002273BC">
        <w:rPr>
          <w:rFonts w:ascii="Arabic Transparent" w:hAnsi="Arabic Transparent" w:cs="Arabic Transparent" w:hint="cs"/>
          <w:sz w:val="24"/>
          <w:szCs w:val="24"/>
          <w:rtl/>
          <w:lang w:bidi="ar-JO"/>
        </w:rPr>
        <w:t xml:space="preserve"> في ترتيب الشرائع، ج5، ص2532.</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B2EC9D" w14:textId="77777777" w:rsidR="00AA7778" w:rsidRPr="00AA7778" w:rsidRDefault="00AA7778" w:rsidP="004E5D9A">
    <w:pPr>
      <w:pStyle w:val="Header"/>
      <w:suppressLineNumbers/>
      <w:rPr>
        <w:rFonts w:ascii="Times New Roman" w:hAnsi="Times New Roman" w:cs="Times New Roman"/>
        <w:b/>
        <w:bCs/>
        <w:sz w:val="24"/>
        <w:szCs w:val="24"/>
        <w:rtl/>
        <w:lang w:bidi="ar-JO"/>
      </w:rPr>
    </w:pP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FD16A5" w14:textId="2B5AC4CF" w:rsidR="00BF2E0A" w:rsidRPr="00BF2E0A" w:rsidRDefault="00BF2E0A" w:rsidP="00BF2E0A">
    <w:pPr>
      <w:pStyle w:val="Header"/>
      <w:rPr>
        <w:rtl/>
        <w:lang w:bidi="ar-JO"/>
      </w:rPr>
    </w:pPr>
  </w:p>
</w:hdr>
</file>

<file path=word/header1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EE1C80" w14:textId="0853C466" w:rsidR="00BF2E0A" w:rsidRPr="007D7C1B" w:rsidRDefault="00BF2E0A">
    <w:pPr>
      <w:pStyle w:val="Header"/>
      <w:jc w:val="center"/>
      <w:rPr>
        <w:rFonts w:ascii="Arabic Transparent" w:hAnsi="Arabic Transparent" w:cs="Arabic Transparent"/>
        <w:b/>
        <w:bCs/>
        <w:sz w:val="28"/>
        <w:szCs w:val="28"/>
        <w:rtl/>
        <w:lang w:bidi="ar-JO"/>
      </w:rPr>
    </w:pPr>
    <w:r>
      <w:rPr>
        <w:rFonts w:ascii="Arabic Transparent" w:hAnsi="Arabic Transparent" w:cs="Arabic Transparent" w:hint="cs"/>
        <w:b/>
        <w:bCs/>
        <w:sz w:val="28"/>
        <w:szCs w:val="28"/>
        <w:rtl/>
        <w:lang w:bidi="ar-JO"/>
      </w:rPr>
      <w:t>ي</w:t>
    </w:r>
  </w:p>
</w:hdr>
</file>

<file path=word/header1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9F516C" w14:textId="5D038BA7" w:rsidR="00BF2E0A" w:rsidRPr="007D7C1B" w:rsidRDefault="00BF2E0A">
    <w:pPr>
      <w:pStyle w:val="Header"/>
      <w:jc w:val="center"/>
      <w:rPr>
        <w:rFonts w:ascii="Arabic Transparent" w:hAnsi="Arabic Transparent" w:cs="Arabic Transparent"/>
        <w:b/>
        <w:bCs/>
        <w:sz w:val="28"/>
        <w:szCs w:val="28"/>
        <w:rtl/>
        <w:lang w:bidi="ar-JO"/>
      </w:rPr>
    </w:pPr>
  </w:p>
</w:hdr>
</file>

<file path=word/header1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F0DE9A" w14:textId="26AD484D" w:rsidR="003E2ABB" w:rsidRDefault="003E2ABB">
    <w:pPr>
      <w:pStyle w:val="Header"/>
      <w:jc w:val="center"/>
    </w:pPr>
    <w:r>
      <w:fldChar w:fldCharType="begin"/>
    </w:r>
    <w:r>
      <w:instrText>PAGE   \* MERGEFORMAT</w:instrText>
    </w:r>
    <w:r>
      <w:fldChar w:fldCharType="separate"/>
    </w:r>
    <w:r w:rsidR="00622117" w:rsidRPr="00622117">
      <w:rPr>
        <w:noProof/>
        <w:rtl/>
        <w:lang w:val="ar-SA"/>
      </w:rPr>
      <w:t>5</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EF7F79" w14:textId="75749A5C" w:rsidR="006C37D5" w:rsidRPr="007D7C1B" w:rsidRDefault="00BF2E0A">
    <w:pPr>
      <w:pStyle w:val="Header"/>
      <w:jc w:val="center"/>
      <w:rPr>
        <w:rFonts w:ascii="Simplified Arabic" w:hAnsi="Simplified Arabic" w:cs="Simplified Arabic"/>
        <w:b/>
        <w:bCs/>
        <w:sz w:val="28"/>
        <w:szCs w:val="28"/>
        <w:lang w:bidi="ar-JO"/>
      </w:rPr>
    </w:pPr>
    <w:r>
      <w:rPr>
        <w:rFonts w:ascii="Simplified Arabic" w:hAnsi="Simplified Arabic" w:cs="Simplified Arabic" w:hint="cs"/>
        <w:b/>
        <w:bCs/>
        <w:sz w:val="28"/>
        <w:szCs w:val="28"/>
        <w:rtl/>
        <w:lang w:bidi="ar-JO"/>
      </w:rPr>
      <w:t>ب</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1CFB84" w14:textId="586D3D96" w:rsidR="00C37E8F" w:rsidRPr="007D7C1B" w:rsidRDefault="00C37E8F" w:rsidP="007D7C1B">
    <w:pPr>
      <w:pStyle w:val="Header"/>
      <w:rPr>
        <w:lang w:bidi="ar-JO"/>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1C3AD8" w14:textId="4D7403E2" w:rsidR="003D6867" w:rsidRPr="00F35DC9" w:rsidRDefault="007D7C1B" w:rsidP="00F35DC9">
    <w:pPr>
      <w:pStyle w:val="Header"/>
      <w:jc w:val="center"/>
      <w:rPr>
        <w:rFonts w:ascii="Arabic Transparent" w:hAnsi="Arabic Transparent" w:cs="Arabic Transparent"/>
        <w:b/>
        <w:bCs/>
        <w:sz w:val="28"/>
        <w:szCs w:val="28"/>
        <w:lang w:bidi="ar-JO"/>
      </w:rPr>
    </w:pPr>
    <w:r>
      <w:rPr>
        <w:rFonts w:ascii="Arabic Transparent" w:hAnsi="Arabic Transparent" w:cs="Arabic Transparent" w:hint="cs"/>
        <w:b/>
        <w:bCs/>
        <w:sz w:val="28"/>
        <w:szCs w:val="28"/>
        <w:rtl/>
        <w:lang w:bidi="ar-JO"/>
      </w:rPr>
      <w:t>د</w: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616DF1" w14:textId="0BF6B09E" w:rsidR="007D7C1B" w:rsidRPr="007D7C1B" w:rsidRDefault="007D7C1B">
    <w:pPr>
      <w:pStyle w:val="Header"/>
      <w:jc w:val="center"/>
      <w:rPr>
        <w:rFonts w:ascii="Simplified Arabic" w:hAnsi="Simplified Arabic" w:cs="Simplified Arabic"/>
        <w:b/>
        <w:bCs/>
        <w:sz w:val="28"/>
        <w:szCs w:val="28"/>
        <w:lang w:bidi="ar-JO"/>
      </w:rPr>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62809" w14:textId="77777777" w:rsidR="007D7C1B" w:rsidRPr="007D7C1B" w:rsidRDefault="007D7C1B">
    <w:pPr>
      <w:pStyle w:val="Header"/>
      <w:jc w:val="center"/>
      <w:rPr>
        <w:rFonts w:ascii="Simplified Arabic" w:hAnsi="Simplified Arabic" w:cs="Simplified Arabic"/>
        <w:b/>
        <w:bCs/>
        <w:sz w:val="28"/>
        <w:szCs w:val="28"/>
        <w:lang w:bidi="ar-JO"/>
      </w:rPr>
    </w:pPr>
    <w:r>
      <w:rPr>
        <w:rFonts w:ascii="Simplified Arabic" w:hAnsi="Simplified Arabic" w:cs="Simplified Arabic" w:hint="cs"/>
        <w:b/>
        <w:bCs/>
        <w:sz w:val="28"/>
        <w:szCs w:val="28"/>
        <w:rtl/>
        <w:lang w:bidi="ar-JO"/>
      </w:rPr>
      <w:t>ج</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D3843B" w14:textId="7B8482E1" w:rsidR="007D7C1B" w:rsidRPr="007D7C1B" w:rsidRDefault="007D7C1B" w:rsidP="007D7C1B">
    <w:pPr>
      <w:pStyle w:val="Header"/>
      <w:rPr>
        <w:lang w:bidi="ar-JO"/>
      </w:rPr>
    </w:pP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5BC44B" w14:textId="53A03A5A" w:rsidR="007D7C1B" w:rsidRPr="007D7C1B" w:rsidRDefault="007D7C1B">
    <w:pPr>
      <w:pStyle w:val="Header"/>
      <w:jc w:val="center"/>
      <w:rPr>
        <w:rFonts w:ascii="Simplified Arabic" w:hAnsi="Simplified Arabic" w:cs="Simplified Arabic"/>
        <w:b/>
        <w:bCs/>
        <w:sz w:val="28"/>
        <w:szCs w:val="28"/>
        <w:lang w:bidi="ar-JO"/>
      </w:rPr>
    </w:pPr>
    <w:r>
      <w:rPr>
        <w:rFonts w:ascii="Simplified Arabic" w:hAnsi="Simplified Arabic" w:cs="Simplified Arabic" w:hint="cs"/>
        <w:b/>
        <w:bCs/>
        <w:sz w:val="28"/>
        <w:szCs w:val="28"/>
        <w:rtl/>
        <w:lang w:bidi="ar-JO"/>
      </w:rPr>
      <w:t>ه</w:t>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6AE22E" w14:textId="587FBFEF" w:rsidR="00F36733" w:rsidRPr="007D7C1B" w:rsidRDefault="00F36733">
    <w:pPr>
      <w:pStyle w:val="Header"/>
      <w:jc w:val="center"/>
      <w:rPr>
        <w:rFonts w:ascii="Arabic Transparent" w:hAnsi="Arabic Transparent" w:cs="Arabic Transparent"/>
        <w:b/>
        <w:bCs/>
        <w:sz w:val="28"/>
        <w:szCs w:val="28"/>
        <w:rtl/>
        <w:lang w:bidi="ar-JO"/>
      </w:rPr>
    </w:pPr>
    <w:r w:rsidRPr="007D7C1B">
      <w:rPr>
        <w:rFonts w:ascii="Arabic Transparent" w:hAnsi="Arabic Transparent" w:cs="Arabic Transparent" w:hint="cs"/>
        <w:b/>
        <w:bCs/>
        <w:sz w:val="28"/>
        <w:szCs w:val="28"/>
      </w:rPr>
      <w:fldChar w:fldCharType="begin"/>
    </w:r>
    <w:r w:rsidRPr="007D7C1B">
      <w:rPr>
        <w:rFonts w:ascii="Arabic Transparent" w:hAnsi="Arabic Transparent" w:cs="Arabic Transparent" w:hint="cs"/>
        <w:b/>
        <w:bCs/>
        <w:sz w:val="28"/>
        <w:szCs w:val="28"/>
      </w:rPr>
      <w:instrText>PAGE   \* MERGEFORMAT</w:instrText>
    </w:r>
    <w:r w:rsidRPr="007D7C1B">
      <w:rPr>
        <w:rFonts w:ascii="Arabic Transparent" w:hAnsi="Arabic Transparent" w:cs="Arabic Transparent" w:hint="cs"/>
        <w:b/>
        <w:bCs/>
        <w:sz w:val="28"/>
        <w:szCs w:val="28"/>
      </w:rPr>
      <w:fldChar w:fldCharType="separate"/>
    </w:r>
    <w:r w:rsidR="00622117" w:rsidRPr="00622117">
      <w:rPr>
        <w:rFonts w:ascii="Arabic Transparent" w:hAnsi="Arabic Transparent" w:cs="Arabic Transparent" w:hint="eastAsia"/>
        <w:b/>
        <w:bCs/>
        <w:noProof/>
        <w:sz w:val="28"/>
        <w:szCs w:val="28"/>
        <w:rtl/>
        <w:lang w:val="ar-SA"/>
      </w:rPr>
      <w:t>‌ط</w:t>
    </w:r>
    <w:r w:rsidRPr="007D7C1B">
      <w:rPr>
        <w:rFonts w:ascii="Arabic Transparent" w:hAnsi="Arabic Transparent" w:cs="Arabic Transparent" w:hint="cs"/>
        <w:b/>
        <w:bCs/>
        <w:sz w:val="28"/>
        <w:szCs w:val="28"/>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F7FDE"/>
    <w:multiLevelType w:val="hybridMultilevel"/>
    <w:tmpl w:val="6B4EF8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561E67"/>
    <w:multiLevelType w:val="hybridMultilevel"/>
    <w:tmpl w:val="1DE07230"/>
    <w:lvl w:ilvl="0" w:tplc="A238EC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4E3AD3"/>
    <w:multiLevelType w:val="hybridMultilevel"/>
    <w:tmpl w:val="D14E2AEA"/>
    <w:lvl w:ilvl="0" w:tplc="F9ACC2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F9572B"/>
    <w:multiLevelType w:val="hybridMultilevel"/>
    <w:tmpl w:val="6D26E764"/>
    <w:lvl w:ilvl="0" w:tplc="20966134">
      <w:start w:val="1"/>
      <w:numFmt w:val="decimal"/>
      <w:lvlText w:val="%1-"/>
      <w:lvlJc w:val="left"/>
      <w:pPr>
        <w:ind w:left="302" w:hanging="360"/>
      </w:pPr>
      <w:rPr>
        <w:rFonts w:hint="default"/>
      </w:rPr>
    </w:lvl>
    <w:lvl w:ilvl="1" w:tplc="04090019" w:tentative="1">
      <w:start w:val="1"/>
      <w:numFmt w:val="lowerLetter"/>
      <w:lvlText w:val="%2."/>
      <w:lvlJc w:val="left"/>
      <w:pPr>
        <w:ind w:left="1022" w:hanging="360"/>
      </w:pPr>
    </w:lvl>
    <w:lvl w:ilvl="2" w:tplc="0409001B" w:tentative="1">
      <w:start w:val="1"/>
      <w:numFmt w:val="lowerRoman"/>
      <w:lvlText w:val="%3."/>
      <w:lvlJc w:val="right"/>
      <w:pPr>
        <w:ind w:left="1742" w:hanging="180"/>
      </w:pPr>
    </w:lvl>
    <w:lvl w:ilvl="3" w:tplc="0409000F" w:tentative="1">
      <w:start w:val="1"/>
      <w:numFmt w:val="decimal"/>
      <w:lvlText w:val="%4."/>
      <w:lvlJc w:val="left"/>
      <w:pPr>
        <w:ind w:left="2462" w:hanging="360"/>
      </w:pPr>
    </w:lvl>
    <w:lvl w:ilvl="4" w:tplc="04090019" w:tentative="1">
      <w:start w:val="1"/>
      <w:numFmt w:val="lowerLetter"/>
      <w:lvlText w:val="%5."/>
      <w:lvlJc w:val="left"/>
      <w:pPr>
        <w:ind w:left="3182" w:hanging="360"/>
      </w:pPr>
    </w:lvl>
    <w:lvl w:ilvl="5" w:tplc="0409001B" w:tentative="1">
      <w:start w:val="1"/>
      <w:numFmt w:val="lowerRoman"/>
      <w:lvlText w:val="%6."/>
      <w:lvlJc w:val="right"/>
      <w:pPr>
        <w:ind w:left="3902" w:hanging="180"/>
      </w:pPr>
    </w:lvl>
    <w:lvl w:ilvl="6" w:tplc="0409000F" w:tentative="1">
      <w:start w:val="1"/>
      <w:numFmt w:val="decimal"/>
      <w:lvlText w:val="%7."/>
      <w:lvlJc w:val="left"/>
      <w:pPr>
        <w:ind w:left="4622" w:hanging="360"/>
      </w:pPr>
    </w:lvl>
    <w:lvl w:ilvl="7" w:tplc="04090019" w:tentative="1">
      <w:start w:val="1"/>
      <w:numFmt w:val="lowerLetter"/>
      <w:lvlText w:val="%8."/>
      <w:lvlJc w:val="left"/>
      <w:pPr>
        <w:ind w:left="5342" w:hanging="360"/>
      </w:pPr>
    </w:lvl>
    <w:lvl w:ilvl="8" w:tplc="0409001B" w:tentative="1">
      <w:start w:val="1"/>
      <w:numFmt w:val="lowerRoman"/>
      <w:lvlText w:val="%9."/>
      <w:lvlJc w:val="right"/>
      <w:pPr>
        <w:ind w:left="6062" w:hanging="180"/>
      </w:pPr>
    </w:lvl>
  </w:abstractNum>
  <w:abstractNum w:abstractNumId="4" w15:restartNumberingAfterBreak="0">
    <w:nsid w:val="1B3F66E3"/>
    <w:multiLevelType w:val="hybridMultilevel"/>
    <w:tmpl w:val="13482D46"/>
    <w:lvl w:ilvl="0" w:tplc="B8668F12">
      <w:start w:val="1"/>
      <w:numFmt w:val="decimal"/>
      <w:lvlText w:val="%1-"/>
      <w:lvlJc w:val="left"/>
      <w:pPr>
        <w:tabs>
          <w:tab w:val="num" w:pos="792"/>
        </w:tabs>
        <w:ind w:left="79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CB348B5"/>
    <w:multiLevelType w:val="hybridMultilevel"/>
    <w:tmpl w:val="210AC70A"/>
    <w:lvl w:ilvl="0" w:tplc="F7D67314">
      <w:start w:val="1"/>
      <w:numFmt w:val="bullet"/>
      <w:lvlText w:val=""/>
      <w:lvlJc w:val="left"/>
      <w:pPr>
        <w:tabs>
          <w:tab w:val="num" w:pos="394"/>
        </w:tabs>
        <w:ind w:left="394" w:hanging="360"/>
      </w:pPr>
      <w:rPr>
        <w:rFonts w:ascii="Symbol" w:eastAsia="Times New Roman" w:hAnsi="Symbol" w:cs="Simplified Arabic" w:hint="default"/>
      </w:rPr>
    </w:lvl>
    <w:lvl w:ilvl="1" w:tplc="04090003" w:tentative="1">
      <w:start w:val="1"/>
      <w:numFmt w:val="bullet"/>
      <w:lvlText w:val="o"/>
      <w:lvlJc w:val="left"/>
      <w:pPr>
        <w:tabs>
          <w:tab w:val="num" w:pos="1114"/>
        </w:tabs>
        <w:ind w:left="1114" w:hanging="360"/>
      </w:pPr>
      <w:rPr>
        <w:rFonts w:ascii="Courier New" w:hAnsi="Courier New" w:cs="Courier New" w:hint="default"/>
      </w:rPr>
    </w:lvl>
    <w:lvl w:ilvl="2" w:tplc="04090005" w:tentative="1">
      <w:start w:val="1"/>
      <w:numFmt w:val="bullet"/>
      <w:lvlText w:val=""/>
      <w:lvlJc w:val="left"/>
      <w:pPr>
        <w:tabs>
          <w:tab w:val="num" w:pos="1834"/>
        </w:tabs>
        <w:ind w:left="1834" w:hanging="360"/>
      </w:pPr>
      <w:rPr>
        <w:rFonts w:ascii="Wingdings" w:hAnsi="Wingdings" w:hint="default"/>
      </w:rPr>
    </w:lvl>
    <w:lvl w:ilvl="3" w:tplc="04090001" w:tentative="1">
      <w:start w:val="1"/>
      <w:numFmt w:val="bullet"/>
      <w:lvlText w:val=""/>
      <w:lvlJc w:val="left"/>
      <w:pPr>
        <w:tabs>
          <w:tab w:val="num" w:pos="2554"/>
        </w:tabs>
        <w:ind w:left="2554" w:hanging="360"/>
      </w:pPr>
      <w:rPr>
        <w:rFonts w:ascii="Symbol" w:hAnsi="Symbol" w:hint="default"/>
      </w:rPr>
    </w:lvl>
    <w:lvl w:ilvl="4" w:tplc="04090003" w:tentative="1">
      <w:start w:val="1"/>
      <w:numFmt w:val="bullet"/>
      <w:lvlText w:val="o"/>
      <w:lvlJc w:val="left"/>
      <w:pPr>
        <w:tabs>
          <w:tab w:val="num" w:pos="3274"/>
        </w:tabs>
        <w:ind w:left="3274" w:hanging="360"/>
      </w:pPr>
      <w:rPr>
        <w:rFonts w:ascii="Courier New" w:hAnsi="Courier New" w:cs="Courier New" w:hint="default"/>
      </w:rPr>
    </w:lvl>
    <w:lvl w:ilvl="5" w:tplc="04090005" w:tentative="1">
      <w:start w:val="1"/>
      <w:numFmt w:val="bullet"/>
      <w:lvlText w:val=""/>
      <w:lvlJc w:val="left"/>
      <w:pPr>
        <w:tabs>
          <w:tab w:val="num" w:pos="3994"/>
        </w:tabs>
        <w:ind w:left="3994" w:hanging="360"/>
      </w:pPr>
      <w:rPr>
        <w:rFonts w:ascii="Wingdings" w:hAnsi="Wingdings" w:hint="default"/>
      </w:rPr>
    </w:lvl>
    <w:lvl w:ilvl="6" w:tplc="04090001" w:tentative="1">
      <w:start w:val="1"/>
      <w:numFmt w:val="bullet"/>
      <w:lvlText w:val=""/>
      <w:lvlJc w:val="left"/>
      <w:pPr>
        <w:tabs>
          <w:tab w:val="num" w:pos="4714"/>
        </w:tabs>
        <w:ind w:left="4714" w:hanging="360"/>
      </w:pPr>
      <w:rPr>
        <w:rFonts w:ascii="Symbol" w:hAnsi="Symbol" w:hint="default"/>
      </w:rPr>
    </w:lvl>
    <w:lvl w:ilvl="7" w:tplc="04090003" w:tentative="1">
      <w:start w:val="1"/>
      <w:numFmt w:val="bullet"/>
      <w:lvlText w:val="o"/>
      <w:lvlJc w:val="left"/>
      <w:pPr>
        <w:tabs>
          <w:tab w:val="num" w:pos="5434"/>
        </w:tabs>
        <w:ind w:left="5434" w:hanging="360"/>
      </w:pPr>
      <w:rPr>
        <w:rFonts w:ascii="Courier New" w:hAnsi="Courier New" w:cs="Courier New" w:hint="default"/>
      </w:rPr>
    </w:lvl>
    <w:lvl w:ilvl="8" w:tplc="04090005" w:tentative="1">
      <w:start w:val="1"/>
      <w:numFmt w:val="bullet"/>
      <w:lvlText w:val=""/>
      <w:lvlJc w:val="left"/>
      <w:pPr>
        <w:tabs>
          <w:tab w:val="num" w:pos="6154"/>
        </w:tabs>
        <w:ind w:left="6154" w:hanging="360"/>
      </w:pPr>
      <w:rPr>
        <w:rFonts w:ascii="Wingdings" w:hAnsi="Wingdings" w:hint="default"/>
      </w:rPr>
    </w:lvl>
  </w:abstractNum>
  <w:abstractNum w:abstractNumId="6" w15:restartNumberingAfterBreak="0">
    <w:nsid w:val="23A368D7"/>
    <w:multiLevelType w:val="hybridMultilevel"/>
    <w:tmpl w:val="D7849850"/>
    <w:lvl w:ilvl="0" w:tplc="C4522696">
      <w:start w:val="1"/>
      <w:numFmt w:val="decimal"/>
      <w:lvlText w:val="%1."/>
      <w:lvlJc w:val="left"/>
      <w:pPr>
        <w:ind w:left="54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5B019C"/>
    <w:multiLevelType w:val="hybridMultilevel"/>
    <w:tmpl w:val="DDE2CEF2"/>
    <w:lvl w:ilvl="0" w:tplc="FFFFFFFF">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7F80859"/>
    <w:multiLevelType w:val="hybridMultilevel"/>
    <w:tmpl w:val="40DCBD9A"/>
    <w:lvl w:ilvl="0" w:tplc="755E28C4">
      <w:start w:val="1"/>
      <w:numFmt w:val="decimal"/>
      <w:lvlText w:val="%1."/>
      <w:lvlJc w:val="left"/>
      <w:pPr>
        <w:tabs>
          <w:tab w:val="num" w:pos="720"/>
        </w:tabs>
        <w:ind w:left="567" w:hanging="283"/>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895303"/>
    <w:multiLevelType w:val="hybridMultilevel"/>
    <w:tmpl w:val="9290197E"/>
    <w:lvl w:ilvl="0" w:tplc="F9ACC266">
      <w:start w:val="1"/>
      <w:numFmt w:val="decimal"/>
      <w:lvlText w:val="%1-"/>
      <w:lvlJc w:val="left"/>
      <w:pPr>
        <w:tabs>
          <w:tab w:val="num" w:pos="768"/>
        </w:tabs>
        <w:ind w:left="768" w:hanging="40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4100C3B"/>
    <w:multiLevelType w:val="hybridMultilevel"/>
    <w:tmpl w:val="72581EB8"/>
    <w:lvl w:ilvl="0" w:tplc="80DCDDFE">
      <w:start w:val="1"/>
      <w:numFmt w:val="decimal"/>
      <w:lvlText w:val="%1-"/>
      <w:lvlJc w:val="left"/>
      <w:pPr>
        <w:tabs>
          <w:tab w:val="num" w:pos="768"/>
        </w:tabs>
        <w:ind w:left="768" w:hanging="408"/>
      </w:pPr>
      <w:rPr>
        <w:rFonts w:hint="default"/>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84447F8"/>
    <w:multiLevelType w:val="hybridMultilevel"/>
    <w:tmpl w:val="B7C4657A"/>
    <w:lvl w:ilvl="0" w:tplc="00BEFB14">
      <w:start w:val="1"/>
      <w:numFmt w:val="decimal"/>
      <w:lvlText w:val="%1-"/>
      <w:lvlJc w:val="left"/>
      <w:pPr>
        <w:tabs>
          <w:tab w:val="num" w:pos="828"/>
        </w:tabs>
        <w:ind w:left="828" w:hanging="4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17B4420"/>
    <w:multiLevelType w:val="hybridMultilevel"/>
    <w:tmpl w:val="3D0AFF44"/>
    <w:lvl w:ilvl="0" w:tplc="81E46528">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D7534F1"/>
    <w:multiLevelType w:val="hybridMultilevel"/>
    <w:tmpl w:val="4B3EDE1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DC21521"/>
    <w:multiLevelType w:val="hybridMultilevel"/>
    <w:tmpl w:val="6FC430E6"/>
    <w:lvl w:ilvl="0" w:tplc="413AC676">
      <w:start w:val="1"/>
      <w:numFmt w:val="decimal"/>
      <w:lvlText w:val="%1."/>
      <w:lvlJc w:val="left"/>
      <w:pPr>
        <w:ind w:left="785" w:hanging="360"/>
      </w:pPr>
      <w:rPr>
        <w:rFonts w:hint="default"/>
        <w:b w:val="0"/>
        <w:bCs w:val="0"/>
        <w:lang w:val="en-U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D2F6EA8"/>
    <w:multiLevelType w:val="hybridMultilevel"/>
    <w:tmpl w:val="DBE6C6A0"/>
    <w:lvl w:ilvl="0" w:tplc="C7E05F44">
      <w:start w:val="5"/>
      <w:numFmt w:val="decimal"/>
      <w:lvlText w:val="%1-"/>
      <w:lvlJc w:val="left"/>
      <w:pPr>
        <w:tabs>
          <w:tab w:val="num" w:pos="768"/>
        </w:tabs>
        <w:ind w:left="768" w:hanging="40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1A3180"/>
    <w:multiLevelType w:val="hybridMultilevel"/>
    <w:tmpl w:val="216205D4"/>
    <w:lvl w:ilvl="0" w:tplc="46A804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C0E74B8"/>
    <w:multiLevelType w:val="hybridMultilevel"/>
    <w:tmpl w:val="F5A4492C"/>
    <w:lvl w:ilvl="0" w:tplc="F9ACC266">
      <w:start w:val="1"/>
      <w:numFmt w:val="decimal"/>
      <w:lvlText w:val="%1-"/>
      <w:lvlJc w:val="left"/>
      <w:pPr>
        <w:ind w:left="-897" w:hanging="360"/>
      </w:pPr>
      <w:rPr>
        <w:rFonts w:hint="default"/>
      </w:rPr>
    </w:lvl>
    <w:lvl w:ilvl="1" w:tplc="04090019" w:tentative="1">
      <w:start w:val="1"/>
      <w:numFmt w:val="lowerLetter"/>
      <w:lvlText w:val="%2."/>
      <w:lvlJc w:val="left"/>
      <w:pPr>
        <w:ind w:left="-177" w:hanging="360"/>
      </w:pPr>
    </w:lvl>
    <w:lvl w:ilvl="2" w:tplc="0409001B" w:tentative="1">
      <w:start w:val="1"/>
      <w:numFmt w:val="lowerRoman"/>
      <w:lvlText w:val="%3."/>
      <w:lvlJc w:val="right"/>
      <w:pPr>
        <w:ind w:left="543" w:hanging="180"/>
      </w:pPr>
    </w:lvl>
    <w:lvl w:ilvl="3" w:tplc="0409000F" w:tentative="1">
      <w:start w:val="1"/>
      <w:numFmt w:val="decimal"/>
      <w:lvlText w:val="%4."/>
      <w:lvlJc w:val="left"/>
      <w:pPr>
        <w:ind w:left="1263" w:hanging="360"/>
      </w:pPr>
    </w:lvl>
    <w:lvl w:ilvl="4" w:tplc="04090019" w:tentative="1">
      <w:start w:val="1"/>
      <w:numFmt w:val="lowerLetter"/>
      <w:lvlText w:val="%5."/>
      <w:lvlJc w:val="left"/>
      <w:pPr>
        <w:ind w:left="1983" w:hanging="360"/>
      </w:pPr>
    </w:lvl>
    <w:lvl w:ilvl="5" w:tplc="0409001B" w:tentative="1">
      <w:start w:val="1"/>
      <w:numFmt w:val="lowerRoman"/>
      <w:lvlText w:val="%6."/>
      <w:lvlJc w:val="right"/>
      <w:pPr>
        <w:ind w:left="2703" w:hanging="180"/>
      </w:pPr>
    </w:lvl>
    <w:lvl w:ilvl="6" w:tplc="0409000F" w:tentative="1">
      <w:start w:val="1"/>
      <w:numFmt w:val="decimal"/>
      <w:lvlText w:val="%7."/>
      <w:lvlJc w:val="left"/>
      <w:pPr>
        <w:ind w:left="3423" w:hanging="360"/>
      </w:pPr>
    </w:lvl>
    <w:lvl w:ilvl="7" w:tplc="04090019" w:tentative="1">
      <w:start w:val="1"/>
      <w:numFmt w:val="lowerLetter"/>
      <w:lvlText w:val="%8."/>
      <w:lvlJc w:val="left"/>
      <w:pPr>
        <w:ind w:left="4143" w:hanging="360"/>
      </w:pPr>
    </w:lvl>
    <w:lvl w:ilvl="8" w:tplc="0409001B" w:tentative="1">
      <w:start w:val="1"/>
      <w:numFmt w:val="lowerRoman"/>
      <w:lvlText w:val="%9."/>
      <w:lvlJc w:val="right"/>
      <w:pPr>
        <w:ind w:left="4863" w:hanging="180"/>
      </w:pPr>
    </w:lvl>
  </w:abstractNum>
  <w:abstractNum w:abstractNumId="18" w15:restartNumberingAfterBreak="0">
    <w:nsid w:val="7C2870A5"/>
    <w:multiLevelType w:val="hybridMultilevel"/>
    <w:tmpl w:val="C0CE21D6"/>
    <w:lvl w:ilvl="0" w:tplc="1E1208F4">
      <w:numFmt w:val="bullet"/>
      <w:lvlText w:val="-"/>
      <w:lvlJc w:val="left"/>
      <w:pPr>
        <w:ind w:left="720" w:hanging="360"/>
      </w:pPr>
      <w:rPr>
        <w:rFonts w:ascii="Arabic Transparent" w:eastAsia="Times New Roman" w:hAnsi="Arabic Transparent" w:cs="Arabic Transparen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1D0349"/>
    <w:multiLevelType w:val="hybridMultilevel"/>
    <w:tmpl w:val="DDE2CEF2"/>
    <w:lvl w:ilvl="0" w:tplc="BEC41680">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DE57DD5"/>
    <w:multiLevelType w:val="hybridMultilevel"/>
    <w:tmpl w:val="425AC466"/>
    <w:lvl w:ilvl="0" w:tplc="0409000F">
      <w:start w:val="1"/>
      <w:numFmt w:val="decimal"/>
      <w:lvlText w:val="%1."/>
      <w:lvlJc w:val="left"/>
      <w:pPr>
        <w:ind w:left="-897" w:hanging="360"/>
      </w:pPr>
    </w:lvl>
    <w:lvl w:ilvl="1" w:tplc="04090019" w:tentative="1">
      <w:start w:val="1"/>
      <w:numFmt w:val="lowerLetter"/>
      <w:lvlText w:val="%2."/>
      <w:lvlJc w:val="left"/>
      <w:pPr>
        <w:ind w:left="-177" w:hanging="360"/>
      </w:pPr>
    </w:lvl>
    <w:lvl w:ilvl="2" w:tplc="0409001B" w:tentative="1">
      <w:start w:val="1"/>
      <w:numFmt w:val="lowerRoman"/>
      <w:lvlText w:val="%3."/>
      <w:lvlJc w:val="right"/>
      <w:pPr>
        <w:ind w:left="543" w:hanging="180"/>
      </w:pPr>
    </w:lvl>
    <w:lvl w:ilvl="3" w:tplc="0409000F" w:tentative="1">
      <w:start w:val="1"/>
      <w:numFmt w:val="decimal"/>
      <w:lvlText w:val="%4."/>
      <w:lvlJc w:val="left"/>
      <w:pPr>
        <w:ind w:left="1263" w:hanging="360"/>
      </w:pPr>
    </w:lvl>
    <w:lvl w:ilvl="4" w:tplc="04090019" w:tentative="1">
      <w:start w:val="1"/>
      <w:numFmt w:val="lowerLetter"/>
      <w:lvlText w:val="%5."/>
      <w:lvlJc w:val="left"/>
      <w:pPr>
        <w:ind w:left="1983" w:hanging="360"/>
      </w:pPr>
    </w:lvl>
    <w:lvl w:ilvl="5" w:tplc="0409001B" w:tentative="1">
      <w:start w:val="1"/>
      <w:numFmt w:val="lowerRoman"/>
      <w:lvlText w:val="%6."/>
      <w:lvlJc w:val="right"/>
      <w:pPr>
        <w:ind w:left="2703" w:hanging="180"/>
      </w:pPr>
    </w:lvl>
    <w:lvl w:ilvl="6" w:tplc="0409000F" w:tentative="1">
      <w:start w:val="1"/>
      <w:numFmt w:val="decimal"/>
      <w:lvlText w:val="%7."/>
      <w:lvlJc w:val="left"/>
      <w:pPr>
        <w:ind w:left="3423" w:hanging="360"/>
      </w:pPr>
    </w:lvl>
    <w:lvl w:ilvl="7" w:tplc="04090019" w:tentative="1">
      <w:start w:val="1"/>
      <w:numFmt w:val="lowerLetter"/>
      <w:lvlText w:val="%8."/>
      <w:lvlJc w:val="left"/>
      <w:pPr>
        <w:ind w:left="4143" w:hanging="360"/>
      </w:pPr>
    </w:lvl>
    <w:lvl w:ilvl="8" w:tplc="0409001B" w:tentative="1">
      <w:start w:val="1"/>
      <w:numFmt w:val="lowerRoman"/>
      <w:lvlText w:val="%9."/>
      <w:lvlJc w:val="right"/>
      <w:pPr>
        <w:ind w:left="4863" w:hanging="180"/>
      </w:pPr>
    </w:lvl>
  </w:abstractNum>
  <w:num w:numId="1">
    <w:abstractNumId w:val="5"/>
  </w:num>
  <w:num w:numId="2">
    <w:abstractNumId w:val="9"/>
  </w:num>
  <w:num w:numId="3">
    <w:abstractNumId w:val="10"/>
  </w:num>
  <w:num w:numId="4">
    <w:abstractNumId w:val="4"/>
  </w:num>
  <w:num w:numId="5">
    <w:abstractNumId w:val="11"/>
  </w:num>
  <w:num w:numId="6">
    <w:abstractNumId w:val="6"/>
  </w:num>
  <w:num w:numId="7">
    <w:abstractNumId w:val="12"/>
  </w:num>
  <w:num w:numId="8">
    <w:abstractNumId w:val="15"/>
  </w:num>
  <w:num w:numId="9">
    <w:abstractNumId w:val="1"/>
  </w:num>
  <w:num w:numId="10">
    <w:abstractNumId w:val="16"/>
  </w:num>
  <w:num w:numId="11">
    <w:abstractNumId w:val="18"/>
  </w:num>
  <w:num w:numId="12">
    <w:abstractNumId w:val="3"/>
  </w:num>
  <w:num w:numId="13">
    <w:abstractNumId w:val="0"/>
  </w:num>
  <w:num w:numId="14">
    <w:abstractNumId w:val="13"/>
  </w:num>
  <w:num w:numId="15">
    <w:abstractNumId w:val="20"/>
  </w:num>
  <w:num w:numId="16">
    <w:abstractNumId w:val="19"/>
  </w:num>
  <w:num w:numId="17">
    <w:abstractNumId w:val="14"/>
  </w:num>
  <w:num w:numId="18">
    <w:abstractNumId w:val="7"/>
  </w:num>
  <w:num w:numId="19">
    <w:abstractNumId w:val="17"/>
  </w:num>
  <w:num w:numId="20">
    <w:abstractNumId w:val="2"/>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6A9E"/>
    <w:rsid w:val="000013DC"/>
    <w:rsid w:val="00001A51"/>
    <w:rsid w:val="00004A5D"/>
    <w:rsid w:val="000150AF"/>
    <w:rsid w:val="00016636"/>
    <w:rsid w:val="000176CF"/>
    <w:rsid w:val="00017DFE"/>
    <w:rsid w:val="00023529"/>
    <w:rsid w:val="00024153"/>
    <w:rsid w:val="00024360"/>
    <w:rsid w:val="00026AD3"/>
    <w:rsid w:val="000330F3"/>
    <w:rsid w:val="00033D13"/>
    <w:rsid w:val="0004056F"/>
    <w:rsid w:val="000408A5"/>
    <w:rsid w:val="00040FBF"/>
    <w:rsid w:val="000419AF"/>
    <w:rsid w:val="000445A9"/>
    <w:rsid w:val="000468B8"/>
    <w:rsid w:val="000471C4"/>
    <w:rsid w:val="00051585"/>
    <w:rsid w:val="0005158D"/>
    <w:rsid w:val="00052C8B"/>
    <w:rsid w:val="000531CE"/>
    <w:rsid w:val="000553E8"/>
    <w:rsid w:val="000556F1"/>
    <w:rsid w:val="00056BB6"/>
    <w:rsid w:val="00061DD9"/>
    <w:rsid w:val="00064EC5"/>
    <w:rsid w:val="00066A9E"/>
    <w:rsid w:val="0007082A"/>
    <w:rsid w:val="000737EE"/>
    <w:rsid w:val="0007589B"/>
    <w:rsid w:val="000768A4"/>
    <w:rsid w:val="00077152"/>
    <w:rsid w:val="00077E2A"/>
    <w:rsid w:val="00080920"/>
    <w:rsid w:val="000814D2"/>
    <w:rsid w:val="00084037"/>
    <w:rsid w:val="00093209"/>
    <w:rsid w:val="0009592C"/>
    <w:rsid w:val="000974BB"/>
    <w:rsid w:val="000A1E94"/>
    <w:rsid w:val="000A2709"/>
    <w:rsid w:val="000A3A15"/>
    <w:rsid w:val="000B12C9"/>
    <w:rsid w:val="000B35AC"/>
    <w:rsid w:val="000B47C7"/>
    <w:rsid w:val="000B73BE"/>
    <w:rsid w:val="000B7433"/>
    <w:rsid w:val="000C0813"/>
    <w:rsid w:val="000C178B"/>
    <w:rsid w:val="000C3A3F"/>
    <w:rsid w:val="000C523A"/>
    <w:rsid w:val="000D5D55"/>
    <w:rsid w:val="000D672B"/>
    <w:rsid w:val="000D7E28"/>
    <w:rsid w:val="000E01F5"/>
    <w:rsid w:val="000E1385"/>
    <w:rsid w:val="000E147A"/>
    <w:rsid w:val="000E16FA"/>
    <w:rsid w:val="000E28ED"/>
    <w:rsid w:val="000E2FA7"/>
    <w:rsid w:val="000E3077"/>
    <w:rsid w:val="000E33E6"/>
    <w:rsid w:val="000E4003"/>
    <w:rsid w:val="000F026C"/>
    <w:rsid w:val="000F1A4C"/>
    <w:rsid w:val="000F4DC2"/>
    <w:rsid w:val="000F53CC"/>
    <w:rsid w:val="000F5721"/>
    <w:rsid w:val="000F605F"/>
    <w:rsid w:val="000F6612"/>
    <w:rsid w:val="00112AAB"/>
    <w:rsid w:val="0011687D"/>
    <w:rsid w:val="00121DB8"/>
    <w:rsid w:val="001260D8"/>
    <w:rsid w:val="001275D0"/>
    <w:rsid w:val="001314E4"/>
    <w:rsid w:val="00135610"/>
    <w:rsid w:val="00136BBD"/>
    <w:rsid w:val="00140A94"/>
    <w:rsid w:val="0014162D"/>
    <w:rsid w:val="00141EF6"/>
    <w:rsid w:val="00143279"/>
    <w:rsid w:val="00144046"/>
    <w:rsid w:val="00144916"/>
    <w:rsid w:val="00144ECE"/>
    <w:rsid w:val="00144ED3"/>
    <w:rsid w:val="0015120F"/>
    <w:rsid w:val="0015169C"/>
    <w:rsid w:val="00151AED"/>
    <w:rsid w:val="001522F9"/>
    <w:rsid w:val="00154A92"/>
    <w:rsid w:val="0015550E"/>
    <w:rsid w:val="001555F4"/>
    <w:rsid w:val="0015726E"/>
    <w:rsid w:val="001605D4"/>
    <w:rsid w:val="00165D72"/>
    <w:rsid w:val="00166A36"/>
    <w:rsid w:val="00167D0B"/>
    <w:rsid w:val="0017181B"/>
    <w:rsid w:val="001736C5"/>
    <w:rsid w:val="00173F03"/>
    <w:rsid w:val="00176DC2"/>
    <w:rsid w:val="00182D36"/>
    <w:rsid w:val="0018363F"/>
    <w:rsid w:val="0018586B"/>
    <w:rsid w:val="00187131"/>
    <w:rsid w:val="00190996"/>
    <w:rsid w:val="00191A83"/>
    <w:rsid w:val="001928B2"/>
    <w:rsid w:val="001934DC"/>
    <w:rsid w:val="001951E2"/>
    <w:rsid w:val="001969D8"/>
    <w:rsid w:val="00196BEB"/>
    <w:rsid w:val="001A1D36"/>
    <w:rsid w:val="001A2396"/>
    <w:rsid w:val="001A4249"/>
    <w:rsid w:val="001A596B"/>
    <w:rsid w:val="001A5A62"/>
    <w:rsid w:val="001B0F0B"/>
    <w:rsid w:val="001B2914"/>
    <w:rsid w:val="001B4BBA"/>
    <w:rsid w:val="001B4DB2"/>
    <w:rsid w:val="001B4F8A"/>
    <w:rsid w:val="001C0ADB"/>
    <w:rsid w:val="001C2DF2"/>
    <w:rsid w:val="001C2E80"/>
    <w:rsid w:val="001C4267"/>
    <w:rsid w:val="001C7F68"/>
    <w:rsid w:val="001D5402"/>
    <w:rsid w:val="001D5C8B"/>
    <w:rsid w:val="001D6980"/>
    <w:rsid w:val="001E0356"/>
    <w:rsid w:val="001E0F98"/>
    <w:rsid w:val="001E1758"/>
    <w:rsid w:val="001E55BD"/>
    <w:rsid w:val="001E656C"/>
    <w:rsid w:val="001F0340"/>
    <w:rsid w:val="001F0490"/>
    <w:rsid w:val="001F4F69"/>
    <w:rsid w:val="001F6B9C"/>
    <w:rsid w:val="002005B9"/>
    <w:rsid w:val="00201DD5"/>
    <w:rsid w:val="00202FEB"/>
    <w:rsid w:val="00206475"/>
    <w:rsid w:val="00206499"/>
    <w:rsid w:val="002076AD"/>
    <w:rsid w:val="00211C19"/>
    <w:rsid w:val="00212992"/>
    <w:rsid w:val="002130E6"/>
    <w:rsid w:val="002148C5"/>
    <w:rsid w:val="0021758B"/>
    <w:rsid w:val="0022066B"/>
    <w:rsid w:val="00220DA8"/>
    <w:rsid w:val="002218CC"/>
    <w:rsid w:val="0022253C"/>
    <w:rsid w:val="0022563F"/>
    <w:rsid w:val="00225A87"/>
    <w:rsid w:val="00226179"/>
    <w:rsid w:val="002264E9"/>
    <w:rsid w:val="002273BC"/>
    <w:rsid w:val="002315DD"/>
    <w:rsid w:val="0023381A"/>
    <w:rsid w:val="00233981"/>
    <w:rsid w:val="002341C9"/>
    <w:rsid w:val="002407C7"/>
    <w:rsid w:val="00240DFA"/>
    <w:rsid w:val="00241EA2"/>
    <w:rsid w:val="00245785"/>
    <w:rsid w:val="002463CF"/>
    <w:rsid w:val="00252A37"/>
    <w:rsid w:val="0025498F"/>
    <w:rsid w:val="002621D9"/>
    <w:rsid w:val="0026473F"/>
    <w:rsid w:val="00264B6F"/>
    <w:rsid w:val="00270946"/>
    <w:rsid w:val="002709CB"/>
    <w:rsid w:val="00270A9D"/>
    <w:rsid w:val="002723FA"/>
    <w:rsid w:val="00273C5C"/>
    <w:rsid w:val="00275E05"/>
    <w:rsid w:val="00280166"/>
    <w:rsid w:val="0028140C"/>
    <w:rsid w:val="00281463"/>
    <w:rsid w:val="00283210"/>
    <w:rsid w:val="00284556"/>
    <w:rsid w:val="00286DA5"/>
    <w:rsid w:val="00286F9C"/>
    <w:rsid w:val="002916C9"/>
    <w:rsid w:val="00294D03"/>
    <w:rsid w:val="0029602C"/>
    <w:rsid w:val="002978DA"/>
    <w:rsid w:val="002A05FD"/>
    <w:rsid w:val="002A1586"/>
    <w:rsid w:val="002A283D"/>
    <w:rsid w:val="002A2E5A"/>
    <w:rsid w:val="002A3380"/>
    <w:rsid w:val="002A341F"/>
    <w:rsid w:val="002A3DAD"/>
    <w:rsid w:val="002A4407"/>
    <w:rsid w:val="002A4CAF"/>
    <w:rsid w:val="002A6F8A"/>
    <w:rsid w:val="002B1CCB"/>
    <w:rsid w:val="002B1DA0"/>
    <w:rsid w:val="002B2E40"/>
    <w:rsid w:val="002B31CF"/>
    <w:rsid w:val="002B7BBC"/>
    <w:rsid w:val="002C02F5"/>
    <w:rsid w:val="002C272D"/>
    <w:rsid w:val="002C32B4"/>
    <w:rsid w:val="002C4441"/>
    <w:rsid w:val="002C6240"/>
    <w:rsid w:val="002C631C"/>
    <w:rsid w:val="002C6DB3"/>
    <w:rsid w:val="002C707F"/>
    <w:rsid w:val="002D0FD0"/>
    <w:rsid w:val="002D2BF8"/>
    <w:rsid w:val="002D51B3"/>
    <w:rsid w:val="002D6134"/>
    <w:rsid w:val="002D629D"/>
    <w:rsid w:val="002D64E9"/>
    <w:rsid w:val="002E1453"/>
    <w:rsid w:val="002E2393"/>
    <w:rsid w:val="002E3823"/>
    <w:rsid w:val="002E52E1"/>
    <w:rsid w:val="002F3D38"/>
    <w:rsid w:val="002F5366"/>
    <w:rsid w:val="002F5D53"/>
    <w:rsid w:val="002F76FC"/>
    <w:rsid w:val="002F7DF0"/>
    <w:rsid w:val="0030028D"/>
    <w:rsid w:val="00301E38"/>
    <w:rsid w:val="00305834"/>
    <w:rsid w:val="00311235"/>
    <w:rsid w:val="0031312B"/>
    <w:rsid w:val="00315C86"/>
    <w:rsid w:val="003201E8"/>
    <w:rsid w:val="00320299"/>
    <w:rsid w:val="00320E74"/>
    <w:rsid w:val="00321962"/>
    <w:rsid w:val="00327C97"/>
    <w:rsid w:val="00331D5D"/>
    <w:rsid w:val="00331F2B"/>
    <w:rsid w:val="00333540"/>
    <w:rsid w:val="0033359D"/>
    <w:rsid w:val="003340F5"/>
    <w:rsid w:val="00336C13"/>
    <w:rsid w:val="00337E25"/>
    <w:rsid w:val="003414CC"/>
    <w:rsid w:val="003415EF"/>
    <w:rsid w:val="003479C4"/>
    <w:rsid w:val="00347C4D"/>
    <w:rsid w:val="00352FAE"/>
    <w:rsid w:val="00354523"/>
    <w:rsid w:val="0035611A"/>
    <w:rsid w:val="003576F0"/>
    <w:rsid w:val="00360714"/>
    <w:rsid w:val="00367EBB"/>
    <w:rsid w:val="003749C6"/>
    <w:rsid w:val="00376D65"/>
    <w:rsid w:val="003802F2"/>
    <w:rsid w:val="00385972"/>
    <w:rsid w:val="0038621D"/>
    <w:rsid w:val="003909BD"/>
    <w:rsid w:val="00390CD1"/>
    <w:rsid w:val="00392FD7"/>
    <w:rsid w:val="00395D2E"/>
    <w:rsid w:val="0039675F"/>
    <w:rsid w:val="003971C1"/>
    <w:rsid w:val="003A2DCE"/>
    <w:rsid w:val="003A4D4A"/>
    <w:rsid w:val="003A593C"/>
    <w:rsid w:val="003A63F5"/>
    <w:rsid w:val="003B0624"/>
    <w:rsid w:val="003B3FB6"/>
    <w:rsid w:val="003B7CB0"/>
    <w:rsid w:val="003C1E26"/>
    <w:rsid w:val="003C38A4"/>
    <w:rsid w:val="003C5177"/>
    <w:rsid w:val="003C5B76"/>
    <w:rsid w:val="003D2884"/>
    <w:rsid w:val="003D6867"/>
    <w:rsid w:val="003D6BC4"/>
    <w:rsid w:val="003D70B2"/>
    <w:rsid w:val="003D7D66"/>
    <w:rsid w:val="003E19BD"/>
    <w:rsid w:val="003E2ABB"/>
    <w:rsid w:val="003E592D"/>
    <w:rsid w:val="003E6FE4"/>
    <w:rsid w:val="003F0ECF"/>
    <w:rsid w:val="003F1F45"/>
    <w:rsid w:val="003F47EB"/>
    <w:rsid w:val="00400837"/>
    <w:rsid w:val="00401F83"/>
    <w:rsid w:val="004024D2"/>
    <w:rsid w:val="004033F5"/>
    <w:rsid w:val="004048F1"/>
    <w:rsid w:val="004121C4"/>
    <w:rsid w:val="00415F66"/>
    <w:rsid w:val="00420A2D"/>
    <w:rsid w:val="00420B45"/>
    <w:rsid w:val="00422C0D"/>
    <w:rsid w:val="004241DD"/>
    <w:rsid w:val="004257F5"/>
    <w:rsid w:val="004259D3"/>
    <w:rsid w:val="004265D2"/>
    <w:rsid w:val="0042797C"/>
    <w:rsid w:val="004308D7"/>
    <w:rsid w:val="004322E2"/>
    <w:rsid w:val="00433E58"/>
    <w:rsid w:val="004358A3"/>
    <w:rsid w:val="00440727"/>
    <w:rsid w:val="00442B07"/>
    <w:rsid w:val="00444B42"/>
    <w:rsid w:val="0044605B"/>
    <w:rsid w:val="00446708"/>
    <w:rsid w:val="004506E0"/>
    <w:rsid w:val="00453367"/>
    <w:rsid w:val="00453800"/>
    <w:rsid w:val="00453E5B"/>
    <w:rsid w:val="00463618"/>
    <w:rsid w:val="004636B3"/>
    <w:rsid w:val="00464549"/>
    <w:rsid w:val="004665D9"/>
    <w:rsid w:val="00466D7B"/>
    <w:rsid w:val="00467E0B"/>
    <w:rsid w:val="00472B43"/>
    <w:rsid w:val="00472B87"/>
    <w:rsid w:val="0047559C"/>
    <w:rsid w:val="0047595A"/>
    <w:rsid w:val="00476F10"/>
    <w:rsid w:val="00482A3F"/>
    <w:rsid w:val="0048328B"/>
    <w:rsid w:val="0048333A"/>
    <w:rsid w:val="00486F45"/>
    <w:rsid w:val="00487DB4"/>
    <w:rsid w:val="004933D5"/>
    <w:rsid w:val="00495FA3"/>
    <w:rsid w:val="004978A0"/>
    <w:rsid w:val="004A3231"/>
    <w:rsid w:val="004A3535"/>
    <w:rsid w:val="004A3AAA"/>
    <w:rsid w:val="004A63AC"/>
    <w:rsid w:val="004A6407"/>
    <w:rsid w:val="004B1389"/>
    <w:rsid w:val="004B4B7A"/>
    <w:rsid w:val="004C1A89"/>
    <w:rsid w:val="004C210D"/>
    <w:rsid w:val="004C213A"/>
    <w:rsid w:val="004C23C4"/>
    <w:rsid w:val="004C2621"/>
    <w:rsid w:val="004C7319"/>
    <w:rsid w:val="004D025B"/>
    <w:rsid w:val="004D0D9F"/>
    <w:rsid w:val="004D108D"/>
    <w:rsid w:val="004D3670"/>
    <w:rsid w:val="004D48CF"/>
    <w:rsid w:val="004D5B5C"/>
    <w:rsid w:val="004D6B1C"/>
    <w:rsid w:val="004D7C4B"/>
    <w:rsid w:val="004E02F5"/>
    <w:rsid w:val="004E1AF2"/>
    <w:rsid w:val="004E27B5"/>
    <w:rsid w:val="004E2D45"/>
    <w:rsid w:val="004E383D"/>
    <w:rsid w:val="004E5D9A"/>
    <w:rsid w:val="004F1369"/>
    <w:rsid w:val="004F212F"/>
    <w:rsid w:val="004F5501"/>
    <w:rsid w:val="00500F03"/>
    <w:rsid w:val="00502717"/>
    <w:rsid w:val="0050390F"/>
    <w:rsid w:val="00503FC7"/>
    <w:rsid w:val="0050531C"/>
    <w:rsid w:val="005112EE"/>
    <w:rsid w:val="0051202A"/>
    <w:rsid w:val="00512192"/>
    <w:rsid w:val="00514C65"/>
    <w:rsid w:val="005201D6"/>
    <w:rsid w:val="005224A0"/>
    <w:rsid w:val="005241F3"/>
    <w:rsid w:val="005247E1"/>
    <w:rsid w:val="00524A0F"/>
    <w:rsid w:val="00527E20"/>
    <w:rsid w:val="00530098"/>
    <w:rsid w:val="0053157B"/>
    <w:rsid w:val="00534598"/>
    <w:rsid w:val="005359DC"/>
    <w:rsid w:val="00536363"/>
    <w:rsid w:val="0054258A"/>
    <w:rsid w:val="005439D1"/>
    <w:rsid w:val="00545BC7"/>
    <w:rsid w:val="00546C47"/>
    <w:rsid w:val="00546FD1"/>
    <w:rsid w:val="0054745A"/>
    <w:rsid w:val="00550559"/>
    <w:rsid w:val="005518CC"/>
    <w:rsid w:val="00552489"/>
    <w:rsid w:val="00555045"/>
    <w:rsid w:val="00562E30"/>
    <w:rsid w:val="0056621D"/>
    <w:rsid w:val="00567568"/>
    <w:rsid w:val="00570CEC"/>
    <w:rsid w:val="0057173A"/>
    <w:rsid w:val="0057584B"/>
    <w:rsid w:val="00577D62"/>
    <w:rsid w:val="00580178"/>
    <w:rsid w:val="00582368"/>
    <w:rsid w:val="0058517D"/>
    <w:rsid w:val="00587D58"/>
    <w:rsid w:val="00591A75"/>
    <w:rsid w:val="00592D59"/>
    <w:rsid w:val="005944F3"/>
    <w:rsid w:val="005A0DF6"/>
    <w:rsid w:val="005A2AB0"/>
    <w:rsid w:val="005A4F31"/>
    <w:rsid w:val="005A7530"/>
    <w:rsid w:val="005B383B"/>
    <w:rsid w:val="005B572D"/>
    <w:rsid w:val="005C0CA2"/>
    <w:rsid w:val="005C123D"/>
    <w:rsid w:val="005C59D5"/>
    <w:rsid w:val="005D1A2F"/>
    <w:rsid w:val="005D206C"/>
    <w:rsid w:val="005D6584"/>
    <w:rsid w:val="005D7B91"/>
    <w:rsid w:val="005E1818"/>
    <w:rsid w:val="005E1C42"/>
    <w:rsid w:val="005E3842"/>
    <w:rsid w:val="005E3CB8"/>
    <w:rsid w:val="005E489D"/>
    <w:rsid w:val="005E4939"/>
    <w:rsid w:val="005E5428"/>
    <w:rsid w:val="005E5569"/>
    <w:rsid w:val="005E5D7B"/>
    <w:rsid w:val="005E6420"/>
    <w:rsid w:val="005E7EFA"/>
    <w:rsid w:val="005E7FE8"/>
    <w:rsid w:val="005F2B6E"/>
    <w:rsid w:val="005F6E80"/>
    <w:rsid w:val="005F7821"/>
    <w:rsid w:val="00602704"/>
    <w:rsid w:val="00603C18"/>
    <w:rsid w:val="00604E45"/>
    <w:rsid w:val="00607A5D"/>
    <w:rsid w:val="0061061D"/>
    <w:rsid w:val="006117FB"/>
    <w:rsid w:val="00617CEC"/>
    <w:rsid w:val="00622117"/>
    <w:rsid w:val="006231F7"/>
    <w:rsid w:val="00625C31"/>
    <w:rsid w:val="00626CD3"/>
    <w:rsid w:val="00632147"/>
    <w:rsid w:val="006326C8"/>
    <w:rsid w:val="00634ABD"/>
    <w:rsid w:val="0064053C"/>
    <w:rsid w:val="00641113"/>
    <w:rsid w:val="00641A74"/>
    <w:rsid w:val="00641A75"/>
    <w:rsid w:val="006421F6"/>
    <w:rsid w:val="0064615F"/>
    <w:rsid w:val="00647667"/>
    <w:rsid w:val="0065085B"/>
    <w:rsid w:val="00651098"/>
    <w:rsid w:val="00651804"/>
    <w:rsid w:val="006544A1"/>
    <w:rsid w:val="006549D9"/>
    <w:rsid w:val="0065659F"/>
    <w:rsid w:val="00656B6D"/>
    <w:rsid w:val="00657ADF"/>
    <w:rsid w:val="00660939"/>
    <w:rsid w:val="00661642"/>
    <w:rsid w:val="0066480A"/>
    <w:rsid w:val="00667829"/>
    <w:rsid w:val="0067036C"/>
    <w:rsid w:val="00670D2F"/>
    <w:rsid w:val="00672293"/>
    <w:rsid w:val="00672BA3"/>
    <w:rsid w:val="006745CF"/>
    <w:rsid w:val="00676E20"/>
    <w:rsid w:val="00680490"/>
    <w:rsid w:val="006808DE"/>
    <w:rsid w:val="00681B98"/>
    <w:rsid w:val="0068310D"/>
    <w:rsid w:val="00686368"/>
    <w:rsid w:val="0068674C"/>
    <w:rsid w:val="0069269F"/>
    <w:rsid w:val="0069365F"/>
    <w:rsid w:val="006955E1"/>
    <w:rsid w:val="006A087C"/>
    <w:rsid w:val="006A1105"/>
    <w:rsid w:val="006A11F6"/>
    <w:rsid w:val="006A788D"/>
    <w:rsid w:val="006B346C"/>
    <w:rsid w:val="006B3A6F"/>
    <w:rsid w:val="006B4D10"/>
    <w:rsid w:val="006B6668"/>
    <w:rsid w:val="006B6AB8"/>
    <w:rsid w:val="006B7F9A"/>
    <w:rsid w:val="006C083A"/>
    <w:rsid w:val="006C2330"/>
    <w:rsid w:val="006C2969"/>
    <w:rsid w:val="006C2EF7"/>
    <w:rsid w:val="006C379D"/>
    <w:rsid w:val="006C37D5"/>
    <w:rsid w:val="006C5D10"/>
    <w:rsid w:val="006C5DDC"/>
    <w:rsid w:val="006D14B6"/>
    <w:rsid w:val="006D4091"/>
    <w:rsid w:val="006D6247"/>
    <w:rsid w:val="006E0125"/>
    <w:rsid w:val="006E1116"/>
    <w:rsid w:val="006E5B32"/>
    <w:rsid w:val="006E7F99"/>
    <w:rsid w:val="006F0BB9"/>
    <w:rsid w:val="007040EB"/>
    <w:rsid w:val="00704FBD"/>
    <w:rsid w:val="00706B94"/>
    <w:rsid w:val="00715FCF"/>
    <w:rsid w:val="00730F79"/>
    <w:rsid w:val="007311E6"/>
    <w:rsid w:val="007312CA"/>
    <w:rsid w:val="007321C0"/>
    <w:rsid w:val="00737CEC"/>
    <w:rsid w:val="00741DA6"/>
    <w:rsid w:val="00744A1A"/>
    <w:rsid w:val="00745AB1"/>
    <w:rsid w:val="007460C4"/>
    <w:rsid w:val="0074737B"/>
    <w:rsid w:val="007476DB"/>
    <w:rsid w:val="007506CA"/>
    <w:rsid w:val="00750770"/>
    <w:rsid w:val="0075141A"/>
    <w:rsid w:val="0075222B"/>
    <w:rsid w:val="00753243"/>
    <w:rsid w:val="007534B3"/>
    <w:rsid w:val="00754FA9"/>
    <w:rsid w:val="00761066"/>
    <w:rsid w:val="007611D1"/>
    <w:rsid w:val="00761313"/>
    <w:rsid w:val="0076135D"/>
    <w:rsid w:val="00766A98"/>
    <w:rsid w:val="0076731C"/>
    <w:rsid w:val="007750A4"/>
    <w:rsid w:val="007771E2"/>
    <w:rsid w:val="00777BC3"/>
    <w:rsid w:val="0078035D"/>
    <w:rsid w:val="007816F5"/>
    <w:rsid w:val="0078671F"/>
    <w:rsid w:val="007874AE"/>
    <w:rsid w:val="00791C7B"/>
    <w:rsid w:val="00792000"/>
    <w:rsid w:val="007929C5"/>
    <w:rsid w:val="0079474A"/>
    <w:rsid w:val="0079558D"/>
    <w:rsid w:val="00795C9D"/>
    <w:rsid w:val="007A14B5"/>
    <w:rsid w:val="007A20D2"/>
    <w:rsid w:val="007A308B"/>
    <w:rsid w:val="007A3542"/>
    <w:rsid w:val="007A5DA3"/>
    <w:rsid w:val="007A662C"/>
    <w:rsid w:val="007A75DB"/>
    <w:rsid w:val="007B01D9"/>
    <w:rsid w:val="007B14A0"/>
    <w:rsid w:val="007B339D"/>
    <w:rsid w:val="007B6399"/>
    <w:rsid w:val="007C0E42"/>
    <w:rsid w:val="007C171D"/>
    <w:rsid w:val="007C21DD"/>
    <w:rsid w:val="007C2C1E"/>
    <w:rsid w:val="007C4B62"/>
    <w:rsid w:val="007D082C"/>
    <w:rsid w:val="007D0FFE"/>
    <w:rsid w:val="007D206D"/>
    <w:rsid w:val="007D4067"/>
    <w:rsid w:val="007D6911"/>
    <w:rsid w:val="007D7C1B"/>
    <w:rsid w:val="007E0DE2"/>
    <w:rsid w:val="007E23E6"/>
    <w:rsid w:val="007E5C97"/>
    <w:rsid w:val="007F42AC"/>
    <w:rsid w:val="007F49EB"/>
    <w:rsid w:val="007F5B73"/>
    <w:rsid w:val="00800002"/>
    <w:rsid w:val="00800286"/>
    <w:rsid w:val="00800FD4"/>
    <w:rsid w:val="0080319A"/>
    <w:rsid w:val="00803E74"/>
    <w:rsid w:val="008042B3"/>
    <w:rsid w:val="0080486A"/>
    <w:rsid w:val="00805167"/>
    <w:rsid w:val="008057C8"/>
    <w:rsid w:val="0081094E"/>
    <w:rsid w:val="00812BDD"/>
    <w:rsid w:val="00813996"/>
    <w:rsid w:val="00821FC9"/>
    <w:rsid w:val="00822A5D"/>
    <w:rsid w:val="00823270"/>
    <w:rsid w:val="00826042"/>
    <w:rsid w:val="00827CC8"/>
    <w:rsid w:val="00830944"/>
    <w:rsid w:val="008313A2"/>
    <w:rsid w:val="00832720"/>
    <w:rsid w:val="0083782B"/>
    <w:rsid w:val="00837F2F"/>
    <w:rsid w:val="008439A3"/>
    <w:rsid w:val="00845298"/>
    <w:rsid w:val="00846831"/>
    <w:rsid w:val="00850AE2"/>
    <w:rsid w:val="00851321"/>
    <w:rsid w:val="0085245F"/>
    <w:rsid w:val="008536B8"/>
    <w:rsid w:val="0085535C"/>
    <w:rsid w:val="00860B6C"/>
    <w:rsid w:val="00862198"/>
    <w:rsid w:val="008667A3"/>
    <w:rsid w:val="00867764"/>
    <w:rsid w:val="00870C32"/>
    <w:rsid w:val="008728AE"/>
    <w:rsid w:val="00874043"/>
    <w:rsid w:val="008755AF"/>
    <w:rsid w:val="008757FB"/>
    <w:rsid w:val="00876CDF"/>
    <w:rsid w:val="008770F2"/>
    <w:rsid w:val="00877559"/>
    <w:rsid w:val="00877D65"/>
    <w:rsid w:val="00881579"/>
    <w:rsid w:val="00887D04"/>
    <w:rsid w:val="00897023"/>
    <w:rsid w:val="008A089D"/>
    <w:rsid w:val="008A172B"/>
    <w:rsid w:val="008A7850"/>
    <w:rsid w:val="008B02FD"/>
    <w:rsid w:val="008B42CA"/>
    <w:rsid w:val="008B5C56"/>
    <w:rsid w:val="008C2825"/>
    <w:rsid w:val="008C2F73"/>
    <w:rsid w:val="008C37C5"/>
    <w:rsid w:val="008C4E5C"/>
    <w:rsid w:val="008C71CD"/>
    <w:rsid w:val="008C75AA"/>
    <w:rsid w:val="008D0395"/>
    <w:rsid w:val="008D31AC"/>
    <w:rsid w:val="008D442D"/>
    <w:rsid w:val="008D4D46"/>
    <w:rsid w:val="008D58CA"/>
    <w:rsid w:val="008E1822"/>
    <w:rsid w:val="008E2EA6"/>
    <w:rsid w:val="008F18C1"/>
    <w:rsid w:val="008F1B1E"/>
    <w:rsid w:val="008F214C"/>
    <w:rsid w:val="008F2166"/>
    <w:rsid w:val="008F353F"/>
    <w:rsid w:val="009012EE"/>
    <w:rsid w:val="00902C78"/>
    <w:rsid w:val="00904720"/>
    <w:rsid w:val="009052BE"/>
    <w:rsid w:val="009150C6"/>
    <w:rsid w:val="009162EA"/>
    <w:rsid w:val="00922845"/>
    <w:rsid w:val="00925CED"/>
    <w:rsid w:val="0092614D"/>
    <w:rsid w:val="00930205"/>
    <w:rsid w:val="00930599"/>
    <w:rsid w:val="00930ACA"/>
    <w:rsid w:val="009365AC"/>
    <w:rsid w:val="00937632"/>
    <w:rsid w:val="009420B1"/>
    <w:rsid w:val="009430F5"/>
    <w:rsid w:val="00943BCC"/>
    <w:rsid w:val="00944465"/>
    <w:rsid w:val="009502F9"/>
    <w:rsid w:val="009504E9"/>
    <w:rsid w:val="00951AAD"/>
    <w:rsid w:val="00953825"/>
    <w:rsid w:val="00954094"/>
    <w:rsid w:val="00955752"/>
    <w:rsid w:val="0095634B"/>
    <w:rsid w:val="00956EF1"/>
    <w:rsid w:val="0096175E"/>
    <w:rsid w:val="0096314E"/>
    <w:rsid w:val="009632F0"/>
    <w:rsid w:val="0096434B"/>
    <w:rsid w:val="00965275"/>
    <w:rsid w:val="00967625"/>
    <w:rsid w:val="0097116E"/>
    <w:rsid w:val="00971943"/>
    <w:rsid w:val="00975323"/>
    <w:rsid w:val="00975B0C"/>
    <w:rsid w:val="00977C91"/>
    <w:rsid w:val="009809F6"/>
    <w:rsid w:val="00984127"/>
    <w:rsid w:val="00986930"/>
    <w:rsid w:val="00986F7A"/>
    <w:rsid w:val="00990482"/>
    <w:rsid w:val="0099058E"/>
    <w:rsid w:val="009911A3"/>
    <w:rsid w:val="00992884"/>
    <w:rsid w:val="00993B39"/>
    <w:rsid w:val="00994BE4"/>
    <w:rsid w:val="0099663B"/>
    <w:rsid w:val="009A0B33"/>
    <w:rsid w:val="009A1CD7"/>
    <w:rsid w:val="009A7136"/>
    <w:rsid w:val="009B34C8"/>
    <w:rsid w:val="009B536D"/>
    <w:rsid w:val="009B640C"/>
    <w:rsid w:val="009C1941"/>
    <w:rsid w:val="009C30B9"/>
    <w:rsid w:val="009C4287"/>
    <w:rsid w:val="009C51DC"/>
    <w:rsid w:val="009C561E"/>
    <w:rsid w:val="009D4A04"/>
    <w:rsid w:val="009D6561"/>
    <w:rsid w:val="009E21A2"/>
    <w:rsid w:val="009F1359"/>
    <w:rsid w:val="009F1413"/>
    <w:rsid w:val="009F1455"/>
    <w:rsid w:val="009F60EC"/>
    <w:rsid w:val="00A00E64"/>
    <w:rsid w:val="00A02534"/>
    <w:rsid w:val="00A05739"/>
    <w:rsid w:val="00A05C24"/>
    <w:rsid w:val="00A064DF"/>
    <w:rsid w:val="00A13B75"/>
    <w:rsid w:val="00A1475F"/>
    <w:rsid w:val="00A158FE"/>
    <w:rsid w:val="00A15C31"/>
    <w:rsid w:val="00A1647C"/>
    <w:rsid w:val="00A2065F"/>
    <w:rsid w:val="00A21718"/>
    <w:rsid w:val="00A23E4D"/>
    <w:rsid w:val="00A254AD"/>
    <w:rsid w:val="00A279C7"/>
    <w:rsid w:val="00A30D6F"/>
    <w:rsid w:val="00A35FDC"/>
    <w:rsid w:val="00A36979"/>
    <w:rsid w:val="00A36EC7"/>
    <w:rsid w:val="00A372EF"/>
    <w:rsid w:val="00A40439"/>
    <w:rsid w:val="00A45CE2"/>
    <w:rsid w:val="00A46287"/>
    <w:rsid w:val="00A46778"/>
    <w:rsid w:val="00A50E9A"/>
    <w:rsid w:val="00A51311"/>
    <w:rsid w:val="00A52C0B"/>
    <w:rsid w:val="00A53300"/>
    <w:rsid w:val="00A55581"/>
    <w:rsid w:val="00A63A85"/>
    <w:rsid w:val="00A66791"/>
    <w:rsid w:val="00A6701F"/>
    <w:rsid w:val="00A74910"/>
    <w:rsid w:val="00A756BE"/>
    <w:rsid w:val="00A802AC"/>
    <w:rsid w:val="00A80E85"/>
    <w:rsid w:val="00A83B42"/>
    <w:rsid w:val="00A86F35"/>
    <w:rsid w:val="00A90C30"/>
    <w:rsid w:val="00A91846"/>
    <w:rsid w:val="00A924C6"/>
    <w:rsid w:val="00A93541"/>
    <w:rsid w:val="00A942CF"/>
    <w:rsid w:val="00A94601"/>
    <w:rsid w:val="00A95E6D"/>
    <w:rsid w:val="00A96D5E"/>
    <w:rsid w:val="00A97CDD"/>
    <w:rsid w:val="00AA0397"/>
    <w:rsid w:val="00AA05F5"/>
    <w:rsid w:val="00AA0B57"/>
    <w:rsid w:val="00AA2016"/>
    <w:rsid w:val="00AA2333"/>
    <w:rsid w:val="00AA23C0"/>
    <w:rsid w:val="00AA32AA"/>
    <w:rsid w:val="00AA3A43"/>
    <w:rsid w:val="00AA6E98"/>
    <w:rsid w:val="00AA7778"/>
    <w:rsid w:val="00AB0CAA"/>
    <w:rsid w:val="00AB1249"/>
    <w:rsid w:val="00AB24A5"/>
    <w:rsid w:val="00AB41D9"/>
    <w:rsid w:val="00AB42B4"/>
    <w:rsid w:val="00AC2877"/>
    <w:rsid w:val="00AC3FBC"/>
    <w:rsid w:val="00AC62A4"/>
    <w:rsid w:val="00AD31D6"/>
    <w:rsid w:val="00AD3DA7"/>
    <w:rsid w:val="00AD51D4"/>
    <w:rsid w:val="00AE2892"/>
    <w:rsid w:val="00AE3B12"/>
    <w:rsid w:val="00AE633A"/>
    <w:rsid w:val="00AE6766"/>
    <w:rsid w:val="00AE6F49"/>
    <w:rsid w:val="00AE7032"/>
    <w:rsid w:val="00AF68D3"/>
    <w:rsid w:val="00B01971"/>
    <w:rsid w:val="00B05BE2"/>
    <w:rsid w:val="00B05CEA"/>
    <w:rsid w:val="00B12D01"/>
    <w:rsid w:val="00B154EE"/>
    <w:rsid w:val="00B15CC5"/>
    <w:rsid w:val="00B20111"/>
    <w:rsid w:val="00B2298F"/>
    <w:rsid w:val="00B22EEB"/>
    <w:rsid w:val="00B26249"/>
    <w:rsid w:val="00B2690C"/>
    <w:rsid w:val="00B277DB"/>
    <w:rsid w:val="00B3335A"/>
    <w:rsid w:val="00B35EDF"/>
    <w:rsid w:val="00B36B99"/>
    <w:rsid w:val="00B370AE"/>
    <w:rsid w:val="00B370C3"/>
    <w:rsid w:val="00B42072"/>
    <w:rsid w:val="00B437A1"/>
    <w:rsid w:val="00B43939"/>
    <w:rsid w:val="00B446B9"/>
    <w:rsid w:val="00B44A52"/>
    <w:rsid w:val="00B47547"/>
    <w:rsid w:val="00B51A32"/>
    <w:rsid w:val="00B529EB"/>
    <w:rsid w:val="00B52BB8"/>
    <w:rsid w:val="00B5374B"/>
    <w:rsid w:val="00B6183C"/>
    <w:rsid w:val="00B63504"/>
    <w:rsid w:val="00B67C47"/>
    <w:rsid w:val="00B72075"/>
    <w:rsid w:val="00B74950"/>
    <w:rsid w:val="00B762FF"/>
    <w:rsid w:val="00B770E0"/>
    <w:rsid w:val="00B80F53"/>
    <w:rsid w:val="00B820CB"/>
    <w:rsid w:val="00B852F7"/>
    <w:rsid w:val="00B86EB8"/>
    <w:rsid w:val="00B87AAA"/>
    <w:rsid w:val="00B93547"/>
    <w:rsid w:val="00B94DEC"/>
    <w:rsid w:val="00B95ABA"/>
    <w:rsid w:val="00B9645D"/>
    <w:rsid w:val="00B974BC"/>
    <w:rsid w:val="00BA108E"/>
    <w:rsid w:val="00BA1618"/>
    <w:rsid w:val="00BA5435"/>
    <w:rsid w:val="00BA7DB0"/>
    <w:rsid w:val="00BB20D6"/>
    <w:rsid w:val="00BB3AEA"/>
    <w:rsid w:val="00BB5D46"/>
    <w:rsid w:val="00BC78A4"/>
    <w:rsid w:val="00BD0831"/>
    <w:rsid w:val="00BD0E37"/>
    <w:rsid w:val="00BD0E7E"/>
    <w:rsid w:val="00BD2A8C"/>
    <w:rsid w:val="00BD5460"/>
    <w:rsid w:val="00BD57CB"/>
    <w:rsid w:val="00BD6106"/>
    <w:rsid w:val="00BD632E"/>
    <w:rsid w:val="00BE1366"/>
    <w:rsid w:val="00BE1DD3"/>
    <w:rsid w:val="00BE32FC"/>
    <w:rsid w:val="00BE62EF"/>
    <w:rsid w:val="00BF1052"/>
    <w:rsid w:val="00BF2E0A"/>
    <w:rsid w:val="00BF6AB8"/>
    <w:rsid w:val="00C00403"/>
    <w:rsid w:val="00C0128E"/>
    <w:rsid w:val="00C03B08"/>
    <w:rsid w:val="00C03FDE"/>
    <w:rsid w:val="00C04E36"/>
    <w:rsid w:val="00C05626"/>
    <w:rsid w:val="00C079E7"/>
    <w:rsid w:val="00C07B2C"/>
    <w:rsid w:val="00C07B63"/>
    <w:rsid w:val="00C10042"/>
    <w:rsid w:val="00C12981"/>
    <w:rsid w:val="00C14506"/>
    <w:rsid w:val="00C15328"/>
    <w:rsid w:val="00C153A8"/>
    <w:rsid w:val="00C15FFB"/>
    <w:rsid w:val="00C16E33"/>
    <w:rsid w:val="00C20287"/>
    <w:rsid w:val="00C20713"/>
    <w:rsid w:val="00C27A9C"/>
    <w:rsid w:val="00C325D2"/>
    <w:rsid w:val="00C33355"/>
    <w:rsid w:val="00C3725E"/>
    <w:rsid w:val="00C37E8F"/>
    <w:rsid w:val="00C42EC8"/>
    <w:rsid w:val="00C4317C"/>
    <w:rsid w:val="00C46869"/>
    <w:rsid w:val="00C51CA9"/>
    <w:rsid w:val="00C55BAB"/>
    <w:rsid w:val="00C55E6C"/>
    <w:rsid w:val="00C6011E"/>
    <w:rsid w:val="00C606FE"/>
    <w:rsid w:val="00C614FD"/>
    <w:rsid w:val="00C61F85"/>
    <w:rsid w:val="00C6449B"/>
    <w:rsid w:val="00C66007"/>
    <w:rsid w:val="00C67279"/>
    <w:rsid w:val="00C70456"/>
    <w:rsid w:val="00C71B55"/>
    <w:rsid w:val="00C7230A"/>
    <w:rsid w:val="00C72A36"/>
    <w:rsid w:val="00C7326B"/>
    <w:rsid w:val="00C735E1"/>
    <w:rsid w:val="00C8140B"/>
    <w:rsid w:val="00C815F4"/>
    <w:rsid w:val="00C81EB7"/>
    <w:rsid w:val="00C82A89"/>
    <w:rsid w:val="00C83898"/>
    <w:rsid w:val="00C849E4"/>
    <w:rsid w:val="00C85FE3"/>
    <w:rsid w:val="00C86525"/>
    <w:rsid w:val="00C9089E"/>
    <w:rsid w:val="00C91C62"/>
    <w:rsid w:val="00C925A3"/>
    <w:rsid w:val="00C95265"/>
    <w:rsid w:val="00CA24FA"/>
    <w:rsid w:val="00CA301A"/>
    <w:rsid w:val="00CA3EF2"/>
    <w:rsid w:val="00CA55C9"/>
    <w:rsid w:val="00CA76B5"/>
    <w:rsid w:val="00CB0D2E"/>
    <w:rsid w:val="00CB1FEC"/>
    <w:rsid w:val="00CB2C5A"/>
    <w:rsid w:val="00CB3FA9"/>
    <w:rsid w:val="00CB46C3"/>
    <w:rsid w:val="00CC04FA"/>
    <w:rsid w:val="00CC2FE8"/>
    <w:rsid w:val="00CC33D9"/>
    <w:rsid w:val="00CC3FAA"/>
    <w:rsid w:val="00CC5C8F"/>
    <w:rsid w:val="00CC6A55"/>
    <w:rsid w:val="00CD0CAF"/>
    <w:rsid w:val="00CD6519"/>
    <w:rsid w:val="00CE1A95"/>
    <w:rsid w:val="00CE1FF6"/>
    <w:rsid w:val="00CE388A"/>
    <w:rsid w:val="00CE615B"/>
    <w:rsid w:val="00CF22B6"/>
    <w:rsid w:val="00CF3A79"/>
    <w:rsid w:val="00CF4B20"/>
    <w:rsid w:val="00CF4F26"/>
    <w:rsid w:val="00CF60D8"/>
    <w:rsid w:val="00CF7414"/>
    <w:rsid w:val="00D01F80"/>
    <w:rsid w:val="00D048DC"/>
    <w:rsid w:val="00D049A2"/>
    <w:rsid w:val="00D0567B"/>
    <w:rsid w:val="00D05D56"/>
    <w:rsid w:val="00D06CF7"/>
    <w:rsid w:val="00D11BDA"/>
    <w:rsid w:val="00D129CA"/>
    <w:rsid w:val="00D1459D"/>
    <w:rsid w:val="00D2015A"/>
    <w:rsid w:val="00D24322"/>
    <w:rsid w:val="00D31AA1"/>
    <w:rsid w:val="00D31CC0"/>
    <w:rsid w:val="00D32288"/>
    <w:rsid w:val="00D3232D"/>
    <w:rsid w:val="00D36947"/>
    <w:rsid w:val="00D36949"/>
    <w:rsid w:val="00D40089"/>
    <w:rsid w:val="00D40246"/>
    <w:rsid w:val="00D41725"/>
    <w:rsid w:val="00D436B3"/>
    <w:rsid w:val="00D44F80"/>
    <w:rsid w:val="00D457EE"/>
    <w:rsid w:val="00D46C1C"/>
    <w:rsid w:val="00D4712B"/>
    <w:rsid w:val="00D471FC"/>
    <w:rsid w:val="00D50D9D"/>
    <w:rsid w:val="00D532AF"/>
    <w:rsid w:val="00D60191"/>
    <w:rsid w:val="00D66EC6"/>
    <w:rsid w:val="00D701CC"/>
    <w:rsid w:val="00D70CB3"/>
    <w:rsid w:val="00D72911"/>
    <w:rsid w:val="00D75F0F"/>
    <w:rsid w:val="00D7626B"/>
    <w:rsid w:val="00D8093F"/>
    <w:rsid w:val="00D80E37"/>
    <w:rsid w:val="00D81E1E"/>
    <w:rsid w:val="00D86106"/>
    <w:rsid w:val="00D9038F"/>
    <w:rsid w:val="00D90CFE"/>
    <w:rsid w:val="00D91142"/>
    <w:rsid w:val="00D9288F"/>
    <w:rsid w:val="00D930C1"/>
    <w:rsid w:val="00D978AC"/>
    <w:rsid w:val="00DA3039"/>
    <w:rsid w:val="00DA616E"/>
    <w:rsid w:val="00DA7705"/>
    <w:rsid w:val="00DB4037"/>
    <w:rsid w:val="00DB4273"/>
    <w:rsid w:val="00DB5A1B"/>
    <w:rsid w:val="00DB5C9A"/>
    <w:rsid w:val="00DB7AF8"/>
    <w:rsid w:val="00DC0EB3"/>
    <w:rsid w:val="00DC1989"/>
    <w:rsid w:val="00DC5BFC"/>
    <w:rsid w:val="00DC682C"/>
    <w:rsid w:val="00DC72BA"/>
    <w:rsid w:val="00DC7DBD"/>
    <w:rsid w:val="00DD0D49"/>
    <w:rsid w:val="00DD514C"/>
    <w:rsid w:val="00DD7FF1"/>
    <w:rsid w:val="00DE146E"/>
    <w:rsid w:val="00DE3224"/>
    <w:rsid w:val="00DE524C"/>
    <w:rsid w:val="00DE616C"/>
    <w:rsid w:val="00DE63FF"/>
    <w:rsid w:val="00DE6CEB"/>
    <w:rsid w:val="00DE7B18"/>
    <w:rsid w:val="00DF0476"/>
    <w:rsid w:val="00DF2979"/>
    <w:rsid w:val="00DF2B78"/>
    <w:rsid w:val="00DF4463"/>
    <w:rsid w:val="00DF52DC"/>
    <w:rsid w:val="00DF6864"/>
    <w:rsid w:val="00E0237E"/>
    <w:rsid w:val="00E036A2"/>
    <w:rsid w:val="00E05D5A"/>
    <w:rsid w:val="00E05FC4"/>
    <w:rsid w:val="00E0739A"/>
    <w:rsid w:val="00E07CD8"/>
    <w:rsid w:val="00E12D98"/>
    <w:rsid w:val="00E13483"/>
    <w:rsid w:val="00E13EB1"/>
    <w:rsid w:val="00E15539"/>
    <w:rsid w:val="00E15818"/>
    <w:rsid w:val="00E1597D"/>
    <w:rsid w:val="00E16397"/>
    <w:rsid w:val="00E17557"/>
    <w:rsid w:val="00E17952"/>
    <w:rsid w:val="00E20114"/>
    <w:rsid w:val="00E2074B"/>
    <w:rsid w:val="00E20AB2"/>
    <w:rsid w:val="00E24134"/>
    <w:rsid w:val="00E2441A"/>
    <w:rsid w:val="00E247D0"/>
    <w:rsid w:val="00E2490C"/>
    <w:rsid w:val="00E26000"/>
    <w:rsid w:val="00E312F1"/>
    <w:rsid w:val="00E332F2"/>
    <w:rsid w:val="00E34771"/>
    <w:rsid w:val="00E354FA"/>
    <w:rsid w:val="00E356F4"/>
    <w:rsid w:val="00E359B5"/>
    <w:rsid w:val="00E4074B"/>
    <w:rsid w:val="00E40BF1"/>
    <w:rsid w:val="00E441D4"/>
    <w:rsid w:val="00E4462B"/>
    <w:rsid w:val="00E5021F"/>
    <w:rsid w:val="00E50598"/>
    <w:rsid w:val="00E5189D"/>
    <w:rsid w:val="00E5238B"/>
    <w:rsid w:val="00E54A28"/>
    <w:rsid w:val="00E5723D"/>
    <w:rsid w:val="00E61D51"/>
    <w:rsid w:val="00E66175"/>
    <w:rsid w:val="00E661D0"/>
    <w:rsid w:val="00E66F15"/>
    <w:rsid w:val="00E709A9"/>
    <w:rsid w:val="00E71026"/>
    <w:rsid w:val="00E75937"/>
    <w:rsid w:val="00E7783E"/>
    <w:rsid w:val="00E86146"/>
    <w:rsid w:val="00E8783D"/>
    <w:rsid w:val="00E92399"/>
    <w:rsid w:val="00E9359B"/>
    <w:rsid w:val="00E939BA"/>
    <w:rsid w:val="00E94108"/>
    <w:rsid w:val="00E945FF"/>
    <w:rsid w:val="00E97FA8"/>
    <w:rsid w:val="00EA06B3"/>
    <w:rsid w:val="00EA17FA"/>
    <w:rsid w:val="00EA3162"/>
    <w:rsid w:val="00EA3738"/>
    <w:rsid w:val="00EA4314"/>
    <w:rsid w:val="00EB165A"/>
    <w:rsid w:val="00EB6117"/>
    <w:rsid w:val="00EB615D"/>
    <w:rsid w:val="00EB7D70"/>
    <w:rsid w:val="00EC34C2"/>
    <w:rsid w:val="00EC6FC1"/>
    <w:rsid w:val="00EC7504"/>
    <w:rsid w:val="00EC78D5"/>
    <w:rsid w:val="00EC7C5A"/>
    <w:rsid w:val="00ED06BB"/>
    <w:rsid w:val="00ED149A"/>
    <w:rsid w:val="00ED53A5"/>
    <w:rsid w:val="00EE1CAB"/>
    <w:rsid w:val="00EF065F"/>
    <w:rsid w:val="00EF20F9"/>
    <w:rsid w:val="00EF2710"/>
    <w:rsid w:val="00EF54D2"/>
    <w:rsid w:val="00F000CC"/>
    <w:rsid w:val="00F00BF7"/>
    <w:rsid w:val="00F012CE"/>
    <w:rsid w:val="00F0147F"/>
    <w:rsid w:val="00F02411"/>
    <w:rsid w:val="00F04ECB"/>
    <w:rsid w:val="00F064CB"/>
    <w:rsid w:val="00F0789F"/>
    <w:rsid w:val="00F10541"/>
    <w:rsid w:val="00F153B0"/>
    <w:rsid w:val="00F1645E"/>
    <w:rsid w:val="00F20457"/>
    <w:rsid w:val="00F2052D"/>
    <w:rsid w:val="00F2156C"/>
    <w:rsid w:val="00F21D04"/>
    <w:rsid w:val="00F2447E"/>
    <w:rsid w:val="00F25CAF"/>
    <w:rsid w:val="00F341C9"/>
    <w:rsid w:val="00F35DC9"/>
    <w:rsid w:val="00F36733"/>
    <w:rsid w:val="00F36AB3"/>
    <w:rsid w:val="00F37C3F"/>
    <w:rsid w:val="00F40290"/>
    <w:rsid w:val="00F40859"/>
    <w:rsid w:val="00F45F9F"/>
    <w:rsid w:val="00F47E18"/>
    <w:rsid w:val="00F53273"/>
    <w:rsid w:val="00F5454D"/>
    <w:rsid w:val="00F55CF4"/>
    <w:rsid w:val="00F61696"/>
    <w:rsid w:val="00F618B9"/>
    <w:rsid w:val="00F6240C"/>
    <w:rsid w:val="00F645A6"/>
    <w:rsid w:val="00F647F4"/>
    <w:rsid w:val="00F6746D"/>
    <w:rsid w:val="00F71DC3"/>
    <w:rsid w:val="00F72D14"/>
    <w:rsid w:val="00F74288"/>
    <w:rsid w:val="00F7535B"/>
    <w:rsid w:val="00F80A7F"/>
    <w:rsid w:val="00F81129"/>
    <w:rsid w:val="00F82F4F"/>
    <w:rsid w:val="00F85250"/>
    <w:rsid w:val="00F8634B"/>
    <w:rsid w:val="00F86DCD"/>
    <w:rsid w:val="00F8716C"/>
    <w:rsid w:val="00F87408"/>
    <w:rsid w:val="00F900EE"/>
    <w:rsid w:val="00F93860"/>
    <w:rsid w:val="00F9595F"/>
    <w:rsid w:val="00F97E24"/>
    <w:rsid w:val="00FA089A"/>
    <w:rsid w:val="00FA3D22"/>
    <w:rsid w:val="00FA49B9"/>
    <w:rsid w:val="00FA7056"/>
    <w:rsid w:val="00FA7204"/>
    <w:rsid w:val="00FB0F79"/>
    <w:rsid w:val="00FB136F"/>
    <w:rsid w:val="00FB171D"/>
    <w:rsid w:val="00FB2100"/>
    <w:rsid w:val="00FB4059"/>
    <w:rsid w:val="00FB497E"/>
    <w:rsid w:val="00FB645B"/>
    <w:rsid w:val="00FC1A30"/>
    <w:rsid w:val="00FC328B"/>
    <w:rsid w:val="00FC366F"/>
    <w:rsid w:val="00FD0009"/>
    <w:rsid w:val="00FD1CD0"/>
    <w:rsid w:val="00FD40F9"/>
    <w:rsid w:val="00FD4461"/>
    <w:rsid w:val="00FD588E"/>
    <w:rsid w:val="00FD5BD3"/>
    <w:rsid w:val="00FD6839"/>
    <w:rsid w:val="00FE24A7"/>
    <w:rsid w:val="00FE72BA"/>
    <w:rsid w:val="00FF1F64"/>
    <w:rsid w:val="00FF2751"/>
    <w:rsid w:val="00FF282F"/>
    <w:rsid w:val="00FF483A"/>
    <w:rsid w:val="00FF4EE2"/>
    <w:rsid w:val="750C10A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70B75A"/>
  <w15:chartTrackingRefBased/>
  <w15:docId w15:val="{94AD74C5-731D-4F8C-887A-360CC6E0D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caption" w:semiHidden="1" w:uiPriority="35" w:unhideWhenUsed="1" w:qFormat="1"/>
    <w:lsdException w:name="endnote reference"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0713"/>
    <w:pPr>
      <w:bidi/>
      <w:spacing w:after="200" w:line="276" w:lineRule="auto"/>
    </w:pPr>
    <w:rPr>
      <w:rFonts w:ascii="Calibri" w:hAnsi="Calibri" w:cs="Arial"/>
      <w:sz w:val="22"/>
      <w:szCs w:val="22"/>
    </w:rPr>
  </w:style>
  <w:style w:type="paragraph" w:styleId="Heading1">
    <w:name w:val="heading 1"/>
    <w:basedOn w:val="Normal"/>
    <w:next w:val="Normal"/>
    <w:link w:val="Heading1Char"/>
    <w:uiPriority w:val="9"/>
    <w:qFormat/>
    <w:rsid w:val="004E383D"/>
    <w:pPr>
      <w:keepNext/>
      <w:keepLines/>
      <w:spacing w:before="480" w:after="0"/>
      <w:outlineLvl w:val="0"/>
    </w:pPr>
    <w:rPr>
      <w:rFonts w:ascii="Aptos Display" w:hAnsi="Aptos Display" w:cs="Times New Roman"/>
      <w:b/>
      <w:bCs/>
      <w:color w:val="0F4761"/>
      <w:sz w:val="28"/>
      <w:szCs w:val="28"/>
    </w:rPr>
  </w:style>
  <w:style w:type="paragraph" w:styleId="Heading2">
    <w:name w:val="heading 2"/>
    <w:basedOn w:val="Normal"/>
    <w:next w:val="Normal"/>
    <w:link w:val="Heading2Char"/>
    <w:uiPriority w:val="9"/>
    <w:semiHidden/>
    <w:unhideWhenUsed/>
    <w:qFormat/>
    <w:rsid w:val="004E383D"/>
    <w:pPr>
      <w:keepNext/>
      <w:keepLines/>
      <w:spacing w:before="200" w:after="0"/>
      <w:outlineLvl w:val="1"/>
    </w:pPr>
    <w:rPr>
      <w:rFonts w:ascii="Aptos Display" w:hAnsi="Aptos Display" w:cs="Times New Roman"/>
      <w:b/>
      <w:bCs/>
      <w:color w:val="156082"/>
      <w:sz w:val="26"/>
      <w:szCs w:val="26"/>
    </w:rPr>
  </w:style>
  <w:style w:type="paragraph" w:styleId="Heading3">
    <w:name w:val="heading 3"/>
    <w:basedOn w:val="Normal"/>
    <w:next w:val="Normal"/>
    <w:link w:val="Heading3Char"/>
    <w:uiPriority w:val="9"/>
    <w:semiHidden/>
    <w:unhideWhenUsed/>
    <w:qFormat/>
    <w:rsid w:val="004E383D"/>
    <w:pPr>
      <w:keepNext/>
      <w:keepLines/>
      <w:spacing w:before="200" w:after="0"/>
      <w:outlineLvl w:val="2"/>
    </w:pPr>
    <w:rPr>
      <w:rFonts w:ascii="Aptos Display" w:hAnsi="Aptos Display" w:cs="Times New Roman"/>
      <w:b/>
      <w:bCs/>
      <w:color w:val="156082"/>
    </w:rPr>
  </w:style>
  <w:style w:type="paragraph" w:styleId="Heading4">
    <w:name w:val="heading 4"/>
    <w:basedOn w:val="Normal"/>
    <w:next w:val="Normal"/>
    <w:link w:val="Heading4Char"/>
    <w:uiPriority w:val="9"/>
    <w:semiHidden/>
    <w:unhideWhenUsed/>
    <w:qFormat/>
    <w:rsid w:val="004E383D"/>
    <w:pPr>
      <w:keepNext/>
      <w:keepLines/>
      <w:spacing w:before="200" w:after="0"/>
      <w:outlineLvl w:val="3"/>
    </w:pPr>
    <w:rPr>
      <w:rFonts w:ascii="Aptos Display" w:hAnsi="Aptos Display" w:cs="Times New Roman"/>
      <w:b/>
      <w:bCs/>
      <w:i/>
      <w:iCs/>
      <w:color w:val="156082"/>
    </w:rPr>
  </w:style>
  <w:style w:type="paragraph" w:styleId="Heading5">
    <w:name w:val="heading 5"/>
    <w:basedOn w:val="Normal"/>
    <w:next w:val="Normal"/>
    <w:link w:val="Heading5Char"/>
    <w:uiPriority w:val="9"/>
    <w:semiHidden/>
    <w:unhideWhenUsed/>
    <w:qFormat/>
    <w:rsid w:val="004E383D"/>
    <w:pPr>
      <w:keepNext/>
      <w:keepLines/>
      <w:spacing w:before="200" w:after="0"/>
      <w:outlineLvl w:val="4"/>
    </w:pPr>
    <w:rPr>
      <w:rFonts w:ascii="Aptos Display" w:hAnsi="Aptos Display" w:cs="Times New Roman"/>
      <w:color w:val="0A2F40"/>
    </w:rPr>
  </w:style>
  <w:style w:type="paragraph" w:styleId="Heading6">
    <w:name w:val="heading 6"/>
    <w:basedOn w:val="Normal"/>
    <w:next w:val="Normal"/>
    <w:link w:val="Heading6Char"/>
    <w:uiPriority w:val="9"/>
    <w:semiHidden/>
    <w:unhideWhenUsed/>
    <w:qFormat/>
    <w:rsid w:val="004E383D"/>
    <w:pPr>
      <w:keepNext/>
      <w:keepLines/>
      <w:spacing w:before="200" w:after="0"/>
      <w:outlineLvl w:val="5"/>
    </w:pPr>
    <w:rPr>
      <w:rFonts w:ascii="Aptos Display" w:hAnsi="Aptos Display" w:cs="Times New Roman"/>
      <w:i/>
      <w:iCs/>
      <w:color w:val="0A2F40"/>
    </w:rPr>
  </w:style>
  <w:style w:type="paragraph" w:styleId="Heading7">
    <w:name w:val="heading 7"/>
    <w:basedOn w:val="Normal"/>
    <w:next w:val="Normal"/>
    <w:link w:val="Heading7Char"/>
    <w:uiPriority w:val="9"/>
    <w:semiHidden/>
    <w:unhideWhenUsed/>
    <w:qFormat/>
    <w:rsid w:val="004E383D"/>
    <w:pPr>
      <w:keepNext/>
      <w:keepLines/>
      <w:spacing w:before="200" w:after="0"/>
      <w:outlineLvl w:val="6"/>
    </w:pPr>
    <w:rPr>
      <w:rFonts w:ascii="Aptos Display" w:hAnsi="Aptos Display" w:cs="Times New Roman"/>
      <w:i/>
      <w:iCs/>
      <w:color w:val="404040"/>
    </w:rPr>
  </w:style>
  <w:style w:type="paragraph" w:styleId="Heading8">
    <w:name w:val="heading 8"/>
    <w:basedOn w:val="Normal"/>
    <w:next w:val="Normal"/>
    <w:link w:val="Heading8Char"/>
    <w:uiPriority w:val="9"/>
    <w:semiHidden/>
    <w:unhideWhenUsed/>
    <w:qFormat/>
    <w:rsid w:val="004E383D"/>
    <w:pPr>
      <w:keepNext/>
      <w:keepLines/>
      <w:spacing w:before="200" w:after="0"/>
      <w:outlineLvl w:val="7"/>
    </w:pPr>
    <w:rPr>
      <w:rFonts w:ascii="Aptos Display" w:hAnsi="Aptos Display" w:cs="Times New Roman"/>
      <w:color w:val="156082"/>
      <w:sz w:val="20"/>
      <w:szCs w:val="20"/>
    </w:rPr>
  </w:style>
  <w:style w:type="paragraph" w:styleId="Heading9">
    <w:name w:val="heading 9"/>
    <w:basedOn w:val="Normal"/>
    <w:next w:val="Normal"/>
    <w:link w:val="Heading9Char"/>
    <w:uiPriority w:val="9"/>
    <w:semiHidden/>
    <w:unhideWhenUsed/>
    <w:qFormat/>
    <w:rsid w:val="004E383D"/>
    <w:pPr>
      <w:keepNext/>
      <w:keepLines/>
      <w:spacing w:before="200" w:after="0"/>
      <w:outlineLvl w:val="8"/>
    </w:pPr>
    <w:rPr>
      <w:rFonts w:ascii="Aptos Display" w:hAnsi="Aptos Display" w:cs="Times New Roman"/>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A7778"/>
    <w:pPr>
      <w:tabs>
        <w:tab w:val="center" w:pos="4153"/>
        <w:tab w:val="right" w:pos="8306"/>
      </w:tabs>
    </w:pPr>
  </w:style>
  <w:style w:type="character" w:customStyle="1" w:styleId="HeaderChar">
    <w:name w:val="Header Char"/>
    <w:link w:val="Header"/>
    <w:uiPriority w:val="99"/>
    <w:rsid w:val="00AA7778"/>
    <w:rPr>
      <w:rFonts w:ascii="Calibri" w:hAnsi="Calibri" w:cs="Arial"/>
      <w:sz w:val="22"/>
      <w:szCs w:val="22"/>
    </w:rPr>
  </w:style>
  <w:style w:type="paragraph" w:styleId="Footer">
    <w:name w:val="footer"/>
    <w:basedOn w:val="Normal"/>
    <w:link w:val="FooterChar"/>
    <w:uiPriority w:val="99"/>
    <w:rsid w:val="00AA7778"/>
    <w:pPr>
      <w:tabs>
        <w:tab w:val="center" w:pos="4153"/>
        <w:tab w:val="right" w:pos="8306"/>
      </w:tabs>
    </w:pPr>
  </w:style>
  <w:style w:type="character" w:customStyle="1" w:styleId="FooterChar">
    <w:name w:val="Footer Char"/>
    <w:link w:val="Footer"/>
    <w:uiPriority w:val="99"/>
    <w:rsid w:val="00AA7778"/>
    <w:rPr>
      <w:rFonts w:ascii="Calibri" w:hAnsi="Calibri" w:cs="Arial"/>
      <w:sz w:val="22"/>
      <w:szCs w:val="22"/>
    </w:rPr>
  </w:style>
  <w:style w:type="character" w:styleId="LineNumber">
    <w:name w:val="line number"/>
    <w:basedOn w:val="DefaultParagraphFont"/>
    <w:rsid w:val="00BD0831"/>
  </w:style>
  <w:style w:type="paragraph" w:styleId="ListParagraph">
    <w:name w:val="List Paragraph"/>
    <w:basedOn w:val="Normal"/>
    <w:uiPriority w:val="34"/>
    <w:qFormat/>
    <w:rsid w:val="007B6399"/>
    <w:pPr>
      <w:spacing w:after="0" w:line="360" w:lineRule="auto"/>
      <w:ind w:left="720" w:firstLine="284"/>
      <w:contextualSpacing/>
      <w:jc w:val="both"/>
    </w:pPr>
    <w:rPr>
      <w:rFonts w:ascii="Arabic Transparent" w:eastAsia="Calibri" w:hAnsi="Arabic Transparent" w:cs="Arabic Transparent"/>
      <w:sz w:val="24"/>
      <w:szCs w:val="24"/>
    </w:rPr>
  </w:style>
  <w:style w:type="character" w:customStyle="1" w:styleId="FootnoteTextChar">
    <w:name w:val="Footnote Text Char"/>
    <w:link w:val="FootnoteText"/>
    <w:locked/>
    <w:rsid w:val="00C82A89"/>
  </w:style>
  <w:style w:type="paragraph" w:styleId="FootnoteText">
    <w:name w:val="footnote text"/>
    <w:basedOn w:val="Normal"/>
    <w:link w:val="FootnoteTextChar"/>
    <w:rsid w:val="00C82A89"/>
    <w:pPr>
      <w:spacing w:after="0" w:line="240" w:lineRule="auto"/>
    </w:pPr>
    <w:rPr>
      <w:rFonts w:ascii="Times New Roman" w:hAnsi="Times New Roman" w:cs="Times New Roman"/>
      <w:sz w:val="20"/>
      <w:szCs w:val="20"/>
    </w:rPr>
  </w:style>
  <w:style w:type="character" w:customStyle="1" w:styleId="Char1">
    <w:name w:val="نص حاشية سفلية Char1"/>
    <w:rsid w:val="00C82A89"/>
    <w:rPr>
      <w:rFonts w:ascii="Calibri" w:hAnsi="Calibri" w:cs="Arial"/>
    </w:rPr>
  </w:style>
  <w:style w:type="character" w:styleId="FootnoteReference">
    <w:name w:val="footnote reference"/>
    <w:rsid w:val="00C82A89"/>
    <w:rPr>
      <w:vertAlign w:val="superscript"/>
    </w:rPr>
  </w:style>
  <w:style w:type="table" w:styleId="TableGrid">
    <w:name w:val="Table Grid"/>
    <w:basedOn w:val="TableNormal"/>
    <w:rsid w:val="00CD0C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3">
    <w:name w:val="Table Web 3"/>
    <w:basedOn w:val="TableNormal"/>
    <w:rsid w:val="00CD0CAF"/>
    <w:pPr>
      <w:bidi/>
      <w:spacing w:after="200" w:line="276"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Elegant">
    <w:name w:val="Table Elegant"/>
    <w:basedOn w:val="TableNormal"/>
    <w:rsid w:val="00CD0CAF"/>
    <w:pPr>
      <w:bidi/>
      <w:spacing w:after="200" w:line="276"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dTable1Light">
    <w:name w:val="Grid Table 1 Light"/>
    <w:basedOn w:val="TableNormal"/>
    <w:uiPriority w:val="46"/>
    <w:rsid w:val="003D6BC4"/>
    <w:rPr>
      <w:rFonts w:ascii="Aptos" w:eastAsia="Aptos" w:hAnsi="Aptos" w:cs="Arial"/>
      <w:kern w:val="2"/>
      <w:sz w:val="24"/>
      <w:szCs w:val="24"/>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Strong">
    <w:name w:val="Strong"/>
    <w:uiPriority w:val="22"/>
    <w:qFormat/>
    <w:rsid w:val="00F0147F"/>
    <w:rPr>
      <w:b/>
      <w:bCs/>
    </w:rPr>
  </w:style>
  <w:style w:type="character" w:styleId="Hyperlink">
    <w:name w:val="Hyperlink"/>
    <w:uiPriority w:val="99"/>
    <w:rsid w:val="00C325D2"/>
    <w:rPr>
      <w:color w:val="467886"/>
      <w:u w:val="single"/>
    </w:rPr>
  </w:style>
  <w:style w:type="character" w:customStyle="1" w:styleId="UnresolvedMention">
    <w:name w:val="Unresolved Mention"/>
    <w:uiPriority w:val="99"/>
    <w:semiHidden/>
    <w:unhideWhenUsed/>
    <w:rsid w:val="00C325D2"/>
    <w:rPr>
      <w:color w:val="605E5C"/>
      <w:shd w:val="clear" w:color="auto" w:fill="E1DFDD"/>
    </w:rPr>
  </w:style>
  <w:style w:type="character" w:styleId="PlaceholderText">
    <w:name w:val="Placeholder Text"/>
    <w:uiPriority w:val="99"/>
    <w:semiHidden/>
    <w:rsid w:val="00B3335A"/>
    <w:rPr>
      <w:color w:val="666666"/>
    </w:rPr>
  </w:style>
  <w:style w:type="character" w:customStyle="1" w:styleId="Heading1Char">
    <w:name w:val="Heading 1 Char"/>
    <w:link w:val="Heading1"/>
    <w:uiPriority w:val="9"/>
    <w:rsid w:val="004E383D"/>
    <w:rPr>
      <w:rFonts w:ascii="Aptos Display" w:eastAsia="Times New Roman" w:hAnsi="Aptos Display" w:cs="Times New Roman"/>
      <w:b/>
      <w:bCs/>
      <w:color w:val="0F4761"/>
      <w:sz w:val="28"/>
      <w:szCs w:val="28"/>
    </w:rPr>
  </w:style>
  <w:style w:type="character" w:customStyle="1" w:styleId="Heading2Char">
    <w:name w:val="Heading 2 Char"/>
    <w:link w:val="Heading2"/>
    <w:uiPriority w:val="9"/>
    <w:semiHidden/>
    <w:rsid w:val="004E383D"/>
    <w:rPr>
      <w:rFonts w:ascii="Aptos Display" w:eastAsia="Times New Roman" w:hAnsi="Aptos Display" w:cs="Times New Roman"/>
      <w:b/>
      <w:bCs/>
      <w:color w:val="156082"/>
      <w:sz w:val="26"/>
      <w:szCs w:val="26"/>
    </w:rPr>
  </w:style>
  <w:style w:type="character" w:customStyle="1" w:styleId="Heading3Char">
    <w:name w:val="Heading 3 Char"/>
    <w:link w:val="Heading3"/>
    <w:uiPriority w:val="9"/>
    <w:semiHidden/>
    <w:rsid w:val="004E383D"/>
    <w:rPr>
      <w:rFonts w:ascii="Aptos Display" w:eastAsia="Times New Roman" w:hAnsi="Aptos Display" w:cs="Times New Roman"/>
      <w:b/>
      <w:bCs/>
      <w:color w:val="156082"/>
      <w:sz w:val="22"/>
      <w:szCs w:val="22"/>
    </w:rPr>
  </w:style>
  <w:style w:type="character" w:customStyle="1" w:styleId="Heading4Char">
    <w:name w:val="Heading 4 Char"/>
    <w:link w:val="Heading4"/>
    <w:uiPriority w:val="9"/>
    <w:semiHidden/>
    <w:rsid w:val="004E383D"/>
    <w:rPr>
      <w:rFonts w:ascii="Aptos Display" w:eastAsia="Times New Roman" w:hAnsi="Aptos Display" w:cs="Times New Roman"/>
      <w:b/>
      <w:bCs/>
      <w:i/>
      <w:iCs/>
      <w:color w:val="156082"/>
      <w:sz w:val="22"/>
      <w:szCs w:val="22"/>
    </w:rPr>
  </w:style>
  <w:style w:type="character" w:customStyle="1" w:styleId="Heading5Char">
    <w:name w:val="Heading 5 Char"/>
    <w:link w:val="Heading5"/>
    <w:uiPriority w:val="9"/>
    <w:semiHidden/>
    <w:rsid w:val="004E383D"/>
    <w:rPr>
      <w:rFonts w:ascii="Aptos Display" w:eastAsia="Times New Roman" w:hAnsi="Aptos Display" w:cs="Times New Roman"/>
      <w:color w:val="0A2F40"/>
      <w:sz w:val="22"/>
      <w:szCs w:val="22"/>
    </w:rPr>
  </w:style>
  <w:style w:type="character" w:customStyle="1" w:styleId="Heading6Char">
    <w:name w:val="Heading 6 Char"/>
    <w:link w:val="Heading6"/>
    <w:uiPriority w:val="9"/>
    <w:semiHidden/>
    <w:rsid w:val="004E383D"/>
    <w:rPr>
      <w:rFonts w:ascii="Aptos Display" w:eastAsia="Times New Roman" w:hAnsi="Aptos Display" w:cs="Times New Roman"/>
      <w:i/>
      <w:iCs/>
      <w:color w:val="0A2F40"/>
      <w:sz w:val="22"/>
      <w:szCs w:val="22"/>
    </w:rPr>
  </w:style>
  <w:style w:type="character" w:customStyle="1" w:styleId="Heading7Char">
    <w:name w:val="Heading 7 Char"/>
    <w:link w:val="Heading7"/>
    <w:uiPriority w:val="9"/>
    <w:semiHidden/>
    <w:rsid w:val="004E383D"/>
    <w:rPr>
      <w:rFonts w:ascii="Aptos Display" w:eastAsia="Times New Roman" w:hAnsi="Aptos Display" w:cs="Times New Roman"/>
      <w:i/>
      <w:iCs/>
      <w:color w:val="404040"/>
      <w:sz w:val="22"/>
      <w:szCs w:val="22"/>
    </w:rPr>
  </w:style>
  <w:style w:type="character" w:customStyle="1" w:styleId="Heading8Char">
    <w:name w:val="Heading 8 Char"/>
    <w:link w:val="Heading8"/>
    <w:uiPriority w:val="9"/>
    <w:semiHidden/>
    <w:rsid w:val="004E383D"/>
    <w:rPr>
      <w:rFonts w:ascii="Aptos Display" w:eastAsia="Times New Roman" w:hAnsi="Aptos Display" w:cs="Times New Roman"/>
      <w:color w:val="156082"/>
    </w:rPr>
  </w:style>
  <w:style w:type="character" w:customStyle="1" w:styleId="Heading9Char">
    <w:name w:val="Heading 9 Char"/>
    <w:link w:val="Heading9"/>
    <w:uiPriority w:val="9"/>
    <w:semiHidden/>
    <w:rsid w:val="004E383D"/>
    <w:rPr>
      <w:rFonts w:ascii="Aptos Display" w:eastAsia="Times New Roman" w:hAnsi="Aptos Display" w:cs="Times New Roman"/>
      <w:i/>
      <w:iCs/>
      <w:color w:val="404040"/>
    </w:rPr>
  </w:style>
  <w:style w:type="numbering" w:customStyle="1" w:styleId="1">
    <w:name w:val="بلا قائمة1"/>
    <w:next w:val="NoList"/>
    <w:uiPriority w:val="99"/>
    <w:semiHidden/>
    <w:unhideWhenUsed/>
    <w:rsid w:val="004E383D"/>
  </w:style>
  <w:style w:type="table" w:customStyle="1" w:styleId="10">
    <w:name w:val="شبكة جدول1"/>
    <w:basedOn w:val="TableNormal"/>
    <w:next w:val="TableGrid"/>
    <w:rsid w:val="004E383D"/>
    <w:pPr>
      <w:bidi/>
      <w:spacing w:after="200" w:line="276" w:lineRule="auto"/>
    </w:pPr>
    <w:rPr>
      <w:rFonts w:ascii="Aptos" w:hAnsi="Aptos"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جدول ويب 31"/>
    <w:basedOn w:val="TableNormal"/>
    <w:next w:val="TableWeb3"/>
    <w:rsid w:val="004E383D"/>
    <w:pPr>
      <w:bidi/>
      <w:spacing w:after="200" w:line="276" w:lineRule="auto"/>
    </w:pPr>
    <w:rPr>
      <w:rFonts w:ascii="Aptos" w:hAnsi="Aptos" w:cs="Arial"/>
      <w:sz w:val="22"/>
      <w:szCs w:val="22"/>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
    <w:name w:val="جدول أنيق1"/>
    <w:basedOn w:val="TableNormal"/>
    <w:next w:val="TableElegant"/>
    <w:rsid w:val="004E383D"/>
    <w:pPr>
      <w:bidi/>
      <w:spacing w:after="200" w:line="276" w:lineRule="auto"/>
    </w:pPr>
    <w:rPr>
      <w:rFonts w:ascii="Aptos" w:hAnsi="Aptos" w:cs="Arial"/>
      <w:sz w:val="22"/>
      <w:szCs w:val="22"/>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0">
    <w:name w:val="جدول شبكة 1 فاتح1"/>
    <w:basedOn w:val="TableNormal"/>
    <w:next w:val="GridTable1Light"/>
    <w:uiPriority w:val="46"/>
    <w:rsid w:val="004E383D"/>
    <w:pPr>
      <w:bidi/>
      <w:spacing w:after="200" w:line="276" w:lineRule="auto"/>
    </w:pPr>
    <w:rPr>
      <w:rFonts w:ascii="Aptos" w:eastAsia="Aptos" w:hAnsi="Aptos" w:cs="Arial"/>
      <w:kern w:val="2"/>
      <w:sz w:val="24"/>
      <w:szCs w:val="24"/>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Caption">
    <w:name w:val="caption"/>
    <w:basedOn w:val="Normal"/>
    <w:next w:val="Normal"/>
    <w:uiPriority w:val="35"/>
    <w:semiHidden/>
    <w:unhideWhenUsed/>
    <w:qFormat/>
    <w:rsid w:val="004E383D"/>
    <w:pPr>
      <w:spacing w:line="240" w:lineRule="auto"/>
    </w:pPr>
    <w:rPr>
      <w:rFonts w:ascii="Aptos" w:hAnsi="Aptos"/>
      <w:b/>
      <w:bCs/>
      <w:color w:val="156082"/>
      <w:sz w:val="18"/>
      <w:szCs w:val="18"/>
    </w:rPr>
  </w:style>
  <w:style w:type="paragraph" w:styleId="Title">
    <w:name w:val="Title"/>
    <w:basedOn w:val="Normal"/>
    <w:next w:val="Normal"/>
    <w:link w:val="TitleChar"/>
    <w:uiPriority w:val="10"/>
    <w:qFormat/>
    <w:rsid w:val="004E383D"/>
    <w:pPr>
      <w:pBdr>
        <w:bottom w:val="single" w:sz="8" w:space="4" w:color="156082"/>
      </w:pBdr>
      <w:spacing w:after="300" w:line="240" w:lineRule="auto"/>
      <w:contextualSpacing/>
    </w:pPr>
    <w:rPr>
      <w:rFonts w:ascii="Aptos Display" w:hAnsi="Aptos Display" w:cs="Times New Roman"/>
      <w:color w:val="0A1D30"/>
      <w:spacing w:val="5"/>
      <w:kern w:val="28"/>
      <w:sz w:val="52"/>
      <w:szCs w:val="52"/>
    </w:rPr>
  </w:style>
  <w:style w:type="character" w:customStyle="1" w:styleId="TitleChar">
    <w:name w:val="Title Char"/>
    <w:link w:val="Title"/>
    <w:uiPriority w:val="10"/>
    <w:rsid w:val="004E383D"/>
    <w:rPr>
      <w:rFonts w:ascii="Aptos Display" w:eastAsia="Times New Roman" w:hAnsi="Aptos Display" w:cs="Times New Roman"/>
      <w:color w:val="0A1D30"/>
      <w:spacing w:val="5"/>
      <w:kern w:val="28"/>
      <w:sz w:val="52"/>
      <w:szCs w:val="52"/>
    </w:rPr>
  </w:style>
  <w:style w:type="paragraph" w:styleId="Subtitle">
    <w:name w:val="Subtitle"/>
    <w:basedOn w:val="Normal"/>
    <w:next w:val="Normal"/>
    <w:link w:val="SubtitleChar"/>
    <w:uiPriority w:val="11"/>
    <w:qFormat/>
    <w:rsid w:val="004E383D"/>
    <w:pPr>
      <w:numPr>
        <w:ilvl w:val="1"/>
      </w:numPr>
    </w:pPr>
    <w:rPr>
      <w:rFonts w:ascii="Aptos Display" w:hAnsi="Aptos Display" w:cs="Times New Roman"/>
      <w:i/>
      <w:iCs/>
      <w:color w:val="156082"/>
      <w:spacing w:val="15"/>
      <w:sz w:val="24"/>
      <w:szCs w:val="24"/>
    </w:rPr>
  </w:style>
  <w:style w:type="character" w:customStyle="1" w:styleId="SubtitleChar">
    <w:name w:val="Subtitle Char"/>
    <w:link w:val="Subtitle"/>
    <w:uiPriority w:val="11"/>
    <w:rsid w:val="004E383D"/>
    <w:rPr>
      <w:rFonts w:ascii="Aptos Display" w:eastAsia="Times New Roman" w:hAnsi="Aptos Display" w:cs="Times New Roman"/>
      <w:i/>
      <w:iCs/>
      <w:color w:val="156082"/>
      <w:spacing w:val="15"/>
      <w:sz w:val="24"/>
      <w:szCs w:val="24"/>
    </w:rPr>
  </w:style>
  <w:style w:type="character" w:styleId="Emphasis">
    <w:name w:val="Emphasis"/>
    <w:uiPriority w:val="20"/>
    <w:qFormat/>
    <w:rsid w:val="004E383D"/>
    <w:rPr>
      <w:i/>
      <w:iCs/>
    </w:rPr>
  </w:style>
  <w:style w:type="paragraph" w:styleId="NoSpacing">
    <w:name w:val="No Spacing"/>
    <w:uiPriority w:val="1"/>
    <w:qFormat/>
    <w:rsid w:val="004E383D"/>
    <w:pPr>
      <w:bidi/>
    </w:pPr>
    <w:rPr>
      <w:rFonts w:ascii="Aptos" w:hAnsi="Aptos" w:cs="Arial"/>
      <w:sz w:val="22"/>
      <w:szCs w:val="22"/>
    </w:rPr>
  </w:style>
  <w:style w:type="paragraph" w:styleId="Quote">
    <w:name w:val="Quote"/>
    <w:basedOn w:val="Normal"/>
    <w:next w:val="Normal"/>
    <w:link w:val="QuoteChar"/>
    <w:uiPriority w:val="29"/>
    <w:qFormat/>
    <w:rsid w:val="004E383D"/>
    <w:rPr>
      <w:rFonts w:ascii="Aptos" w:hAnsi="Aptos"/>
      <w:i/>
      <w:iCs/>
      <w:color w:val="000000"/>
    </w:rPr>
  </w:style>
  <w:style w:type="character" w:customStyle="1" w:styleId="QuoteChar">
    <w:name w:val="Quote Char"/>
    <w:link w:val="Quote"/>
    <w:uiPriority w:val="29"/>
    <w:rsid w:val="004E383D"/>
    <w:rPr>
      <w:rFonts w:ascii="Aptos" w:eastAsia="Times New Roman" w:hAnsi="Aptos" w:cs="Arial"/>
      <w:i/>
      <w:iCs/>
      <w:color w:val="000000"/>
      <w:sz w:val="22"/>
      <w:szCs w:val="22"/>
    </w:rPr>
  </w:style>
  <w:style w:type="paragraph" w:styleId="IntenseQuote">
    <w:name w:val="Intense Quote"/>
    <w:basedOn w:val="Normal"/>
    <w:next w:val="Normal"/>
    <w:link w:val="IntenseQuoteChar"/>
    <w:uiPriority w:val="30"/>
    <w:qFormat/>
    <w:rsid w:val="004E383D"/>
    <w:pPr>
      <w:pBdr>
        <w:bottom w:val="single" w:sz="4" w:space="4" w:color="156082"/>
      </w:pBdr>
      <w:spacing w:before="200" w:after="280"/>
      <w:ind w:left="936" w:right="936"/>
    </w:pPr>
    <w:rPr>
      <w:rFonts w:ascii="Aptos" w:hAnsi="Aptos"/>
      <w:b/>
      <w:bCs/>
      <w:i/>
      <w:iCs/>
      <w:color w:val="156082"/>
    </w:rPr>
  </w:style>
  <w:style w:type="character" w:customStyle="1" w:styleId="IntenseQuoteChar">
    <w:name w:val="Intense Quote Char"/>
    <w:link w:val="IntenseQuote"/>
    <w:uiPriority w:val="30"/>
    <w:rsid w:val="004E383D"/>
    <w:rPr>
      <w:rFonts w:ascii="Aptos" w:eastAsia="Times New Roman" w:hAnsi="Aptos" w:cs="Arial"/>
      <w:b/>
      <w:bCs/>
      <w:i/>
      <w:iCs/>
      <w:color w:val="156082"/>
      <w:sz w:val="22"/>
      <w:szCs w:val="22"/>
    </w:rPr>
  </w:style>
  <w:style w:type="character" w:styleId="SubtleEmphasis">
    <w:name w:val="Subtle Emphasis"/>
    <w:uiPriority w:val="19"/>
    <w:qFormat/>
    <w:rsid w:val="004E383D"/>
    <w:rPr>
      <w:i/>
      <w:iCs/>
      <w:color w:val="808080"/>
    </w:rPr>
  </w:style>
  <w:style w:type="character" w:styleId="IntenseEmphasis">
    <w:name w:val="Intense Emphasis"/>
    <w:uiPriority w:val="21"/>
    <w:qFormat/>
    <w:rsid w:val="004E383D"/>
    <w:rPr>
      <w:b/>
      <w:bCs/>
      <w:i/>
      <w:iCs/>
      <w:color w:val="156082"/>
    </w:rPr>
  </w:style>
  <w:style w:type="character" w:styleId="SubtleReference">
    <w:name w:val="Subtle Reference"/>
    <w:uiPriority w:val="31"/>
    <w:qFormat/>
    <w:rsid w:val="004E383D"/>
    <w:rPr>
      <w:smallCaps/>
      <w:color w:val="E97132"/>
      <w:u w:val="single"/>
    </w:rPr>
  </w:style>
  <w:style w:type="character" w:styleId="IntenseReference">
    <w:name w:val="Intense Reference"/>
    <w:uiPriority w:val="32"/>
    <w:qFormat/>
    <w:rsid w:val="004E383D"/>
    <w:rPr>
      <w:b/>
      <w:bCs/>
      <w:smallCaps/>
      <w:color w:val="E97132"/>
      <w:spacing w:val="5"/>
      <w:u w:val="single"/>
    </w:rPr>
  </w:style>
  <w:style w:type="character" w:styleId="BookTitle">
    <w:name w:val="Book Title"/>
    <w:uiPriority w:val="33"/>
    <w:qFormat/>
    <w:rsid w:val="004E383D"/>
    <w:rPr>
      <w:b/>
      <w:bCs/>
      <w:smallCaps/>
      <w:spacing w:val="5"/>
    </w:rPr>
  </w:style>
  <w:style w:type="paragraph" w:styleId="TOCHeading">
    <w:name w:val="TOC Heading"/>
    <w:basedOn w:val="Heading1"/>
    <w:next w:val="Normal"/>
    <w:uiPriority w:val="39"/>
    <w:semiHidden/>
    <w:unhideWhenUsed/>
    <w:qFormat/>
    <w:rsid w:val="004E383D"/>
    <w:pPr>
      <w:outlineLvl w:val="9"/>
    </w:pPr>
  </w:style>
  <w:style w:type="numbering" w:customStyle="1" w:styleId="2">
    <w:name w:val="بلا قائمة2"/>
    <w:next w:val="NoList"/>
    <w:uiPriority w:val="99"/>
    <w:semiHidden/>
    <w:unhideWhenUsed/>
    <w:rsid w:val="00201DD5"/>
  </w:style>
  <w:style w:type="table" w:customStyle="1" w:styleId="20">
    <w:name w:val="شبكة جدول2"/>
    <w:basedOn w:val="TableNormal"/>
    <w:next w:val="TableGrid"/>
    <w:rsid w:val="00201DD5"/>
    <w:pPr>
      <w:bidi/>
      <w:spacing w:after="200" w:line="276" w:lineRule="auto"/>
    </w:pPr>
    <w:rPr>
      <w:rFonts w:ascii="Aptos" w:hAnsi="Aptos"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جدول ويب 32"/>
    <w:basedOn w:val="TableNormal"/>
    <w:next w:val="TableWeb3"/>
    <w:rsid w:val="00201DD5"/>
    <w:pPr>
      <w:bidi/>
      <w:spacing w:after="200" w:line="276" w:lineRule="auto"/>
    </w:pPr>
    <w:rPr>
      <w:rFonts w:ascii="Aptos" w:hAnsi="Aptos" w:cs="Arial"/>
      <w:sz w:val="22"/>
      <w:szCs w:val="22"/>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جدول أنيق2"/>
    <w:basedOn w:val="TableNormal"/>
    <w:next w:val="TableElegant"/>
    <w:rsid w:val="00201DD5"/>
    <w:pPr>
      <w:bidi/>
      <w:spacing w:after="200" w:line="276" w:lineRule="auto"/>
    </w:pPr>
    <w:rPr>
      <w:rFonts w:ascii="Aptos" w:hAnsi="Aptos" w:cs="Arial"/>
      <w:sz w:val="22"/>
      <w:szCs w:val="22"/>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
    <w:name w:val="جدول شبكة 1 فاتح2"/>
    <w:basedOn w:val="TableNormal"/>
    <w:next w:val="GridTable1Light"/>
    <w:uiPriority w:val="46"/>
    <w:rsid w:val="00201DD5"/>
    <w:pPr>
      <w:bidi/>
      <w:spacing w:after="200" w:line="276" w:lineRule="auto"/>
    </w:pPr>
    <w:rPr>
      <w:rFonts w:ascii="Aptos" w:eastAsia="Aptos" w:hAnsi="Aptos" w:cs="Arial"/>
      <w:kern w:val="2"/>
      <w:sz w:val="24"/>
      <w:szCs w:val="24"/>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EndnoteText">
    <w:name w:val="endnote text"/>
    <w:basedOn w:val="Normal"/>
    <w:link w:val="EndnoteTextChar"/>
    <w:rsid w:val="00201DD5"/>
    <w:pPr>
      <w:spacing w:after="0" w:line="240" w:lineRule="auto"/>
    </w:pPr>
    <w:rPr>
      <w:rFonts w:ascii="Aptos" w:hAnsi="Aptos"/>
      <w:sz w:val="20"/>
      <w:szCs w:val="20"/>
    </w:rPr>
  </w:style>
  <w:style w:type="character" w:customStyle="1" w:styleId="EndnoteTextChar">
    <w:name w:val="Endnote Text Char"/>
    <w:link w:val="EndnoteText"/>
    <w:rsid w:val="00201DD5"/>
    <w:rPr>
      <w:rFonts w:ascii="Aptos" w:eastAsia="Times New Roman" w:hAnsi="Aptos" w:cs="Arial"/>
    </w:rPr>
  </w:style>
  <w:style w:type="character" w:styleId="EndnoteReference">
    <w:name w:val="endnote reference"/>
    <w:uiPriority w:val="99"/>
    <w:unhideWhenUsed/>
    <w:rsid w:val="00201DD5"/>
    <w:rPr>
      <w:vertAlign w:val="superscript"/>
    </w:rPr>
  </w:style>
  <w:style w:type="numbering" w:customStyle="1" w:styleId="3">
    <w:name w:val="بلا قائمة3"/>
    <w:next w:val="NoList"/>
    <w:uiPriority w:val="99"/>
    <w:semiHidden/>
    <w:unhideWhenUsed/>
    <w:rsid w:val="004024D2"/>
  </w:style>
  <w:style w:type="table" w:customStyle="1" w:styleId="30">
    <w:name w:val="شبكة جدول3"/>
    <w:basedOn w:val="TableNormal"/>
    <w:next w:val="TableGrid"/>
    <w:uiPriority w:val="39"/>
    <w:rsid w:val="004024D2"/>
    <w:rPr>
      <w:rFonts w:ascii="Aptos" w:eastAsia="Aptos" w:hAnsi="Aptos" w:cs="Arial"/>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3">
    <w:name w:val="Plain Table 3"/>
    <w:basedOn w:val="TableNormal"/>
    <w:uiPriority w:val="43"/>
    <w:rsid w:val="004024D2"/>
    <w:rPr>
      <w:rFonts w:ascii="Aptos" w:eastAsia="Aptos" w:hAnsi="Aptos" w:cs="Arial"/>
      <w:kern w:val="2"/>
      <w:sz w:val="24"/>
      <w:szCs w:val="24"/>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13">
    <w:name w:val="جدول شبكة 1 فاتح3"/>
    <w:basedOn w:val="TableNormal"/>
    <w:next w:val="GridTable1Light"/>
    <w:uiPriority w:val="46"/>
    <w:rsid w:val="004024D2"/>
    <w:rPr>
      <w:rFonts w:ascii="Aptos" w:eastAsia="Aptos" w:hAnsi="Aptos" w:cs="Arial"/>
      <w:kern w:val="2"/>
      <w:sz w:val="24"/>
      <w:szCs w:val="24"/>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4">
    <w:name w:val="بلا قائمة4"/>
    <w:next w:val="NoList"/>
    <w:uiPriority w:val="99"/>
    <w:semiHidden/>
    <w:unhideWhenUsed/>
    <w:rsid w:val="00706B94"/>
  </w:style>
  <w:style w:type="table" w:customStyle="1" w:styleId="14">
    <w:name w:val="جدول شبكة 1 فاتح4"/>
    <w:basedOn w:val="TableNormal"/>
    <w:next w:val="GridTable1Light"/>
    <w:uiPriority w:val="46"/>
    <w:rsid w:val="00706B94"/>
    <w:rPr>
      <w:rFonts w:ascii="Calibri" w:eastAsia="Calibri" w:hAnsi="Calibri" w:cs="Arial"/>
      <w:kern w:val="2"/>
      <w:sz w:val="24"/>
      <w:szCs w:val="24"/>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902108">
      <w:bodyDiv w:val="1"/>
      <w:marLeft w:val="0"/>
      <w:marRight w:val="0"/>
      <w:marTop w:val="0"/>
      <w:marBottom w:val="0"/>
      <w:divBdr>
        <w:top w:val="none" w:sz="0" w:space="0" w:color="auto"/>
        <w:left w:val="none" w:sz="0" w:space="0" w:color="auto"/>
        <w:bottom w:val="none" w:sz="0" w:space="0" w:color="auto"/>
        <w:right w:val="none" w:sz="0" w:space="0" w:color="auto"/>
      </w:divBdr>
    </w:div>
    <w:div w:id="547647200">
      <w:bodyDiv w:val="1"/>
      <w:marLeft w:val="0"/>
      <w:marRight w:val="0"/>
      <w:marTop w:val="0"/>
      <w:marBottom w:val="0"/>
      <w:divBdr>
        <w:top w:val="none" w:sz="0" w:space="0" w:color="auto"/>
        <w:left w:val="none" w:sz="0" w:space="0" w:color="auto"/>
        <w:bottom w:val="none" w:sz="0" w:space="0" w:color="auto"/>
        <w:right w:val="none" w:sz="0" w:space="0" w:color="auto"/>
      </w:divBdr>
      <w:divsChild>
        <w:div w:id="706103742">
          <w:marLeft w:val="0"/>
          <w:marRight w:val="0"/>
          <w:marTop w:val="0"/>
          <w:marBottom w:val="0"/>
          <w:divBdr>
            <w:top w:val="none" w:sz="0" w:space="0" w:color="auto"/>
            <w:left w:val="none" w:sz="0" w:space="0" w:color="auto"/>
            <w:bottom w:val="none" w:sz="0" w:space="0" w:color="auto"/>
            <w:right w:val="none" w:sz="0" w:space="0" w:color="auto"/>
          </w:divBdr>
          <w:divsChild>
            <w:div w:id="298728493">
              <w:marLeft w:val="0"/>
              <w:marRight w:val="0"/>
              <w:marTop w:val="0"/>
              <w:marBottom w:val="0"/>
              <w:divBdr>
                <w:top w:val="none" w:sz="0" w:space="0" w:color="auto"/>
                <w:left w:val="none" w:sz="0" w:space="0" w:color="auto"/>
                <w:bottom w:val="none" w:sz="0" w:space="0" w:color="auto"/>
                <w:right w:val="none" w:sz="0" w:space="0" w:color="auto"/>
              </w:divBdr>
              <w:divsChild>
                <w:div w:id="732774391">
                  <w:marLeft w:val="0"/>
                  <w:marRight w:val="0"/>
                  <w:marTop w:val="0"/>
                  <w:marBottom w:val="0"/>
                  <w:divBdr>
                    <w:top w:val="none" w:sz="0" w:space="0" w:color="auto"/>
                    <w:left w:val="none" w:sz="0" w:space="0" w:color="auto"/>
                    <w:bottom w:val="none" w:sz="0" w:space="0" w:color="auto"/>
                    <w:right w:val="none" w:sz="0" w:space="0" w:color="auto"/>
                  </w:divBdr>
                  <w:divsChild>
                    <w:div w:id="198779784">
                      <w:marLeft w:val="0"/>
                      <w:marRight w:val="0"/>
                      <w:marTop w:val="0"/>
                      <w:marBottom w:val="0"/>
                      <w:divBdr>
                        <w:top w:val="none" w:sz="0" w:space="0" w:color="auto"/>
                        <w:left w:val="none" w:sz="0" w:space="0" w:color="auto"/>
                        <w:bottom w:val="none" w:sz="0" w:space="0" w:color="auto"/>
                        <w:right w:val="none" w:sz="0" w:space="0" w:color="auto"/>
                      </w:divBdr>
                      <w:divsChild>
                        <w:div w:id="268050508">
                          <w:marLeft w:val="0"/>
                          <w:marRight w:val="0"/>
                          <w:marTop w:val="0"/>
                          <w:marBottom w:val="0"/>
                          <w:divBdr>
                            <w:top w:val="none" w:sz="0" w:space="0" w:color="auto"/>
                            <w:left w:val="none" w:sz="0" w:space="0" w:color="auto"/>
                            <w:bottom w:val="none" w:sz="0" w:space="0" w:color="auto"/>
                            <w:right w:val="none" w:sz="0" w:space="0" w:color="auto"/>
                          </w:divBdr>
                          <w:divsChild>
                            <w:div w:id="2014186300">
                              <w:marLeft w:val="0"/>
                              <w:marRight w:val="0"/>
                              <w:marTop w:val="0"/>
                              <w:marBottom w:val="0"/>
                              <w:divBdr>
                                <w:top w:val="none" w:sz="0" w:space="0" w:color="auto"/>
                                <w:left w:val="none" w:sz="0" w:space="0" w:color="auto"/>
                                <w:bottom w:val="none" w:sz="0" w:space="0" w:color="auto"/>
                                <w:right w:val="none" w:sz="0" w:space="0" w:color="auto"/>
                              </w:divBdr>
                              <w:divsChild>
                                <w:div w:id="342167269">
                                  <w:marLeft w:val="0"/>
                                  <w:marRight w:val="0"/>
                                  <w:marTop w:val="0"/>
                                  <w:marBottom w:val="0"/>
                                  <w:divBdr>
                                    <w:top w:val="none" w:sz="0" w:space="0" w:color="auto"/>
                                    <w:left w:val="none" w:sz="0" w:space="0" w:color="auto"/>
                                    <w:bottom w:val="none" w:sz="0" w:space="0" w:color="auto"/>
                                    <w:right w:val="none" w:sz="0" w:space="0" w:color="auto"/>
                                  </w:divBdr>
                                  <w:divsChild>
                                    <w:div w:id="746000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94821249">
      <w:bodyDiv w:val="1"/>
      <w:marLeft w:val="0"/>
      <w:marRight w:val="0"/>
      <w:marTop w:val="0"/>
      <w:marBottom w:val="0"/>
      <w:divBdr>
        <w:top w:val="none" w:sz="0" w:space="0" w:color="auto"/>
        <w:left w:val="none" w:sz="0" w:space="0" w:color="auto"/>
        <w:bottom w:val="none" w:sz="0" w:space="0" w:color="auto"/>
        <w:right w:val="none" w:sz="0" w:space="0" w:color="auto"/>
      </w:divBdr>
    </w:div>
    <w:div w:id="648554065">
      <w:bodyDiv w:val="1"/>
      <w:marLeft w:val="0"/>
      <w:marRight w:val="0"/>
      <w:marTop w:val="0"/>
      <w:marBottom w:val="0"/>
      <w:divBdr>
        <w:top w:val="none" w:sz="0" w:space="0" w:color="auto"/>
        <w:left w:val="none" w:sz="0" w:space="0" w:color="auto"/>
        <w:bottom w:val="none" w:sz="0" w:space="0" w:color="auto"/>
        <w:right w:val="none" w:sz="0" w:space="0" w:color="auto"/>
      </w:divBdr>
      <w:divsChild>
        <w:div w:id="612905825">
          <w:marLeft w:val="0"/>
          <w:marRight w:val="0"/>
          <w:marTop w:val="0"/>
          <w:marBottom w:val="0"/>
          <w:divBdr>
            <w:top w:val="none" w:sz="0" w:space="0" w:color="auto"/>
            <w:left w:val="none" w:sz="0" w:space="0" w:color="auto"/>
            <w:bottom w:val="none" w:sz="0" w:space="0" w:color="auto"/>
            <w:right w:val="none" w:sz="0" w:space="0" w:color="auto"/>
          </w:divBdr>
        </w:div>
      </w:divsChild>
    </w:div>
    <w:div w:id="934509353">
      <w:bodyDiv w:val="1"/>
      <w:marLeft w:val="0"/>
      <w:marRight w:val="0"/>
      <w:marTop w:val="0"/>
      <w:marBottom w:val="0"/>
      <w:divBdr>
        <w:top w:val="none" w:sz="0" w:space="0" w:color="auto"/>
        <w:left w:val="none" w:sz="0" w:space="0" w:color="auto"/>
        <w:bottom w:val="none" w:sz="0" w:space="0" w:color="auto"/>
        <w:right w:val="none" w:sz="0" w:space="0" w:color="auto"/>
      </w:divBdr>
    </w:div>
    <w:div w:id="1112358287">
      <w:bodyDiv w:val="1"/>
      <w:marLeft w:val="0"/>
      <w:marRight w:val="0"/>
      <w:marTop w:val="0"/>
      <w:marBottom w:val="0"/>
      <w:divBdr>
        <w:top w:val="none" w:sz="0" w:space="0" w:color="auto"/>
        <w:left w:val="none" w:sz="0" w:space="0" w:color="auto"/>
        <w:bottom w:val="none" w:sz="0" w:space="0" w:color="auto"/>
        <w:right w:val="none" w:sz="0" w:space="0" w:color="auto"/>
      </w:divBdr>
    </w:div>
    <w:div w:id="1242832146">
      <w:bodyDiv w:val="1"/>
      <w:marLeft w:val="0"/>
      <w:marRight w:val="0"/>
      <w:marTop w:val="0"/>
      <w:marBottom w:val="0"/>
      <w:divBdr>
        <w:top w:val="none" w:sz="0" w:space="0" w:color="auto"/>
        <w:left w:val="none" w:sz="0" w:space="0" w:color="auto"/>
        <w:bottom w:val="none" w:sz="0" w:space="0" w:color="auto"/>
        <w:right w:val="none" w:sz="0" w:space="0" w:color="auto"/>
      </w:divBdr>
    </w:div>
    <w:div w:id="1418595401">
      <w:bodyDiv w:val="1"/>
      <w:marLeft w:val="0"/>
      <w:marRight w:val="0"/>
      <w:marTop w:val="0"/>
      <w:marBottom w:val="0"/>
      <w:divBdr>
        <w:top w:val="none" w:sz="0" w:space="0" w:color="auto"/>
        <w:left w:val="none" w:sz="0" w:space="0" w:color="auto"/>
        <w:bottom w:val="none" w:sz="0" w:space="0" w:color="auto"/>
        <w:right w:val="none" w:sz="0" w:space="0" w:color="auto"/>
      </w:divBdr>
    </w:div>
    <w:div w:id="1476288869">
      <w:bodyDiv w:val="1"/>
      <w:marLeft w:val="0"/>
      <w:marRight w:val="0"/>
      <w:marTop w:val="0"/>
      <w:marBottom w:val="0"/>
      <w:divBdr>
        <w:top w:val="none" w:sz="0" w:space="0" w:color="auto"/>
        <w:left w:val="none" w:sz="0" w:space="0" w:color="auto"/>
        <w:bottom w:val="none" w:sz="0" w:space="0" w:color="auto"/>
        <w:right w:val="none" w:sz="0" w:space="0" w:color="auto"/>
      </w:divBdr>
      <w:divsChild>
        <w:div w:id="149519544">
          <w:marLeft w:val="0"/>
          <w:marRight w:val="0"/>
          <w:marTop w:val="0"/>
          <w:marBottom w:val="0"/>
          <w:divBdr>
            <w:top w:val="none" w:sz="0" w:space="0" w:color="auto"/>
            <w:left w:val="none" w:sz="0" w:space="0" w:color="auto"/>
            <w:bottom w:val="none" w:sz="0" w:space="0" w:color="auto"/>
            <w:right w:val="none" w:sz="0" w:space="0" w:color="auto"/>
          </w:divBdr>
        </w:div>
      </w:divsChild>
    </w:div>
    <w:div w:id="1637102183">
      <w:bodyDiv w:val="1"/>
      <w:marLeft w:val="0"/>
      <w:marRight w:val="0"/>
      <w:marTop w:val="0"/>
      <w:marBottom w:val="0"/>
      <w:divBdr>
        <w:top w:val="none" w:sz="0" w:space="0" w:color="auto"/>
        <w:left w:val="none" w:sz="0" w:space="0" w:color="auto"/>
        <w:bottom w:val="none" w:sz="0" w:space="0" w:color="auto"/>
        <w:right w:val="none" w:sz="0" w:space="0" w:color="auto"/>
      </w:divBdr>
    </w:div>
    <w:div w:id="1835611742">
      <w:bodyDiv w:val="1"/>
      <w:marLeft w:val="0"/>
      <w:marRight w:val="0"/>
      <w:marTop w:val="0"/>
      <w:marBottom w:val="0"/>
      <w:divBdr>
        <w:top w:val="none" w:sz="0" w:space="0" w:color="auto"/>
        <w:left w:val="none" w:sz="0" w:space="0" w:color="auto"/>
        <w:bottom w:val="none" w:sz="0" w:space="0" w:color="auto"/>
        <w:right w:val="none" w:sz="0" w:space="0" w:color="auto"/>
      </w:divBdr>
    </w:div>
    <w:div w:id="1910772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5.xml"/><Relationship Id="rId18" Type="http://schemas.openxmlformats.org/officeDocument/2006/relationships/header" Target="header10.xml"/><Relationship Id="rId3" Type="http://schemas.openxmlformats.org/officeDocument/2006/relationships/styles" Target="styles.xml"/><Relationship Id="rId21" Type="http://schemas.openxmlformats.org/officeDocument/2006/relationships/header" Target="header13.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8.xml"/><Relationship Id="rId20"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7.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1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6.xm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8" Type="http://schemas.openxmlformats.org/officeDocument/2006/relationships/hyperlink" Target="https://www.eg.kfh.com/education-expenses-and-club-membership-financing/?lang=arK" TargetMode="External"/><Relationship Id="rId13" Type="http://schemas.openxmlformats.org/officeDocument/2006/relationships/hyperlink" Target="https://www.aliftaa.jo/research-fatwas/258" TargetMode="External"/><Relationship Id="rId18" Type="http://schemas.openxmlformats.org/officeDocument/2006/relationships/hyperlink" Target="https://iumsonline.org/ar/ContentDetails.aspx?ID=32061" TargetMode="External"/><Relationship Id="rId3" Type="http://schemas.openxmlformats.org/officeDocument/2006/relationships/hyperlink" Target="https://www.aliftaa.jo/Decision.aspx?DecisionId=110" TargetMode="External"/><Relationship Id="rId21" Type="http://schemas.openxmlformats.org/officeDocument/2006/relationships/hyperlink" Target="https://www.aliftaa.jo/research-fatwas/3754/" TargetMode="External"/><Relationship Id="rId7" Type="http://schemas.openxmlformats.org/officeDocument/2006/relationships/hyperlink" Target="https://www.qib.com.qa/ar/investorrelations/share-information/share-series/" TargetMode="External"/><Relationship Id="rId12" Type="http://schemas.openxmlformats.org/officeDocument/2006/relationships/hyperlink" Target="https://www.crif.jo/AR/Pages/" TargetMode="External"/><Relationship Id="rId17" Type="http://schemas.openxmlformats.org/officeDocument/2006/relationships/hyperlink" Target="https://www.e-cfr.org/blog/2018/11/07/" TargetMode="External"/><Relationship Id="rId25" Type="http://schemas.openxmlformats.org/officeDocument/2006/relationships/hyperlink" Target="https://aliftaa.jo/Research/240" TargetMode="External"/><Relationship Id="rId2" Type="http://schemas.openxmlformats.org/officeDocument/2006/relationships/hyperlink" Target="https://www.aliftaa.jo/Research/211" TargetMode="External"/><Relationship Id="rId16" Type="http://schemas.openxmlformats.org/officeDocument/2006/relationships/hyperlink" Target="https://www.ecfr.org/blog//" TargetMode="External"/><Relationship Id="rId20" Type="http://schemas.openxmlformats.org/officeDocument/2006/relationships/hyperlink" Target="https://forum.albaraka.site" TargetMode="External"/><Relationship Id="rId1" Type="http://schemas.openxmlformats.org/officeDocument/2006/relationships/hyperlink" Target="https://iifa-aifi.org/ar" TargetMode="External"/><Relationship Id="rId6" Type="http://schemas.openxmlformats.org/officeDocument/2006/relationships/hyperlink" Target="http://www.aliftaa.jo" TargetMode="External"/><Relationship Id="rId11" Type="http://schemas.openxmlformats.org/officeDocument/2006/relationships/hyperlink" Target="https://islamqa.info/ar/answers/147777" TargetMode="External"/><Relationship Id="rId24" Type="http://schemas.openxmlformats.org/officeDocument/2006/relationships/hyperlink" Target="https://www.aliftaa.jo/research-fatwas/3754/" TargetMode="External"/><Relationship Id="rId5" Type="http://schemas.openxmlformats.org/officeDocument/2006/relationships/hyperlink" Target="https://iifa-aifi.org/ar/44189" TargetMode="External"/><Relationship Id="rId15" Type="http://schemas.openxmlformats.org/officeDocument/2006/relationships/hyperlink" Target="https://iifa-aifi.org/ar/1962.html" TargetMode="External"/><Relationship Id="rId23" Type="http://schemas.openxmlformats.org/officeDocument/2006/relationships/hyperlink" Target="https://iefpedia.com/posts/cmj47ozan10s7r18qnhzada2p" TargetMode="External"/><Relationship Id="rId10" Type="http://schemas.openxmlformats.org/officeDocument/2006/relationships/hyperlink" Target="https://www.al-qaradawi.net/node/3651" TargetMode="External"/><Relationship Id="rId19" Type="http://schemas.openxmlformats.org/officeDocument/2006/relationships/hyperlink" Target="https://www.aliftaa.jo/article/586" TargetMode="External"/><Relationship Id="rId4" Type="http://schemas.openxmlformats.org/officeDocument/2006/relationships/hyperlink" Target="https://www.aliftaa.jo/Research/250" TargetMode="External"/><Relationship Id="rId9" Type="http://schemas.openxmlformats.org/officeDocument/2006/relationships/hyperlink" Target="https://www.riyadbank.com/ar/personal-banking/personal-finance/education" TargetMode="External"/><Relationship Id="rId14" Type="http://schemas.openxmlformats.org/officeDocument/2006/relationships/hyperlink" Target="https://alqaradaghi.com/2332" TargetMode="External"/><Relationship Id="rId22" Type="http://schemas.openxmlformats.org/officeDocument/2006/relationships/hyperlink" Target="https://dar-alifta.org/ar/fatwa/details/17106" TargetMode="Externa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CBF986-2197-4221-B9F6-A79EAB161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327</Pages>
  <Words>53582</Words>
  <Characters>305418</Characters>
  <Application>Microsoft Office Word</Application>
  <DocSecurity>0</DocSecurity>
  <Lines>2545</Lines>
  <Paragraphs>716</Paragraphs>
  <ScaleCrop>false</ScaleCrop>
  <HeadingPairs>
    <vt:vector size="2" baseType="variant">
      <vt:variant>
        <vt:lpstr>Title</vt:lpstr>
      </vt:variant>
      <vt:variant>
        <vt:i4>1</vt:i4>
      </vt:variant>
    </vt:vector>
  </HeadingPairs>
  <TitlesOfParts>
    <vt:vector size="1" baseType="lpstr">
      <vt:lpstr/>
    </vt:vector>
  </TitlesOfParts>
  <Company>ART COURT</Company>
  <LinksUpToDate>false</LinksUpToDate>
  <CharactersWithSpaces>358284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MAHA</dc:creator>
  <cp:keywords/>
  <dc:description/>
  <cp:lastModifiedBy>User</cp:lastModifiedBy>
  <cp:revision>2</cp:revision>
  <cp:lastPrinted>2026-04-30T21:32:00Z</cp:lastPrinted>
  <dcterms:created xsi:type="dcterms:W3CDTF">2026-05-03T10:55:00Z</dcterms:created>
  <dcterms:modified xsi:type="dcterms:W3CDTF">2026-05-03T10:55:00Z</dcterms:modified>
</cp:coreProperties>
</file>